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4BCFD" w14:textId="30D8B70F" w:rsidR="00651E64" w:rsidRDefault="00CA4904" w:rsidP="00484650">
      <w:pPr>
        <w:pStyle w:val="Dokumentstatus"/>
      </w:pPr>
      <w:r>
        <w:t>Decreto do Ministério Federal da Alimentação e da Agricultura</w:t>
      </w:r>
    </w:p>
    <w:p w14:paraId="2F532029" w14:textId="77777777" w:rsidR="00651E64" w:rsidRDefault="00651E64" w:rsidP="00484650">
      <w:pPr>
        <w:pStyle w:val="Bezeichnungnderungsdokument"/>
      </w:pPr>
      <w:r>
        <w:t>Decreto que adapta disposições jurídicas nacionais a disposições jurídicas da União sobre aromas e géneros alimentícios que contenham aromas</w:t>
      </w:r>
      <w:r w:rsidR="00E21259">
        <w:rPr>
          <w:rStyle w:val="FootnoteReference"/>
        </w:rPr>
        <w:footnoteReference w:id="2"/>
      </w:r>
    </w:p>
    <w:p w14:paraId="23058E40" w14:textId="77777777" w:rsidR="00651E64" w:rsidRDefault="00651E64" w:rsidP="00484650">
      <w:pPr>
        <w:pStyle w:val="Ausfertigungsdatumnderungsdokument"/>
      </w:pPr>
      <w:r>
        <w:t>De ...</w:t>
      </w:r>
    </w:p>
    <w:p w14:paraId="272F006C" w14:textId="77777777" w:rsidR="009650F3" w:rsidRPr="00E9574F" w:rsidRDefault="009650F3" w:rsidP="009650F3">
      <w:pPr>
        <w:pStyle w:val="EingangsformelStandardnderungsdokument"/>
      </w:pPr>
      <w:r>
        <w:t>O Ministério Federal da Alimentação e da Agricultura decreta, com base:</w:t>
      </w:r>
    </w:p>
    <w:p w14:paraId="512FFA89" w14:textId="0A9A8E83" w:rsidR="00321AE7" w:rsidRPr="009E0D4B" w:rsidRDefault="004267EE" w:rsidP="005005AB">
      <w:pPr>
        <w:pStyle w:val="EingangsformelAufzhlungnderungsdokument"/>
        <w:numPr>
          <w:ilvl w:val="0"/>
          <w:numId w:val="39"/>
        </w:numPr>
      </w:pPr>
      <w:r>
        <w:t>O artigo 13.º, n.º 1, ponto 1, alínea a), ponto 2, e o artigo 4.º, n.º 1, alíneas a) e b), o § 35, n.º 1, alínea b), aa), o § 7, n.º 1, ponto 1, ponto 1, do Código dos Géneros Alimentícios e Alimentos para Animais, na versão publicada em 3 de junho de 2013 (Jornal Oficial Federal I, p. 1426), do qual o § 13, n.º 1, ponto 1, alínea a), e o artigo 4.º, n.º 1, alínea b), foram alterados mais recentemente pelo artigo 1.º, n.º 13, da Lei de.. 2021 (Jornal Oficial Federal I p. ...), Artigos 13(1)(2) e (4)(1)(a) foram alterados mais recentemente pelo Artigo 67(5) do Decreto de 31 de agosto de 2015 (Jornal Oficial Federal I p. 1474) e Artigo 35(1)(b)(aa) foram alterados mais recentemente pelo Artigo 67(6) do Decreto de 31 de agosto de 2015 (Jornal Oficial Federal I p. 1474), de acordo com o Ministério Federal da Economia e da Energia,</w:t>
      </w:r>
      <w:bookmarkStart w:id="0" w:name="DQPErrorScope6C4DC7B48DAD49F3910D9C706FB"/>
    </w:p>
    <w:p w14:paraId="38AB48AA" w14:textId="1975D840" w:rsidR="009650F3" w:rsidRPr="009E0D4B" w:rsidRDefault="009650F3" w:rsidP="00E84B01">
      <w:pPr>
        <w:pStyle w:val="EingangsformelAufzhlungnderungsdokument"/>
      </w:pPr>
      <w:r>
        <w:t>no Artigo 13(1)(6) e (2)(a) e Artigo 75(5), também em conjugação com o Artigo 4(2) do Código dos Géneros Alimentícios e dos Alimentos para Animais, na redação da publicação de 3 de junho de 2013 (DO Federal I p. 1426), do qual o Artigo 13(1)(6) foi corrigido mais recentemente pelo Artigo 67(5) do Decreto de 31 de agosto de 2015 (Jornal Oficial Federal I p. 1474) e Artigo 62(1)(1) e (2)(a), com a última redação que foi dada pelo Artigo 1(48) da Lei de ... 2021 (Jornal Oficial Federal I, p....), e § 75, n.º 5, com a última redação que lhe foi dada pelo artigo 1.º, n.º 53, da Lei de... 2021 (Jornal Oficial Federal I p....), e</w:t>
      </w:r>
    </w:p>
    <w:p w14:paraId="1E0F7501" w14:textId="3B02D45A" w:rsidR="009650F3" w:rsidRPr="00E9574F" w:rsidRDefault="009650F3" w:rsidP="009650F3">
      <w:pPr>
        <w:pStyle w:val="EingangsformelAufzhlungnderungsdokument"/>
      </w:pPr>
      <w:r>
        <w:t>no artigo 3.º, n.º 1, primeiro período, ponto 1, da Lei relativa ao leite e à margarina, de 25 de julho de 1990 (DO Federal I p. 1471), com a última redação que lhe foi dada pelo artigo 2.º, ponto 2, da Lei de 18 de janeiro de 2019 (DO Federal I p. 33), de comum acordo com o Ministério Federal da Economia e da Energia:</w:t>
      </w:r>
    </w:p>
    <w:p w14:paraId="520879A2" w14:textId="23D61F57" w:rsidR="00651E64" w:rsidRPr="00651E64" w:rsidRDefault="009A59A7" w:rsidP="009A59A7">
      <w:pPr>
        <w:pStyle w:val="ArtikelBezeichner"/>
        <w:numPr>
          <w:ilvl w:val="0"/>
          <w:numId w:val="0"/>
        </w:numPr>
      </w:pPr>
      <w:bookmarkStart w:id="1" w:name="DQPErrorScope24B7A3350EDE4A9ABF2103034B1"/>
      <w:bookmarkEnd w:id="0"/>
      <w:bookmarkEnd w:id="1"/>
      <w:r>
        <w:t>Artigo 1.º</w:t>
      </w:r>
    </w:p>
    <w:p w14:paraId="2A2F26A0" w14:textId="77777777" w:rsidR="00244293" w:rsidRPr="005632EA" w:rsidRDefault="005C3F8A" w:rsidP="00244293">
      <w:pPr>
        <w:pStyle w:val="BezeichnungStammdokument"/>
      </w:pPr>
      <w:bookmarkStart w:id="2" w:name="DQPErrorScope9E5B26B397B847A4B87D8A5E50F"/>
      <w:r>
        <w:t>Decreto de execução relativo a aromas e géneros alimentícios que contenham aromas</w:t>
      </w:r>
      <w:bookmarkEnd w:id="2"/>
    </w:p>
    <w:p w14:paraId="6DE99BBE" w14:textId="77777777" w:rsidR="005C3F8A" w:rsidRPr="005632EA" w:rsidRDefault="00E21259" w:rsidP="005F25F7">
      <w:pPr>
        <w:pStyle w:val="Kurzbezeichnung-AbkrzungStammdokument"/>
      </w:pPr>
      <w:r>
        <w:t>(Decreto de execução relativo aos aromas, Aromendurchführungsverordnung – AromenDV)</w:t>
      </w:r>
    </w:p>
    <w:p w14:paraId="3608BD23" w14:textId="03F7117D" w:rsidR="00651E64" w:rsidRPr="005632EA" w:rsidRDefault="009A59A7" w:rsidP="009A59A7">
      <w:pPr>
        <w:pStyle w:val="ParagraphBezeichner"/>
        <w:numPr>
          <w:ilvl w:val="0"/>
          <w:numId w:val="0"/>
        </w:numPr>
      </w:pPr>
      <w:r>
        <w:lastRenderedPageBreak/>
        <w:t>Artigo 1.</w:t>
      </w:r>
    </w:p>
    <w:p w14:paraId="084CBDF6" w14:textId="77777777" w:rsidR="00651E64" w:rsidRPr="005632EA" w:rsidRDefault="00817B35" w:rsidP="00651E64">
      <w:pPr>
        <w:pStyle w:val="Paragraphberschrift"/>
      </w:pPr>
      <w:r>
        <w:t>Âmbito de aplicação</w:t>
      </w:r>
    </w:p>
    <w:p w14:paraId="03203C78" w14:textId="77777777" w:rsidR="00C9581A" w:rsidRPr="005632EA" w:rsidRDefault="00C9581A" w:rsidP="00E11DA0">
      <w:pPr>
        <w:pStyle w:val="JuristischerAbsatznummeriert"/>
      </w:pPr>
      <w:r>
        <w:t xml:space="preserve"> O presente decreto é aplicável complementarmente:</w:t>
      </w:r>
    </w:p>
    <w:p w14:paraId="06BC809E" w14:textId="77777777" w:rsidR="009D3ED5" w:rsidRPr="005632EA" w:rsidRDefault="00817B35" w:rsidP="00DD7B4D">
      <w:pPr>
        <w:pStyle w:val="NummerierungStufe1"/>
      </w:pPr>
      <w:r>
        <w:t>às regulamentações do Regulamento (CE) n.º 1334/2008 do Parlamento Europeu e do Conselho, de 16 de dezembro de 2008, relativo aos aromas e a determinados ingredientes alimentares com propriedades aromatizantes utilizados nos e sobre os géneros alimentícios e que altera o Regulamento (CEE) n.º 1601/91 do Conselho, os Regulamentos (CE) n.º 2232/96 e (CE) n.º 110/2008 e a Diretiva 2000/13/CE (JO L 354 de 31.12.2008, p. 34; L 105 de 27.4.2010, p. 115; L 406 de 3.12.2010, p. 67), com a última redação que lhe foi dada pela Regulamentação (UE) 2020/1681 (JO L 379 de 13.11.2020, p. 27), na respetiva redação em vigor, no que diz respeito à colocação no mercado e à rotulagem de aromas na aceção do artigo 3.º, n.º 2, alínea a), do Regulamento (CE) n.º 1334/2008;</w:t>
      </w:r>
    </w:p>
    <w:p w14:paraId="089EE9A6" w14:textId="77777777" w:rsidR="009D3ED5" w:rsidRPr="005632EA" w:rsidRDefault="00817B35" w:rsidP="00E11DA0">
      <w:pPr>
        <w:pStyle w:val="NummerierungStufe1"/>
      </w:pPr>
      <w:r>
        <w:t xml:space="preserve">às regulamentações do Regulamento (CE) n.º 2065/2003 do Parlamento Europeu e do Conselho, de 10 de novembro de 2003, relativo aos aromatizantes de fumo utilizados ou destinados a serem utilizados nos ou sobre os géneros alimentícios (JO L 309 de 26.11.2003, p. 1), com a última redação que lhe foi dada pelo Regulamento (UE) 2019/1381 (JO L 231 de 6.9.2019, p. 1), na respetiva redação em vigor, no que diz respeito à colocação no mercado: </w:t>
      </w:r>
    </w:p>
    <w:p w14:paraId="53762AE9" w14:textId="77777777" w:rsidR="00817B35" w:rsidRPr="005632EA" w:rsidRDefault="009D3ED5" w:rsidP="00E11DA0">
      <w:pPr>
        <w:pStyle w:val="NummerierungStufe2"/>
      </w:pPr>
      <w:r>
        <w:t>de aromas de fumo na aceção do artigo 3.º, n.º 2, alínea f), do Regulamento (UE) n.º 1334/2008 e</w:t>
      </w:r>
    </w:p>
    <w:p w14:paraId="7758FE44" w14:textId="77777777" w:rsidR="009D3ED5" w:rsidRPr="005632EA" w:rsidRDefault="009D3ED5" w:rsidP="00E11DA0">
      <w:pPr>
        <w:pStyle w:val="NummerierungStufe2"/>
      </w:pPr>
      <w:r>
        <w:t>de géneros alimentícios nos quais se verifique a presença de um aroma de fumo.</w:t>
      </w:r>
    </w:p>
    <w:p w14:paraId="2C1F76E8" w14:textId="77777777" w:rsidR="00E11DA0" w:rsidRPr="005632EA" w:rsidRDefault="00E11DA0" w:rsidP="00E11DA0">
      <w:pPr>
        <w:pStyle w:val="JuristischerAbsatznummeriert"/>
      </w:pPr>
      <w:r>
        <w:t xml:space="preserve">O presente decreto regulamenta: </w:t>
      </w:r>
    </w:p>
    <w:p w14:paraId="4E217407" w14:textId="77777777" w:rsidR="00E11DA0" w:rsidRPr="005632EA" w:rsidRDefault="00E11DA0" w:rsidP="00E11DA0">
      <w:pPr>
        <w:pStyle w:val="NummerierungStufe1"/>
      </w:pPr>
      <w:r>
        <w:t>a utilização de substâncias aromatizantes na aceção do artigo 3.º, n.º 2, alínea b), do Regulamento (CE) n.º 1334/2008, na produção de géneros alimentícios destinados a lactentes;</w:t>
      </w:r>
    </w:p>
    <w:p w14:paraId="746D10E6" w14:textId="77777777" w:rsidR="00E11DA0" w:rsidRPr="005632EA" w:rsidRDefault="00E11DA0" w:rsidP="00E11DA0">
      <w:pPr>
        <w:pStyle w:val="NummerierungStufe1"/>
      </w:pPr>
      <w:r>
        <w:t xml:space="preserve">a produção e utilização de fumo fresco; </w:t>
      </w:r>
    </w:p>
    <w:p w14:paraId="172E3806" w14:textId="77777777" w:rsidR="00E11DA0" w:rsidRPr="005632EA" w:rsidRDefault="00E11DA0" w:rsidP="00E11DA0">
      <w:pPr>
        <w:pStyle w:val="NummerierungStufe1"/>
      </w:pPr>
      <w:r>
        <w:t>a rotulagem de determinados géneros alimentícios pré-embalados na aceção do artigo 2.º, n.º 2, alínea e), do Regulamento (UE) n.º 1169/2011 do Parlamento Europeu e do Conselho, de 25 de outubro de 2011, relativo à prestação de informação aos consumidores sobre os géneros alimentícios, que altera os Regulamentos (CE) n.º 1924/2006 e (CE) n.º 1925/2006 do Parlamento Europeu e do Conselho e revoga as Diretivas 87/250/CEE da Comissão, 90/496/CEE do Conselho, 1999/10/CE da Comissão, 2000/13/CE do Parlamento Europeu e do Conselho, 2002/67/CE e 2008/5/CE da Comissão e o Regulamento (CE) n.º 608/2004 da Comissão (JO L 304 de 22.11.2011, p. 18; L 331 de 18.11.2014, p. 41; L 50 de 21.2.2015, p. 48; L 266 de 30.9.2016, p. 7), com a última redação que lhe foi dada pelo Regulamento (UE) 2015/2283 (JO L 327 de 11.12.2015, p. 1), na respetiva redação em vigor, e a rotulagem de determinados géneros alimentícios não pré-embalados destinados ao fornecimento a:</w:t>
      </w:r>
    </w:p>
    <w:p w14:paraId="63280A61" w14:textId="77777777" w:rsidR="002124E7" w:rsidRPr="005632EA" w:rsidRDefault="00E11DA0" w:rsidP="004D072A">
      <w:pPr>
        <w:pStyle w:val="NummerierungStufe2"/>
      </w:pPr>
      <w:r>
        <w:t xml:space="preserve">consumidores finais, na aceção do artigo 3.º, ponto 18, do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com a última redação que lhe foi dada pelo Regulamento (UE) 2019/1381 (JO L 231 de 6.9.2019, p. 1), na respetiva redação em vigor, ou </w:t>
      </w:r>
    </w:p>
    <w:p w14:paraId="12232107" w14:textId="77777777" w:rsidR="00E11DA0" w:rsidRPr="005632EA" w:rsidRDefault="00E11DA0" w:rsidP="004D072A">
      <w:pPr>
        <w:pStyle w:val="NummerierungStufe2"/>
      </w:pPr>
      <w:r>
        <w:lastRenderedPageBreak/>
        <w:t>estabelecimentos de restauração coletiva, na aceção do artigo 2.º, n.º 2, alínea d), do Regulamento (UE) n.º 1169/2011.</w:t>
      </w:r>
    </w:p>
    <w:p w14:paraId="68B6D1B2" w14:textId="03260B6C" w:rsidR="002039AA" w:rsidRPr="005632EA" w:rsidRDefault="009A59A7" w:rsidP="009A59A7">
      <w:pPr>
        <w:pStyle w:val="ParagraphBezeichner"/>
        <w:numPr>
          <w:ilvl w:val="0"/>
          <w:numId w:val="0"/>
        </w:numPr>
      </w:pPr>
      <w:r>
        <w:t>Artigo 2.</w:t>
      </w:r>
    </w:p>
    <w:p w14:paraId="489796CB" w14:textId="77777777" w:rsidR="002039AA" w:rsidRPr="005632EA" w:rsidRDefault="00F01166" w:rsidP="00F01166">
      <w:pPr>
        <w:pStyle w:val="Paragraphberschrift"/>
      </w:pPr>
      <w:r>
        <w:t>Definições</w:t>
      </w:r>
    </w:p>
    <w:p w14:paraId="7A80D09F" w14:textId="77777777" w:rsidR="00E11DA0" w:rsidRPr="005632EA" w:rsidRDefault="00BC5CE3" w:rsidP="000D651F">
      <w:pPr>
        <w:pStyle w:val="JuristischerAbsatznichtnummeriert"/>
        <w:rPr>
          <w:b/>
        </w:rPr>
      </w:pPr>
      <w:r>
        <w:t>Na aceção do presente Decreto, por géneros alimentícios não pré-embalados entende-se géneros alimentícios</w:t>
      </w:r>
      <w:bookmarkStart w:id="3" w:name="DQPErrorScope67E92608D42740079E6457E1473"/>
      <w:r>
        <w:t xml:space="preserve"> que</w:t>
      </w:r>
    </w:p>
    <w:p w14:paraId="3AD04CA9" w14:textId="77777777" w:rsidR="00E11DA0" w:rsidRPr="005632EA" w:rsidRDefault="00E11DA0" w:rsidP="000D651F">
      <w:pPr>
        <w:pStyle w:val="NummerierungStufe1"/>
      </w:pPr>
      <w:r>
        <w:t>são oferecidos para venda sem embalagem;</w:t>
      </w:r>
    </w:p>
    <w:p w14:paraId="6419D49F" w14:textId="77777777" w:rsidR="00E11DA0" w:rsidRPr="005632EA" w:rsidRDefault="00E11DA0" w:rsidP="000D651F">
      <w:pPr>
        <w:pStyle w:val="NummerierungStufe1"/>
      </w:pPr>
      <w:r>
        <w:t>são embalados no ponto de venda a pedido do consumidor final ou do estabelecimento de restauração coletiva; ou</w:t>
      </w:r>
    </w:p>
    <w:p w14:paraId="4DFEC0D0" w14:textId="77777777" w:rsidR="00651E64" w:rsidRPr="005632EA" w:rsidRDefault="00E11DA0" w:rsidP="000D651F">
      <w:pPr>
        <w:pStyle w:val="NummerierungStufe1"/>
      </w:pPr>
      <w:r>
        <w:t>são pré-embalados para venda imediata.</w:t>
      </w:r>
      <w:bookmarkEnd w:id="3"/>
    </w:p>
    <w:p w14:paraId="4137B85D" w14:textId="3AE4A84C" w:rsidR="00651E64" w:rsidRPr="005632EA" w:rsidRDefault="009A59A7" w:rsidP="009A59A7">
      <w:pPr>
        <w:pStyle w:val="ParagraphBezeichner"/>
        <w:numPr>
          <w:ilvl w:val="0"/>
          <w:numId w:val="0"/>
        </w:numPr>
      </w:pPr>
      <w:r>
        <w:t>Artigo 3.</w:t>
      </w:r>
    </w:p>
    <w:p w14:paraId="11A8A898" w14:textId="77777777" w:rsidR="00651E64" w:rsidRPr="005632EA" w:rsidRDefault="008B28E1" w:rsidP="00651E64">
      <w:pPr>
        <w:pStyle w:val="Paragraphberschrift"/>
      </w:pPr>
      <w:r>
        <w:t>Géneros alimentícios destinados a lactentes</w:t>
      </w:r>
    </w:p>
    <w:p w14:paraId="0E589CC6" w14:textId="77777777" w:rsidR="00043572" w:rsidRPr="005632EA" w:rsidRDefault="0050376B" w:rsidP="00651E64">
      <w:pPr>
        <w:pStyle w:val="JuristischerAbsatznichtnummeriert"/>
      </w:pPr>
      <w:r>
        <w:t xml:space="preserve">A utilização de substâncias aromatizantes é proibida na produção: </w:t>
      </w:r>
    </w:p>
    <w:p w14:paraId="78830B54" w14:textId="77777777" w:rsidR="00043572" w:rsidRPr="005632EA" w:rsidRDefault="00651E64" w:rsidP="009E788E">
      <w:pPr>
        <w:pStyle w:val="NummerierungStufe1"/>
      </w:pPr>
      <w:r>
        <w:t>de fórmulas para lactentes; e</w:t>
      </w:r>
    </w:p>
    <w:p w14:paraId="56568695" w14:textId="77777777" w:rsidR="00043572" w:rsidRPr="005632EA" w:rsidRDefault="00043572" w:rsidP="009E788E">
      <w:pPr>
        <w:pStyle w:val="NummerierungStufe1"/>
      </w:pPr>
      <w:r>
        <w:t xml:space="preserve">de géneros alimentícios destinados a lactentes com menos de dezasseis semanas de idade. </w:t>
      </w:r>
    </w:p>
    <w:p w14:paraId="5075DFB7" w14:textId="10683200" w:rsidR="00651E64" w:rsidRPr="005632EA" w:rsidRDefault="009A59A7" w:rsidP="009A59A7">
      <w:pPr>
        <w:pStyle w:val="ParagraphBezeichner"/>
        <w:numPr>
          <w:ilvl w:val="0"/>
          <w:numId w:val="0"/>
        </w:numPr>
      </w:pPr>
      <w:r>
        <w:t>Artigo 4.</w:t>
      </w:r>
    </w:p>
    <w:p w14:paraId="5514444C" w14:textId="77777777" w:rsidR="00651E64" w:rsidRPr="005632EA" w:rsidRDefault="00B7429A" w:rsidP="00651E64">
      <w:pPr>
        <w:pStyle w:val="Paragraphberschrift"/>
      </w:pPr>
      <w:r>
        <w:t>Utilização de fumo fresco</w:t>
      </w:r>
    </w:p>
    <w:p w14:paraId="058D0921" w14:textId="77777777" w:rsidR="00E11DA0" w:rsidRPr="005632EA" w:rsidRDefault="00C86B1E" w:rsidP="008A0CC7">
      <w:pPr>
        <w:pStyle w:val="JuristischerAbsatznummeriert"/>
      </w:pPr>
      <w:r>
        <w:t xml:space="preserve">É proibido produzir géneros alimentícios utilizando fumo fresco, em caso de incumprimento dos requisitos do n.º 2, 4 ou 5. </w:t>
      </w:r>
    </w:p>
    <w:p w14:paraId="0EA3F196" w14:textId="77777777" w:rsidR="00B9172A" w:rsidRPr="005632EA" w:rsidRDefault="00B9172A" w:rsidP="00B9172A">
      <w:pPr>
        <w:pStyle w:val="JuristischerAbsatznummeriert"/>
      </w:pPr>
      <w:r>
        <w:t xml:space="preserve">Na produção de fumo fresco, apenas se admite a utilização de madeiras e ramos naturais, urze e sementes de coníferas, respetivamente também com a adição de especiarias. </w:t>
      </w:r>
    </w:p>
    <w:p w14:paraId="4277BC9E" w14:textId="77777777" w:rsidR="00B9172A" w:rsidRPr="005632EA" w:rsidRDefault="00DD78B3">
      <w:pPr>
        <w:pStyle w:val="JuristischerAbsatznummeriert"/>
      </w:pPr>
      <w:r>
        <w:t xml:space="preserve"> Em derrogação do n.º 2, também pode ser utilizada turfa para a produção de fumo fresco, para o tratamento de malte para a produção: </w:t>
      </w:r>
    </w:p>
    <w:p w14:paraId="068BCAED" w14:textId="77777777" w:rsidR="00B9172A" w:rsidRPr="005632EA" w:rsidRDefault="00B9172A" w:rsidP="00B9172A">
      <w:pPr>
        <w:pStyle w:val="NummerierungStufe1"/>
      </w:pPr>
      <w:r>
        <w:t>de whisky ou whiskey na aceção do anexo I, ponto 2, do Regulamento (UE) 2019/787 do Parlamento Europeu e do Conselho, de 17 de abril de 2019, relativo à definição, designação, apresentação e rotulagem das bebidas espirituosas, à utilização das denominações das bebidas espirituosas na apresentação e rotulagem de outros géneros alimentícios e à proteção das indicações geográficas das bebidas espirituosas, à utilização de álcool etílico e de destilados de origem agrícola na produção de bebidas alcoólicas, e que revoga o Regulamento (CE) n.º 110/2008 (JO L 130 de 17.5.2019, p. 1; L 316I de 6.12.2019, p. 3; L 178, 20.5.2021, p. 4) e</w:t>
      </w:r>
      <w:bookmarkStart w:id="4" w:name="DQPErrorScope28DA2E2C73EE4A8EA6577F4BAE0"/>
      <w:bookmarkStart w:id="5" w:name="DQPErrorScope99465381B6464B289894D728EEF"/>
      <w:bookmarkStart w:id="6" w:name="DQPErrorScope2DEF65B51EE44A5D8DE4F31006A"/>
    </w:p>
    <w:bookmarkEnd w:id="4"/>
    <w:bookmarkEnd w:id="5"/>
    <w:bookmarkEnd w:id="6"/>
    <w:p w14:paraId="3BF48B30" w14:textId="77777777" w:rsidR="00B9172A" w:rsidRPr="005632EA" w:rsidRDefault="00B9172A" w:rsidP="00B9172A">
      <w:pPr>
        <w:pStyle w:val="NummerierungStufe1"/>
      </w:pPr>
      <w:r>
        <w:t xml:space="preserve">de cerveja. </w:t>
      </w:r>
    </w:p>
    <w:p w14:paraId="2F8C86E8" w14:textId="77777777" w:rsidR="00B9172A" w:rsidRPr="005632EA" w:rsidRDefault="00B9172A" w:rsidP="00B9172A">
      <w:pPr>
        <w:pStyle w:val="JuristischerAbsatznummeriert"/>
      </w:pPr>
      <w:r>
        <w:lastRenderedPageBreak/>
        <w:t xml:space="preserve">O fumo fresco não pode ser utilizado para tratar água, soluções aquosas, óleos alimentares e outros líquidos, nem sal nitritado. </w:t>
      </w:r>
    </w:p>
    <w:p w14:paraId="3D203D49" w14:textId="77777777" w:rsidR="00651E64" w:rsidRPr="005632EA" w:rsidRDefault="00B9172A" w:rsidP="00E105DA">
      <w:pPr>
        <w:pStyle w:val="JuristischerAbsatznummeriert"/>
      </w:pPr>
      <w:bookmarkStart w:id="7" w:name="DQPErrorScopeBA1D14AAEDFE47A89FAAF10D3EE"/>
      <w:bookmarkStart w:id="8" w:name="DQPErrorScopeFE446157341546B19C8CB8CE8D1"/>
      <w:r>
        <w:t>O teor médio de benzo(a)pireno em queijo fumado ou produtos fumados feitos de queijo não pode exceder um micrograma por quilograma (1,0 µg/kg).</w:t>
      </w:r>
      <w:bookmarkEnd w:id="7"/>
      <w:bookmarkEnd w:id="8"/>
      <w:r>
        <w:t xml:space="preserve"> </w:t>
      </w:r>
      <w:bookmarkStart w:id="9" w:name="DQPErrorScopeF11771B40F1748CCBE6ADFADDF1"/>
      <w:bookmarkStart w:id="10" w:name="DQPErrorScope6B12DDF99151491C95D7E2DA9D3"/>
      <w:bookmarkEnd w:id="9"/>
      <w:bookmarkEnd w:id="10"/>
    </w:p>
    <w:p w14:paraId="18DBEC8B" w14:textId="186FB22C" w:rsidR="00122C40" w:rsidRPr="005632EA" w:rsidRDefault="009A59A7" w:rsidP="009A59A7">
      <w:pPr>
        <w:pStyle w:val="ParagraphBezeichner"/>
        <w:numPr>
          <w:ilvl w:val="0"/>
          <w:numId w:val="0"/>
        </w:numPr>
      </w:pPr>
      <w:r>
        <w:t>Artigo 5.</w:t>
      </w:r>
    </w:p>
    <w:p w14:paraId="480E4DDD" w14:textId="77777777" w:rsidR="00651E64" w:rsidRPr="005632EA" w:rsidRDefault="00651E64" w:rsidP="00651E64">
      <w:pPr>
        <w:pStyle w:val="Paragraphberschrift"/>
      </w:pPr>
      <w:r>
        <w:t>Rotulagem</w:t>
      </w:r>
    </w:p>
    <w:p w14:paraId="67CDE80E" w14:textId="77777777" w:rsidR="00651E64" w:rsidRPr="005632EA" w:rsidRDefault="00F707E6" w:rsidP="00651E64">
      <w:pPr>
        <w:pStyle w:val="JuristischerAbsatznummeriert"/>
      </w:pPr>
      <w:r>
        <w:t xml:space="preserve">As bebidas não pré-embaladas com um teor alcoólico até 1,2 % vol. e os aromas não pré-embalados que contenham respetivamente quinino ou os seus sais só podem ser fornecidos a consumidores finais e a estabelecimentos de restauração coletiva se forem rotulados com a menção «contém quinino» da forma especificada nos n.os 3 a 5. </w:t>
      </w:r>
      <w:bookmarkStart w:id="11" w:name="DQPErrorScopeE4EB20D4B1684A33878E68F0A6F"/>
      <w:r>
        <w:t>A menção nos termos do primeiro período pode ser suprimida caso os produtos supramencionados possuam uma lista de ingredientes que corresponda aos requisitos aplicáveis às menções nos termos do artigo 9.º, n.º 1, alínea b), em conjugação com o artigo 18.º do Regulamento (UE) n.º 1169/2011.</w:t>
      </w:r>
      <w:bookmarkEnd w:id="11"/>
      <w:r>
        <w:t xml:space="preserve"> </w:t>
      </w:r>
    </w:p>
    <w:p w14:paraId="614C59F2" w14:textId="77777777" w:rsidR="00651E64" w:rsidRPr="005632EA" w:rsidRDefault="00C621E8" w:rsidP="00651E64">
      <w:pPr>
        <w:pStyle w:val="JuristischerAbsatznummeriert"/>
      </w:pPr>
      <w:r>
        <w:t>Os produtos de alcaçuz pré-embalados e não pré-embalados só podem ser fornecidos a consumidores finais e a estabelecimentos de restauração coletiva com as seguintes menções, que devem ser disponibilizadas da forma especificada nos n.os 3 a 5:</w:t>
      </w:r>
    </w:p>
    <w:p w14:paraId="4923723A" w14:textId="77777777" w:rsidR="00651E64" w:rsidRPr="005632EA" w:rsidRDefault="00651E64" w:rsidP="00651E64">
      <w:pPr>
        <w:pStyle w:val="NummerierungStufe1"/>
      </w:pPr>
      <w:r>
        <w:t xml:space="preserve">Com a menção «alcaçuz para adultos - não se destina a crianças», se o teor de cloreto de amónio exceder 20,0 gramas por quilograma, mas não exceder 44,9 gramas por quilograma; </w:t>
      </w:r>
    </w:p>
    <w:p w14:paraId="6FE208B0" w14:textId="77777777" w:rsidR="00B23B47" w:rsidRPr="005632EA" w:rsidRDefault="00651E64" w:rsidP="00B23B47">
      <w:pPr>
        <w:pStyle w:val="NummerierungStufe1"/>
      </w:pPr>
      <w:r>
        <w:t xml:space="preserve">Com a menção «alcaçuz para adultos extraforte - não se destina a crianças», se o teor de cloreto de amónio exceder 44,9 gramas por quilograma, mas não exceder 79,9 gramas por quilograma; e </w:t>
      </w:r>
    </w:p>
    <w:p w14:paraId="4D743E2D" w14:textId="77777777" w:rsidR="00651E64" w:rsidRPr="005632EA" w:rsidRDefault="00651E64" w:rsidP="00B23B47">
      <w:pPr>
        <w:pStyle w:val="NummerierungStufe1"/>
      </w:pPr>
      <w:r>
        <w:t>Com a menção «O consumo excessivo pode ser prejudicial para a saúde, especialmente para pessoas com doenças renais», para além da menção prevista no ponto 2, se o teor de cloreto de amónio exceder 79,9 gramas por quilograma.</w:t>
      </w:r>
    </w:p>
    <w:p w14:paraId="7F821019" w14:textId="09B71547" w:rsidR="00DE2A80" w:rsidRPr="005632EA" w:rsidRDefault="00C756B3" w:rsidP="00C66A86">
      <w:pPr>
        <w:pStyle w:val="JuristischerAbsatznummeriert"/>
      </w:pPr>
      <w:bookmarkStart w:id="12" w:name="DQPErrorScope568EEC9C90CC421DBAB93096CD0"/>
      <w:r>
        <w:t>No caso de géneros alimentícios na aceção do artigo 2.º, alínea c), desde que os mesmos não sejam oferecidos para autosserviço, bem como de géneros alimentícios na aceção do Artigo 2(3), as menções nos termos do n.º 1, primeiro período, e n.º 2, devem ser disponibilizadas da seguinte forma:</w:t>
      </w:r>
    </w:p>
    <w:p w14:paraId="3BB0816C" w14:textId="59F880FB" w:rsidR="00C756B3" w:rsidRPr="005632EA" w:rsidRDefault="00C756B3" w:rsidP="00E548ED">
      <w:pPr>
        <w:pStyle w:val="NummerierungStufe1"/>
      </w:pPr>
      <w:r>
        <w:t>De acordo com o artigo 12.º, n.º 2, do Regulamento (UE) n.º 1169/2011 ou em conformidade com o artigo 4.º, n.os 3 e 4, do Decreto de execução relativo à informação sobre os géneros alimentícios, de 5 de julho de 2017 (DO Federal I p. 2272), com a última alteração pelo Artigo 4 do Decreto de 18 d3e novembro de 2020 (Jornal Oficial Federal I p. 2504) e;</w:t>
      </w:r>
    </w:p>
    <w:p w14:paraId="7D61ED43" w14:textId="77777777" w:rsidR="00380DED" w:rsidRPr="005632EA" w:rsidRDefault="00C756B3" w:rsidP="00E548ED">
      <w:pPr>
        <w:pStyle w:val="NummerierungStufe1"/>
      </w:pPr>
      <w:r>
        <w:t>Da mesma forma e no mesmo suporte em que devem ser disponibilizadas as menções nos termos do artigo 4.º, n.º 2, do decreto de execução relativo à informação sobre os géneros alimentícios, sempre que as menções nos termos do artigo 4.º, n.º 2, do decreto de execução relativo à informação sobre os géneros alimentícios sejam obrigatórias.</w:t>
      </w:r>
    </w:p>
    <w:p w14:paraId="30D82C29" w14:textId="7BE80271" w:rsidR="0038729E" w:rsidRPr="005632EA" w:rsidRDefault="005A6DDD" w:rsidP="00D43DAA">
      <w:pPr>
        <w:pStyle w:val="JuristischerAbsatznummeriert"/>
      </w:pPr>
      <w:r>
        <w:t>No caso de géneros alimentícios na aceção do artigo 2.º, alínea c), desde que os mesmos sejam oferecidos para autosserviço, bem como de produtos de alcaçuz pré-embalados, as menções nos termos do n.º 1, primeiro período, e n.º 2, devem ser disponibilizadas de acordo com o artigo 12.º, n.º 2, da Regulamentação (UE) n.º 1169/2011.</w:t>
      </w:r>
    </w:p>
    <w:p w14:paraId="7022EE71" w14:textId="77777777" w:rsidR="00C50450" w:rsidRPr="005632EA" w:rsidRDefault="001E604E">
      <w:pPr>
        <w:pStyle w:val="JuristischerAbsatznummeriert"/>
      </w:pPr>
      <w:r>
        <w:lastRenderedPageBreak/>
        <w:t>Sob reserva dos n.os 3 e 4, no caso de géneros alimentícios que sejam postos à venda mediante uma técnica de comunicação à distância, as menções nos termos do n.º 1, primeiro período, e n.º 2, devem ser disponibilizadas de acordo com o artigo 14.º, n.º 1, do Regulamento (UE) n.º 1169/2011.</w:t>
      </w:r>
    </w:p>
    <w:bookmarkEnd w:id="12"/>
    <w:p w14:paraId="0722652F" w14:textId="77777777" w:rsidR="001E04AA" w:rsidRPr="005632EA" w:rsidRDefault="001E04AA" w:rsidP="004C2AB1">
      <w:pPr>
        <w:pStyle w:val="JuristischerAbsatznummeriert"/>
      </w:pPr>
      <w:r>
        <w:t>Os aromas que se destinem ao fornecimento a consumidores finais e que utilizem o termo «natural» na sua designação só podem ser colocados no mercado se a utilização do referido termo respeitar os requisitos do artigo 17.º, n.º 2, em conjugação com o artigo 16.º do Regulamento (CE) n.º 1334/2008.</w:t>
      </w:r>
    </w:p>
    <w:p w14:paraId="4D906090" w14:textId="1DD4D1E0" w:rsidR="00651E64" w:rsidRPr="005632EA" w:rsidRDefault="009A59A7" w:rsidP="009A59A7">
      <w:pPr>
        <w:pStyle w:val="ParagraphBezeichner"/>
        <w:numPr>
          <w:ilvl w:val="0"/>
          <w:numId w:val="0"/>
        </w:numPr>
      </w:pPr>
      <w:r>
        <w:t>Artigo 6.</w:t>
      </w:r>
    </w:p>
    <w:p w14:paraId="36D55FC3" w14:textId="77777777" w:rsidR="00651E64" w:rsidRPr="005632EA" w:rsidRDefault="00651E64" w:rsidP="00651E64">
      <w:pPr>
        <w:pStyle w:val="Paragraphberschrift"/>
      </w:pPr>
      <w:r>
        <w:t>Infrações</w:t>
      </w:r>
    </w:p>
    <w:p w14:paraId="32C78173" w14:textId="77777777" w:rsidR="007B7086" w:rsidRPr="005632EA" w:rsidRDefault="00651E64" w:rsidP="00651E64">
      <w:pPr>
        <w:pStyle w:val="JuristischerAbsatznummeriert"/>
      </w:pPr>
      <w:r>
        <w:t>É punido nos termos do artigo 58.º, n.º 1, ponto 18, n.os 4 a 6, do Código dos Géneros Alimentícios e dos Alimentos para Animais, quem, intencionalmente ou por negligência:</w:t>
      </w:r>
    </w:p>
    <w:p w14:paraId="2ABDE8CD" w14:textId="77777777" w:rsidR="007B7086" w:rsidRPr="005632EA" w:rsidRDefault="00DF49C8" w:rsidP="007B7086">
      <w:pPr>
        <w:pStyle w:val="NummerierungStufe1"/>
      </w:pPr>
      <w:r>
        <w:t>utilizar um aromatizante em violação do artigo 3.º; ou</w:t>
      </w:r>
    </w:p>
    <w:p w14:paraId="5298DA03" w14:textId="77777777" w:rsidR="00DF49C8" w:rsidRPr="005632EA" w:rsidRDefault="00732057" w:rsidP="00C15A69">
      <w:pPr>
        <w:pStyle w:val="NummerierungStufe1"/>
      </w:pPr>
      <w:r>
        <w:t xml:space="preserve">produzir um género alimentício em violação do artigo 4.º, n.º 1. </w:t>
      </w:r>
    </w:p>
    <w:p w14:paraId="4CF08140" w14:textId="77777777" w:rsidR="00251B11" w:rsidRPr="005632EA" w:rsidRDefault="00651E64" w:rsidP="00251B11">
      <w:pPr>
        <w:pStyle w:val="JuristischerAbsatznummeriert"/>
      </w:pPr>
      <w:r>
        <w:t>É punido nos termos do artigo 59.º, n.º 1, ponto 21, alínea a), do Código dos Géneros Alimentícios e dos Alimentos para Animais, quem, em violação do artigo 5.º, n.º 1, primeiro período, ou n.º 2, fornecer um produto ou um aroma aí mencionado.</w:t>
      </w:r>
    </w:p>
    <w:p w14:paraId="419B5E20" w14:textId="77777777" w:rsidR="00021797" w:rsidRPr="005632EA" w:rsidRDefault="00651E64" w:rsidP="00020477">
      <w:pPr>
        <w:pStyle w:val="JuristischerAbsatznummeriert"/>
      </w:pPr>
      <w:bookmarkStart w:id="13" w:name="DQPErrorScopeC76905A79867435F8B7C38D4B45"/>
      <w:r>
        <w:t>É punido nos termos do artigo 58.º, n.º 3, ponto 2, n.os 4 a 6, do Código dos Géneros Alimentícios e dos Alimentos para Animais, quem, intencionalmente ou por negligência, colocar no mercado um aroma de fumo ou um género alimentício</w:t>
      </w:r>
      <w:bookmarkEnd w:id="13"/>
      <w:r>
        <w:t xml:space="preserve"> em violação do artigo 4.º, n.º 2, do Regulamento (CE) n.º 2065/2003 do Parlamento Europeu e do Conselho, de 10 de novembro de 2003, relativo aos aromatizantes de fumo utilizados ou destinados a serem utilizados nos ou sobre os géneros alimentícios (JO L 309 de 26.11.2003, p. 1), com a última redação que lhe foi dada pela Regulamentação (UE) 2019/1381 (JO L 231 de 6.9.2019, p. 1).</w:t>
      </w:r>
    </w:p>
    <w:p w14:paraId="0076BE5B" w14:textId="5CE6E0B5" w:rsidR="00D43DAA" w:rsidRPr="005632EA" w:rsidRDefault="009A59A7" w:rsidP="009A59A7">
      <w:pPr>
        <w:pStyle w:val="ParagraphBezeichner"/>
        <w:numPr>
          <w:ilvl w:val="0"/>
          <w:numId w:val="0"/>
        </w:numPr>
      </w:pPr>
      <w:r>
        <w:t>Artigo 7.</w:t>
      </w:r>
    </w:p>
    <w:p w14:paraId="66715C88" w14:textId="77777777" w:rsidR="00021797" w:rsidRPr="005632EA" w:rsidRDefault="00021797" w:rsidP="00E548ED">
      <w:pPr>
        <w:pStyle w:val="Paragraphberschrift"/>
      </w:pPr>
      <w:r>
        <w:t>Contraordenações</w:t>
      </w:r>
    </w:p>
    <w:p w14:paraId="25F7C572" w14:textId="77777777" w:rsidR="00651E64" w:rsidRPr="005632EA" w:rsidRDefault="009A5EF4" w:rsidP="00651E64">
      <w:pPr>
        <w:pStyle w:val="JuristischerAbsatznummeriert"/>
      </w:pPr>
      <w:bookmarkStart w:id="14" w:name="DQPErrorScope198834BC410D4A869AB7DF5798B"/>
      <w:r>
        <w:t>Quem, por negligência, cometer um ato designado no artigo 6.º, n.º 2, comete uma contraordenação</w:t>
      </w:r>
      <w:bookmarkEnd w:id="14"/>
      <w:r>
        <w:t xml:space="preserve"> nos termos do artigo 60.º, n.º 1, ponto 2, do Código dos Géneros Alimentícios e dos Alimentos para Animais. </w:t>
      </w:r>
    </w:p>
    <w:p w14:paraId="2D5E64E8" w14:textId="77777777" w:rsidR="001E04AA" w:rsidRPr="005632EA" w:rsidRDefault="001E04AA" w:rsidP="001E04AA">
      <w:pPr>
        <w:pStyle w:val="JuristischerAbsatznummeriert"/>
      </w:pPr>
      <w:bookmarkStart w:id="15" w:name="DQPErrorScope54B3504AEBF347B489F4C3F8811"/>
      <w:bookmarkStart w:id="16" w:name="DQPErrorScope7CF15FF5351E44E09993510841B"/>
      <w:r>
        <w:t>Incorre em contraordenação na aceção do artigo 60.º, n.º 2, ponto 26, alínea a), do Código dos Géneros Alimentícios e dos Alimentos para Animais, quem, intencionalmente ou por negligência, em violação do artigo 5.º, n.º 6, colocar no mercado um aroma aí mencionado.</w:t>
      </w:r>
    </w:p>
    <w:p w14:paraId="1951DE7E" w14:textId="77777777" w:rsidR="008A0CC7" w:rsidRPr="005632EA" w:rsidRDefault="00486873" w:rsidP="001E04AA">
      <w:pPr>
        <w:pStyle w:val="JuristischerAbsatznummeriert"/>
      </w:pPr>
      <w:r>
        <w:t xml:space="preserve">Incorre em contraordenação na aceção do artigo 60.º, n.º 4, ponto 2, alínea a), do Código dos Géneros Alimentícios e dos Alimentos para Animais, quem violar o Regulamento (CE) n.º 1334/2008 do Parlamento Europeu e do Conselho, de 16 de dezembro de 2008, relativo aos aromas e a determinados ingredientes alimentares com propriedades aromatizantes utilizados nos e sobre os géneros alimentícios e que altera o Regulamento (CEE) n.º 1601/91 do Conselho, os Regulamentos (CE) n.º 2232/96 e (CE) n.º 110/2008 e a Diretiva 2000/13/CE (JO L 354 de 31.12.2008, p. 34; L 105 de 27.4.2010, </w:t>
      </w:r>
      <w:r>
        <w:lastRenderedPageBreak/>
        <w:t>p. 115), com a última redação que lhe foi dada pelo Regulamento (UE) 2020/1681 (JO L 379 de 13.11.2020, p. 27), colocando um aroma no mercado, intencionalmente ou por negligência, em violação do artigo 14.º, n.º 1, primeiro período, em conjugação com o artigo 15.º ou 16.º, ou em violação do artigo 17.º, n.º 1.</w:t>
      </w:r>
    </w:p>
    <w:bookmarkEnd w:id="15"/>
    <w:bookmarkEnd w:id="16"/>
    <w:p w14:paraId="74D142D0" w14:textId="77777777" w:rsidR="008A0CC7" w:rsidRPr="005632EA" w:rsidRDefault="008A0CC7" w:rsidP="008A0CC7">
      <w:pPr>
        <w:pStyle w:val="JuristischerAbsatzFolgeabsatz"/>
      </w:pPr>
    </w:p>
    <w:p w14:paraId="1AFD2ADD" w14:textId="69B8FC8B" w:rsidR="00651E64" w:rsidRPr="005632EA" w:rsidRDefault="009A59A7" w:rsidP="009A59A7">
      <w:pPr>
        <w:pStyle w:val="ParagraphBezeichner"/>
        <w:numPr>
          <w:ilvl w:val="0"/>
          <w:numId w:val="0"/>
        </w:numPr>
      </w:pPr>
      <w:r>
        <w:t>Artigo 8.</w:t>
      </w:r>
    </w:p>
    <w:p w14:paraId="7D621927" w14:textId="77777777" w:rsidR="00651E64" w:rsidRPr="005632EA" w:rsidRDefault="00651E64" w:rsidP="00651E64">
      <w:pPr>
        <w:pStyle w:val="Paragraphberschrift"/>
      </w:pPr>
      <w:r>
        <w:t>Disposições transitórias</w:t>
      </w:r>
    </w:p>
    <w:p w14:paraId="376BE833" w14:textId="026E9F23" w:rsidR="00651E64" w:rsidRPr="005632EA" w:rsidRDefault="00651E64" w:rsidP="00651E64">
      <w:pPr>
        <w:pStyle w:val="JuristischerAbsatznichtnummeriert"/>
      </w:pPr>
      <w:r>
        <w:t xml:space="preserve">Os artigos de alcaçuz que não cumpram os requisitos do artigo 5.º, n.º 2, podem continuar a ser colocados no mercado até as existências estarem esgotadas, mesmo após... [inserir: </w:t>
      </w:r>
      <w:r>
        <w:rPr>
          <w:i/>
        </w:rPr>
        <w:t>data de entrada em vigor referida na primeira frase do artigo 3.º da presente Regulamentação]</w:t>
      </w:r>
      <w:r>
        <w:t>.</w:t>
      </w:r>
    </w:p>
    <w:p w14:paraId="41B7D042" w14:textId="063AF1BB" w:rsidR="00321AE7" w:rsidRPr="005632EA" w:rsidRDefault="009A59A7" w:rsidP="009A59A7">
      <w:pPr>
        <w:pStyle w:val="ArtikelBezeichner"/>
        <w:numPr>
          <w:ilvl w:val="0"/>
          <w:numId w:val="0"/>
        </w:numPr>
        <w:ind w:left="720"/>
      </w:pPr>
      <w:r>
        <w:t>Artigo 2.º</w:t>
      </w:r>
    </w:p>
    <w:p w14:paraId="43BD44C0" w14:textId="77777777" w:rsidR="00321AE7" w:rsidRPr="005632EA" w:rsidRDefault="00321AE7" w:rsidP="00321AE7">
      <w:pPr>
        <w:pStyle w:val="Artikelberschrift"/>
      </w:pPr>
      <w:r>
        <w:t>Alteração do decreto relativo ao queijo</w:t>
      </w:r>
    </w:p>
    <w:p w14:paraId="4F034C3F" w14:textId="77777777" w:rsidR="00321AE7" w:rsidRPr="005632EA" w:rsidRDefault="00321AE7" w:rsidP="00321AE7">
      <w:pPr>
        <w:pStyle w:val="JuristischerAbsatznichtnummeriert"/>
      </w:pPr>
      <w:r>
        <w:t>O Decreto relativo ao queijo, na redação da publicação de 14 de abril de 1986 (DO Federal I p. 412), com a última redação que lhe foi dada pelo artigo 18.º do Decreto de 5 de julho de 2017 (DO Federal I p. 2272), é alterado do seguinte modo:</w:t>
      </w:r>
    </w:p>
    <w:p w14:paraId="4C90E633" w14:textId="77777777" w:rsidR="00321AE7" w:rsidRPr="005632EA" w:rsidRDefault="00321AE7" w:rsidP="00321AE7">
      <w:pPr>
        <w:pStyle w:val="NummerierungStufe1"/>
      </w:pPr>
      <w:r>
        <w:t>O artigo 3.º é alterado do seguinte modo:</w:t>
      </w:r>
    </w:p>
    <w:p w14:paraId="6DDC2025" w14:textId="77777777" w:rsidR="0067727A" w:rsidRPr="005632EA" w:rsidRDefault="00321AE7" w:rsidP="00321AE7">
      <w:pPr>
        <w:pStyle w:val="NummerierungStufe2"/>
      </w:pPr>
      <w:r>
        <w:t>O n.º 1 é alterado do seguinte modo:</w:t>
      </w:r>
    </w:p>
    <w:p w14:paraId="30CA21AE" w14:textId="57E67569" w:rsidR="00321AE7" w:rsidRPr="005632EA" w:rsidRDefault="0067727A" w:rsidP="00D65456">
      <w:pPr>
        <w:pStyle w:val="NummerierungStufe3"/>
      </w:pPr>
      <w:r>
        <w:t xml:space="preserve">Na cláusula que antecede o ponto 1, são suprimidos os termos </w:t>
      </w:r>
      <w:r w:rsidRPr="00BB747C">
        <w:rPr>
          <w:color w:val="943634" w:themeColor="accent2" w:themeShade="BF"/>
        </w:rPr>
        <w:t>‘e sob reserva do Artigo 23’.</w:t>
      </w:r>
    </w:p>
    <w:p w14:paraId="557ADBF6" w14:textId="4AFAFB57" w:rsidR="00DE766B" w:rsidRPr="005632EA" w:rsidRDefault="00DE766B" w:rsidP="00DE766B">
      <w:pPr>
        <w:pStyle w:val="NummerierungStufe3"/>
      </w:pPr>
      <w:r>
        <w:t>No ponto 1, alínea e) o ponto e vírgula no final é substituído por uma vírgula.</w:t>
      </w:r>
    </w:p>
    <w:p w14:paraId="39DA0767" w14:textId="71F849AB" w:rsidR="00A22FC2" w:rsidRPr="005632EA" w:rsidRDefault="0039746B" w:rsidP="00D65456">
      <w:pPr>
        <w:pStyle w:val="NummerierungStufe3"/>
      </w:pPr>
      <w:r>
        <w:t>O ponto 2 é alterado do seguinte modo:</w:t>
      </w:r>
    </w:p>
    <w:p w14:paraId="56ED3096" w14:textId="41BECEC2" w:rsidR="00A22FC2" w:rsidRPr="005632EA" w:rsidRDefault="00A22FC2" w:rsidP="009E0D4B">
      <w:pPr>
        <w:pStyle w:val="NummerierungStufe4"/>
      </w:pPr>
      <w:r>
        <w:t>Na alínea e), o ponto e vírgula no final é substituído por uma vírgula.</w:t>
      </w:r>
    </w:p>
    <w:p w14:paraId="65555EB5" w14:textId="5D2F1E21" w:rsidR="0039746B" w:rsidRPr="005632EA" w:rsidRDefault="00A22FC2" w:rsidP="009E0D4B">
      <w:pPr>
        <w:pStyle w:val="NummerierungStufe4"/>
      </w:pPr>
      <w:r>
        <w:t>É aditada a seguinte alínea f:</w:t>
      </w:r>
    </w:p>
    <w:p w14:paraId="171F26A4" w14:textId="6A31659F" w:rsidR="00321AE7" w:rsidRDefault="00321AE7" w:rsidP="00871D83">
      <w:pPr>
        <w:pStyle w:val="RevisionNummerierungStufe2"/>
        <w:numPr>
          <w:ilvl w:val="4"/>
          <w:numId w:val="2"/>
        </w:numPr>
        <w:tabs>
          <w:tab w:val="clear" w:pos="850"/>
          <w:tab w:val="left" w:pos="2484"/>
        </w:tabs>
        <w:ind w:left="2484"/>
      </w:pPr>
      <w:r>
        <w:fldChar w:fldCharType="begin"/>
      </w:r>
      <w:r>
        <w:instrText xml:space="preserve"> ADVANCE  \l 26  </w:instrText>
      </w:r>
      <w:r>
        <w:fldChar w:fldCharType="end"/>
      </w:r>
      <w:r>
        <w:t>‘</w:t>
      </w:r>
      <w:r>
        <w:tab/>
        <w:t>fumo fresco na aceção do artigo 4.º, n.º 2, do Decreto de execução relativo aos aromas;’</w:t>
      </w:r>
    </w:p>
    <w:p w14:paraId="211A0FBC" w14:textId="77777777" w:rsidR="00321AE7" w:rsidRPr="005632EA" w:rsidRDefault="00321AE7" w:rsidP="00321AE7">
      <w:pPr>
        <w:pStyle w:val="NummerierungStufe2"/>
      </w:pPr>
      <w:r>
        <w:t xml:space="preserve">No n.º 2 e no n.º 2-A, primeiro período, respetivamente, são suprimidos os termos </w:t>
      </w:r>
      <w:bookmarkStart w:id="17" w:name="DQPErrorScope5FBBE17180284D6297EB00D6129"/>
      <w:r>
        <w:rPr>
          <w:rStyle w:val="RevisionText"/>
        </w:rPr>
        <w:t>‘</w:t>
      </w:r>
      <w:r>
        <w:rPr>
          <w:color w:val="800000"/>
        </w:rPr>
        <w:t>e sob reserva do Artigo 23</w:t>
      </w:r>
      <w:r>
        <w:rPr>
          <w:rStyle w:val="RevisionText"/>
        </w:rPr>
        <w:t>’</w:t>
      </w:r>
      <w:bookmarkEnd w:id="17"/>
      <w:r>
        <w:rPr>
          <w:rStyle w:val="RevisionText"/>
        </w:rPr>
        <w:t>.</w:t>
      </w:r>
    </w:p>
    <w:p w14:paraId="7FDA74F0" w14:textId="77777777" w:rsidR="00321AE7" w:rsidRPr="005632EA" w:rsidRDefault="00321AE7" w:rsidP="004E38D6">
      <w:pPr>
        <w:pStyle w:val="NummerierungStufe1"/>
      </w:pPr>
      <w:r>
        <w:t xml:space="preserve">No artigo 4.º, n.º 1, são suprimidos os termos </w:t>
      </w:r>
      <w:bookmarkStart w:id="18" w:name="DQPErrorScope139E5972AC4743AFB0D787C277F"/>
      <w:r>
        <w:rPr>
          <w:rStyle w:val="RevisionText"/>
        </w:rPr>
        <w:t>‘</w:t>
      </w:r>
      <w:r>
        <w:rPr>
          <w:color w:val="800000"/>
        </w:rPr>
        <w:t>e sob reserva do Artigo 23</w:t>
      </w:r>
      <w:r>
        <w:rPr>
          <w:rStyle w:val="RevisionText"/>
        </w:rPr>
        <w:t>’</w:t>
      </w:r>
      <w:r>
        <w:t>.</w:t>
      </w:r>
      <w:bookmarkEnd w:id="18"/>
    </w:p>
    <w:p w14:paraId="7AC50CA0" w14:textId="77777777" w:rsidR="00321AE7" w:rsidRPr="005632EA" w:rsidRDefault="00321AE7" w:rsidP="004E38D6">
      <w:pPr>
        <w:pStyle w:val="NummerierungStufe1"/>
      </w:pPr>
      <w:r>
        <w:t>A sexta secção é suprimida;</w:t>
      </w:r>
    </w:p>
    <w:p w14:paraId="748256A0" w14:textId="77777777" w:rsidR="00031266" w:rsidRPr="005632EA" w:rsidRDefault="00E253F9" w:rsidP="000E0920">
      <w:pPr>
        <w:pStyle w:val="NummerierungStufe1"/>
      </w:pPr>
      <w:r>
        <w:t>O artigo 30.º é alterado do seguinte modo:</w:t>
      </w:r>
    </w:p>
    <w:p w14:paraId="474225BF" w14:textId="77777777" w:rsidR="00031266" w:rsidRPr="005632EA" w:rsidRDefault="00321AE7" w:rsidP="00866FD2">
      <w:pPr>
        <w:pStyle w:val="NummerierungStufe2"/>
      </w:pPr>
      <w:r>
        <w:t>O n.º 3 é revogado,</w:t>
      </w:r>
    </w:p>
    <w:p w14:paraId="4FAEE056" w14:textId="77777777" w:rsidR="0039746B" w:rsidRPr="005632EA" w:rsidRDefault="00E253F9" w:rsidP="00031266">
      <w:pPr>
        <w:pStyle w:val="NummerierungStufe2"/>
      </w:pPr>
      <w:r>
        <w:t xml:space="preserve">No Parágrafo 5, o termo </w:t>
      </w:r>
      <w:r>
        <w:rPr>
          <w:color w:val="800000"/>
        </w:rPr>
        <w:t>‘até’</w:t>
      </w:r>
      <w:r>
        <w:t xml:space="preserve"> é substituído pelo termo </w:t>
      </w:r>
      <w:r>
        <w:rPr>
          <w:color w:val="800000"/>
        </w:rPr>
        <w:t>‘ou’</w:t>
      </w:r>
      <w:r>
        <w:t>.</w:t>
      </w:r>
    </w:p>
    <w:p w14:paraId="02E115D1" w14:textId="48D58A42" w:rsidR="00651E64" w:rsidRDefault="009A59A7" w:rsidP="009A59A7">
      <w:pPr>
        <w:pStyle w:val="ArtikelBezeichner"/>
        <w:numPr>
          <w:ilvl w:val="0"/>
          <w:numId w:val="0"/>
        </w:numPr>
      </w:pPr>
      <w:r>
        <w:lastRenderedPageBreak/>
        <w:t>Artigo 3.º</w:t>
      </w:r>
    </w:p>
    <w:p w14:paraId="100EACD9" w14:textId="77777777" w:rsidR="00651E64" w:rsidRPr="005632EA" w:rsidRDefault="00651E64" w:rsidP="00484650">
      <w:pPr>
        <w:pStyle w:val="Artikelberschrift"/>
      </w:pPr>
      <w:r>
        <w:rPr>
          <w:rStyle w:val="Marker"/>
          <w:color w:val="auto"/>
        </w:rPr>
        <w:t>Entrada em vigor, revogação</w:t>
      </w:r>
    </w:p>
    <w:p w14:paraId="1E09C3F9" w14:textId="77777777" w:rsidR="00651E64" w:rsidRPr="005632EA" w:rsidRDefault="0039746B" w:rsidP="009E0D4B">
      <w:pPr>
        <w:pStyle w:val="JuristischerAbsatznichtnummeriert"/>
      </w:pPr>
      <w:bookmarkStart w:id="19" w:name="DQPErrorScopeD3252BF2A46E4F62B3685A17D3C"/>
      <w:bookmarkStart w:id="20" w:name="DQPErrorScope31C361210E2349D08419C0C661C"/>
      <w:bookmarkStart w:id="21" w:name="DQPErrorScopeEC6183466E3B4F8BB3C1A099256"/>
      <w:r>
        <w:t>O presente decreto entra em vigor no dia seguinte ao da sua promulgação. Simultaneamente é revogado o Decreto relativo aos aromas, na redação da publicação de 2 de maio de 2006 (DO Federal I p. 1127), com a última redação que lhe foi dada pelo artigo 3.º da Lei de 5 de julho de 2017 (DO Federal I p. 2272).</w:t>
      </w:r>
      <w:bookmarkEnd w:id="19"/>
      <w:bookmarkEnd w:id="20"/>
      <w:bookmarkEnd w:id="21"/>
    </w:p>
    <w:p w14:paraId="77AFE858" w14:textId="77777777" w:rsidR="00651E64" w:rsidRPr="005632EA" w:rsidRDefault="00651E64" w:rsidP="00651E64">
      <w:pPr>
        <w:pStyle w:val="Schlussformel"/>
      </w:pPr>
      <w:r>
        <w:rPr>
          <w:rStyle w:val="Marker"/>
          <w:color w:val="auto"/>
        </w:rPr>
        <w:t>Aprovado pelo Conselho Federal.</w:t>
      </w:r>
    </w:p>
    <w:p w14:paraId="32715D59" w14:textId="77777777" w:rsidR="00D16906" w:rsidRDefault="00D16906" w:rsidP="00D16906">
      <w:pPr>
        <w:pStyle w:val="OrtDatum"/>
        <w:jc w:val="left"/>
      </w:pPr>
      <w:r>
        <w:t>Bona, em…………</w:t>
      </w:r>
    </w:p>
    <w:p w14:paraId="4216F008" w14:textId="77777777" w:rsidR="00D16906" w:rsidRDefault="00D16906" w:rsidP="00D16906">
      <w:pPr>
        <w:pStyle w:val="Organisation"/>
      </w:pPr>
      <w:r>
        <w:t>A ministra Federal da Alimentação e da Agricultura</w:t>
      </w:r>
    </w:p>
    <w:p w14:paraId="01502FBD" w14:textId="07423031" w:rsidR="00D16906" w:rsidRPr="005632EA" w:rsidRDefault="00D16906" w:rsidP="00576F59">
      <w:pPr>
        <w:pStyle w:val="Person"/>
      </w:pPr>
      <w:r>
        <w:t>Julia Klöckner</w:t>
      </w:r>
    </w:p>
    <w:sectPr w:rsidR="00D16906" w:rsidRPr="005632EA" w:rsidSect="00E73B8E">
      <w:headerReference w:type="default" r:id="rId8"/>
      <w:headerReference w:type="first" r:id="rId9"/>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D87F2" w14:textId="77777777" w:rsidR="0015766B" w:rsidRDefault="0015766B" w:rsidP="005D1540">
      <w:pPr>
        <w:spacing w:before="0" w:after="0"/>
      </w:pPr>
      <w:r>
        <w:separator/>
      </w:r>
    </w:p>
  </w:endnote>
  <w:endnote w:type="continuationSeparator" w:id="0">
    <w:p w14:paraId="64A0B093" w14:textId="77777777" w:rsidR="0015766B" w:rsidRDefault="0015766B" w:rsidP="005D1540">
      <w:pPr>
        <w:spacing w:before="0" w:after="0"/>
      </w:pPr>
      <w:r>
        <w:continuationSeparator/>
      </w:r>
    </w:p>
  </w:endnote>
  <w:endnote w:type="continuationNotice" w:id="1">
    <w:p w14:paraId="1A6430A0" w14:textId="77777777" w:rsidR="0015766B" w:rsidRDefault="0015766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8FE00" w14:textId="77777777" w:rsidR="0015766B" w:rsidRDefault="0015766B" w:rsidP="005D1540">
      <w:pPr>
        <w:spacing w:before="0" w:after="0"/>
      </w:pPr>
      <w:r>
        <w:separator/>
      </w:r>
    </w:p>
  </w:footnote>
  <w:footnote w:type="continuationSeparator" w:id="0">
    <w:p w14:paraId="472EA6E7" w14:textId="77777777" w:rsidR="0015766B" w:rsidRDefault="0015766B" w:rsidP="005D1540">
      <w:pPr>
        <w:spacing w:before="0" w:after="0"/>
      </w:pPr>
      <w:r>
        <w:continuationSeparator/>
      </w:r>
    </w:p>
  </w:footnote>
  <w:footnote w:type="continuationNotice" w:id="1">
    <w:p w14:paraId="337489D7" w14:textId="77777777" w:rsidR="0015766B" w:rsidRDefault="0015766B">
      <w:pPr>
        <w:spacing w:before="0" w:after="0"/>
      </w:pPr>
    </w:p>
  </w:footnote>
  <w:footnote w:id="2">
    <w:p w14:paraId="3CD683E6" w14:textId="77777777" w:rsidR="00FF2308" w:rsidRDefault="00FF2308">
      <w:pPr>
        <w:pStyle w:val="FootnoteText"/>
      </w:pPr>
      <w:r>
        <w:rPr>
          <w:rStyle w:val="FootnoteReference"/>
        </w:rPr>
        <w:footnoteRef/>
      </w:r>
      <w:r>
        <w:t xml:space="preserve"> Foram cumpridas as obrigações decorrentes da Diretiva (UE) 2015/1535 do Parlamento Europeu e do Conselho, de 9 de setembro de 2015, relativa a um procedimento de informação no domínio das regulamentações técnicas e das regras relativas aos serviços da sociedade da informação (JO L 241 de 17.9.2015,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E3CA1" w14:textId="65879414" w:rsidR="00FF2308" w:rsidRPr="00E73B8E" w:rsidRDefault="00E73B8E" w:rsidP="00E73B8E">
    <w:pPr>
      <w:pStyle w:val="Header"/>
    </w:pPr>
    <w:r>
      <w:tab/>
      <w:t xml:space="preserve">- </w:t>
    </w:r>
    <w:r>
      <w:fldChar w:fldCharType="begin"/>
    </w:r>
    <w:r>
      <w:instrText xml:space="preserve"> PAGE  \* MERGEFORMAT </w:instrText>
    </w:r>
    <w:r>
      <w:fldChar w:fldCharType="separate"/>
    </w:r>
    <w:r w:rsidR="00576F59">
      <w:t>7</w:t>
    </w:r>
    <w:r>
      <w:fldChar w:fldCharType="end"/>
    </w:r>
    <w:r>
      <w:t xml:space="preserve"> -</w:t>
    </w:r>
    <w:r>
      <w:tab/>
      <w:t>Última atualização</w:t>
    </w:r>
    <w:r>
      <w:rPr>
        <w:sz w:val="18"/>
      </w:rPr>
      <w:t>: 11 de outubro de 2021 12:12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6097" w14:textId="6695D769" w:rsidR="00FF2308" w:rsidRPr="00E73B8E" w:rsidRDefault="00E73B8E" w:rsidP="00E73B8E">
    <w:pPr>
      <w:pStyle w:val="Header"/>
    </w:pPr>
    <w:r>
      <w:tab/>
    </w:r>
    <w:r>
      <w:tab/>
    </w:r>
    <w:r w:rsidR="00CC2C89">
      <w:fldChar w:fldCharType="begin"/>
    </w:r>
    <w:r w:rsidR="00CC2C89">
      <w:instrText xml:space="preserve"> DOCPROPERTY "Bearbeitungsstand" \* MERGEFORMAT </w:instrText>
    </w:r>
    <w:r w:rsidR="00CC2C89">
      <w:fldChar w:fldCharType="separate"/>
    </w:r>
    <w:r w:rsidRPr="00E73B8E">
      <w:rPr>
        <w:sz w:val="18"/>
      </w:rPr>
      <w:t xml:space="preserve">Bearbeitungsstand: </w:t>
    </w:r>
    <w:r w:rsidRPr="00E73B8E">
      <w:rPr>
        <w:sz w:val="18"/>
      </w:rPr>
      <w:t>11.10.2021  12:12</w:t>
    </w:r>
    <w:r w:rsidR="00CC2C89">
      <w:rPr>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D80657"/>
    <w:multiLevelType w:val="hybridMultilevel"/>
    <w:tmpl w:val="E9640788"/>
    <w:lvl w:ilvl="0" w:tplc="FFFFFFFF">
      <w:start w:val="1"/>
      <w:numFmt w:val="bullet"/>
      <w:pStyle w:val="TOCHead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2"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3"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5"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7"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8"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9"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20"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2"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4"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5"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6"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8"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9"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6"/>
  </w:num>
  <w:num w:numId="5">
    <w:abstractNumId w:val="28"/>
  </w:num>
  <w:num w:numId="6">
    <w:abstractNumId w:val="35"/>
  </w:num>
  <w:num w:numId="7">
    <w:abstractNumId w:val="27"/>
  </w:num>
  <w:num w:numId="8">
    <w:abstractNumId w:val="14"/>
  </w:num>
  <w:num w:numId="9">
    <w:abstractNumId w:val="21"/>
  </w:num>
  <w:num w:numId="10">
    <w:abstractNumId w:val="11"/>
  </w:num>
  <w:num w:numId="11">
    <w:abstractNumId w:val="34"/>
  </w:num>
  <w:num w:numId="12">
    <w:abstractNumId w:val="22"/>
  </w:num>
  <w:num w:numId="13">
    <w:abstractNumId w:val="30"/>
  </w:num>
  <w:num w:numId="14">
    <w:abstractNumId w:val="13"/>
  </w:num>
  <w:num w:numId="15">
    <w:abstractNumId w:val="26"/>
  </w:num>
  <w:num w:numId="16">
    <w:abstractNumId w:val="18"/>
  </w:num>
  <w:num w:numId="17">
    <w:abstractNumId w:val="17"/>
  </w:num>
  <w:num w:numId="18">
    <w:abstractNumId w:val="25"/>
  </w:num>
  <w:num w:numId="19">
    <w:abstractNumId w:val="31"/>
  </w:num>
  <w:num w:numId="20">
    <w:abstractNumId w:val="19"/>
  </w:num>
  <w:num w:numId="21">
    <w:abstractNumId w:val="23"/>
  </w:num>
  <w:num w:numId="22">
    <w:abstractNumId w:val="12"/>
  </w:num>
  <w:num w:numId="23">
    <w:abstractNumId w:val="24"/>
  </w:num>
  <w:num w:numId="24">
    <w:abstractNumId w:val="15"/>
  </w:num>
  <w:num w:numId="25">
    <w:abstractNumId w:val="33"/>
  </w:num>
  <w:num w:numId="26">
    <w:abstractNumId w:val="32"/>
  </w:num>
  <w:num w:numId="27">
    <w:abstractNumId w:val="20"/>
  </w:num>
  <w:num w:numId="28">
    <w:abstractNumId w:val="29"/>
  </w:num>
  <w:num w:numId="29">
    <w:abstractNumId w:val="10"/>
  </w:num>
  <w:num w:numId="30">
    <w:abstractNumId w:val="8"/>
  </w:num>
  <w:num w:numId="31">
    <w:abstractNumId w:val="7"/>
  </w:num>
  <w:num w:numId="32">
    <w:abstractNumId w:val="6"/>
  </w:num>
  <w:num w:numId="33">
    <w:abstractNumId w:val="5"/>
  </w:num>
  <w:num w:numId="34">
    <w:abstractNumId w:val="9"/>
  </w:num>
  <w:num w:numId="35">
    <w:abstractNumId w:val="4"/>
  </w:num>
  <w:num w:numId="36">
    <w:abstractNumId w:val="3"/>
  </w:num>
  <w:num w:numId="37">
    <w:abstractNumId w:val="2"/>
  </w:num>
  <w:num w:numId="38">
    <w:abstractNumId w:val="1"/>
  </w:num>
  <w:num w:numId="39">
    <w:abstractNumId w:val="24"/>
    <w:lvlOverride w:ilvl="0">
      <w:startOverride w:val="1"/>
    </w:lvlOverride>
  </w:num>
  <w:num w:numId="40">
    <w:abstractNumId w:val="15"/>
  </w:num>
  <w:num w:numId="41">
    <w:abstractNumId w:val="15"/>
  </w:num>
  <w:num w:numId="42">
    <w:abstractNumId w:val="15"/>
  </w:num>
  <w:num w:numId="43">
    <w:abstractNumId w:val="15"/>
  </w:num>
  <w:num w:numId="44">
    <w:abstractNumId w:val="15"/>
  </w:num>
  <w:num w:numId="45">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2"/>
    <w:docVar w:name="BefehlsKontext_ErmittelnOPC_Maximum" w:val="150ms"/>
    <w:docVar w:name="BefehlsKontext_ErmittelnOPC_Schnitt" w:val="150ms"/>
    <w:docVar w:name="BefehlsKontext_KonvertierenOPC2OOXML_Maximum" w:val="116ms"/>
    <w:docVar w:name="BefehlsKontext_KonvertierenOPC2OOXML_Schnitt" w:val="116ms"/>
    <w:docVar w:name="BefehlsKontext_SpeichernOOXML_Maximum" w:val="360ms"/>
    <w:docVar w:name="BefehlsKontext_SpeichernOOXML_Schnitt" w:val="360ms"/>
    <w:docVar w:name="DQCDateTime" w:val="11.02.2020 15:46:55"/>
    <w:docVar w:name="DQCHighlighting" w:val="100"/>
    <w:docVar w:name="DQCPart_Begruendung" w:val="0"/>
    <w:docVar w:name="DQCPart_Dokument" w:val="0"/>
    <w:docVar w:name="DQCPart_Regelungsteil" w:val="0"/>
    <w:docVar w:name="DQCPart_Vorblatt" w:val="0"/>
    <w:docVar w:name="DQCResult_Aenderungsbefehl" w:val="0;4"/>
    <w:docVar w:name="DQCResult_Binnenverweise" w:val="0;0"/>
    <w:docVar w:name="DQCResult_Citations" w:val="0;4"/>
    <w:docVar w:name="DQCResult_EinzelneRegelungsteile" w:val="0;2"/>
    <w:docVar w:name="DQCResult_EmbeddedObjects" w:val="0;0"/>
    <w:docVar w:name="DQCResult_Gliederung" w:val="6;6"/>
    <w:docVar w:name="DQCResult_Marker" w:val="2;0"/>
    <w:docVar w:name="DQCResult_Metadata" w:val="0;0"/>
    <w:docVar w:name="DQCResult_ModifiedCharFormat" w:val="0;0"/>
    <w:docVar w:name="DQCResult_ModifiedMargins" w:val="5;0"/>
    <w:docVar w:name="DQCResult_ModifiedNumbering" w:val="5;0"/>
    <w:docVar w:name="DQCResult_StructureCheck" w:val="3;0"/>
    <w:docVar w:name="DQCResult_SuperfluousWhitespace" w:val="2;0"/>
    <w:docVar w:name="DQCResult_TermsAndDiction" w:val="0;10"/>
    <w:docVar w:name="DQCResult_Verweise" w:val="0;0"/>
    <w:docVar w:name="DQCWithWarnings" w:val="1"/>
    <w:docVar w:name="eNorm_Property_Save_Classification" w:val=" "/>
    <w:docVar w:name="eNorm_Property_Save_Created using" w:val="LW 5.4, Build 20190301"/>
    <w:docVar w:name="eNorm_Property_Save_eNorm-Version Erstellung" w:val="4.0.3.1, Bundesregierung, [20190301]"/>
    <w:docVar w:name="eNorm_Property_Save_eNorm-Version letzte Bearbeitung" w:val="4.2.1.1 Bundesregierung [20210518]"/>
    <w:docVar w:name="eNorm_Property_Save_eNorm-Version letzte DQP" w:val="4.1.2.1, Bundesregierung, [20191227]"/>
    <w:docVar w:name="eNorm_Property_Save_eNorm-Version vorherige Bearbeitung" w:val="4.2.1.1 Bundesregierung [20210518]"/>
    <w:docVar w:name="eNorm_Property_Save_Kategorie" w:val="AENDER/ARTVER"/>
    <w:docVar w:name="eNorm_Property_Save_Last edited using" w:val="LW 5.4, Build 20210518"/>
    <w:docVar w:name="eNorm_Property_Save_Version" w:val="4.0.3.0"/>
    <w:docVar w:name="eNorm_Template_Save" w:val="AENDER.dotm"/>
    <w:docVar w:name="eNorm_Variable_Save_BMJ" w:val="True"/>
    <w:docVar w:name="eNorm_Variable_Save_CUSTOMER" w:val="8"/>
    <w:docVar w:name="eNorm_Variable_Save_LW_DocType" w:val="AENDER"/>
    <w:docVar w:name="eNorm_Variable_Save_LWCons_Langue" w:val="DE"/>
    <w:docVar w:name="eNormPrintPreview" w:val="1"/>
  </w:docVars>
  <w:rsids>
    <w:rsidRoot w:val="00651E64"/>
    <w:rsid w:val="00000FC3"/>
    <w:rsid w:val="00001A58"/>
    <w:rsid w:val="00003CAC"/>
    <w:rsid w:val="00006385"/>
    <w:rsid w:val="00010DB1"/>
    <w:rsid w:val="00011A12"/>
    <w:rsid w:val="000120A9"/>
    <w:rsid w:val="00015ACF"/>
    <w:rsid w:val="00016412"/>
    <w:rsid w:val="00020477"/>
    <w:rsid w:val="00021797"/>
    <w:rsid w:val="00025E80"/>
    <w:rsid w:val="000271B7"/>
    <w:rsid w:val="00030172"/>
    <w:rsid w:val="00031266"/>
    <w:rsid w:val="00031EB2"/>
    <w:rsid w:val="00035FF5"/>
    <w:rsid w:val="0003619E"/>
    <w:rsid w:val="00043013"/>
    <w:rsid w:val="00043572"/>
    <w:rsid w:val="0004415B"/>
    <w:rsid w:val="0004459C"/>
    <w:rsid w:val="00045B16"/>
    <w:rsid w:val="00047F77"/>
    <w:rsid w:val="0005114E"/>
    <w:rsid w:val="00052AE2"/>
    <w:rsid w:val="00056FA3"/>
    <w:rsid w:val="0007227F"/>
    <w:rsid w:val="00072FCA"/>
    <w:rsid w:val="00073B65"/>
    <w:rsid w:val="00076B25"/>
    <w:rsid w:val="000811C1"/>
    <w:rsid w:val="00082646"/>
    <w:rsid w:val="00082690"/>
    <w:rsid w:val="000910A9"/>
    <w:rsid w:val="000929F5"/>
    <w:rsid w:val="00092FC1"/>
    <w:rsid w:val="0009628C"/>
    <w:rsid w:val="000A0398"/>
    <w:rsid w:val="000A0FF0"/>
    <w:rsid w:val="000A68EC"/>
    <w:rsid w:val="000B0588"/>
    <w:rsid w:val="000B148A"/>
    <w:rsid w:val="000B2D02"/>
    <w:rsid w:val="000B2D63"/>
    <w:rsid w:val="000B63B3"/>
    <w:rsid w:val="000B69A1"/>
    <w:rsid w:val="000B75F9"/>
    <w:rsid w:val="000C30FF"/>
    <w:rsid w:val="000C4751"/>
    <w:rsid w:val="000D1137"/>
    <w:rsid w:val="000D49D1"/>
    <w:rsid w:val="000D5069"/>
    <w:rsid w:val="000D651F"/>
    <w:rsid w:val="000E0920"/>
    <w:rsid w:val="000E15FD"/>
    <w:rsid w:val="000E3114"/>
    <w:rsid w:val="000E4C93"/>
    <w:rsid w:val="000E6052"/>
    <w:rsid w:val="000E67F6"/>
    <w:rsid w:val="000E7D5E"/>
    <w:rsid w:val="000F42E8"/>
    <w:rsid w:val="000F6F60"/>
    <w:rsid w:val="000F799F"/>
    <w:rsid w:val="001011BA"/>
    <w:rsid w:val="00102D84"/>
    <w:rsid w:val="00106731"/>
    <w:rsid w:val="001130F4"/>
    <w:rsid w:val="00113235"/>
    <w:rsid w:val="001140E3"/>
    <w:rsid w:val="001205F9"/>
    <w:rsid w:val="00122C40"/>
    <w:rsid w:val="00122D3A"/>
    <w:rsid w:val="001238B0"/>
    <w:rsid w:val="00132228"/>
    <w:rsid w:val="00134B44"/>
    <w:rsid w:val="00141D5C"/>
    <w:rsid w:val="00144B0D"/>
    <w:rsid w:val="00145059"/>
    <w:rsid w:val="001458B1"/>
    <w:rsid w:val="00151563"/>
    <w:rsid w:val="0015162E"/>
    <w:rsid w:val="00154238"/>
    <w:rsid w:val="001572DC"/>
    <w:rsid w:val="0015766B"/>
    <w:rsid w:val="00161C2E"/>
    <w:rsid w:val="0016247A"/>
    <w:rsid w:val="00162CCE"/>
    <w:rsid w:val="00162EEC"/>
    <w:rsid w:val="00165ED1"/>
    <w:rsid w:val="00170C3B"/>
    <w:rsid w:val="00171DE0"/>
    <w:rsid w:val="0017378C"/>
    <w:rsid w:val="00177BB6"/>
    <w:rsid w:val="00182DCC"/>
    <w:rsid w:val="00183378"/>
    <w:rsid w:val="00184039"/>
    <w:rsid w:val="00185BAB"/>
    <w:rsid w:val="00197181"/>
    <w:rsid w:val="001A071B"/>
    <w:rsid w:val="001A0DC7"/>
    <w:rsid w:val="001A192A"/>
    <w:rsid w:val="001A2772"/>
    <w:rsid w:val="001A420F"/>
    <w:rsid w:val="001B0BAB"/>
    <w:rsid w:val="001B2D92"/>
    <w:rsid w:val="001B4B4F"/>
    <w:rsid w:val="001B4C4A"/>
    <w:rsid w:val="001B791A"/>
    <w:rsid w:val="001B7E3B"/>
    <w:rsid w:val="001C134D"/>
    <w:rsid w:val="001C2850"/>
    <w:rsid w:val="001C2C2D"/>
    <w:rsid w:val="001C4621"/>
    <w:rsid w:val="001C4F0B"/>
    <w:rsid w:val="001C7481"/>
    <w:rsid w:val="001D3819"/>
    <w:rsid w:val="001D503A"/>
    <w:rsid w:val="001D56F9"/>
    <w:rsid w:val="001D5C75"/>
    <w:rsid w:val="001D7BAA"/>
    <w:rsid w:val="001E04AA"/>
    <w:rsid w:val="001E31B0"/>
    <w:rsid w:val="001E53AE"/>
    <w:rsid w:val="001E5DD3"/>
    <w:rsid w:val="001E604E"/>
    <w:rsid w:val="001E683D"/>
    <w:rsid w:val="001E7221"/>
    <w:rsid w:val="001F3FB7"/>
    <w:rsid w:val="001F5545"/>
    <w:rsid w:val="001F5CA7"/>
    <w:rsid w:val="002015F3"/>
    <w:rsid w:val="00202C5B"/>
    <w:rsid w:val="002039AA"/>
    <w:rsid w:val="00203E05"/>
    <w:rsid w:val="002124E7"/>
    <w:rsid w:val="0021414D"/>
    <w:rsid w:val="00215B2A"/>
    <w:rsid w:val="00233F52"/>
    <w:rsid w:val="0024155A"/>
    <w:rsid w:val="00244293"/>
    <w:rsid w:val="00245662"/>
    <w:rsid w:val="002477FF"/>
    <w:rsid w:val="002510CA"/>
    <w:rsid w:val="00251B11"/>
    <w:rsid w:val="00255A59"/>
    <w:rsid w:val="00257A57"/>
    <w:rsid w:val="00260420"/>
    <w:rsid w:val="00260B37"/>
    <w:rsid w:val="00265790"/>
    <w:rsid w:val="00270AE0"/>
    <w:rsid w:val="00272EEA"/>
    <w:rsid w:val="00273098"/>
    <w:rsid w:val="00274E4D"/>
    <w:rsid w:val="002767F9"/>
    <w:rsid w:val="00280BA3"/>
    <w:rsid w:val="00280F1D"/>
    <w:rsid w:val="00285AD2"/>
    <w:rsid w:val="00290432"/>
    <w:rsid w:val="00292712"/>
    <w:rsid w:val="00293836"/>
    <w:rsid w:val="002965B2"/>
    <w:rsid w:val="002A25FE"/>
    <w:rsid w:val="002A5D72"/>
    <w:rsid w:val="002A6052"/>
    <w:rsid w:val="002C02FD"/>
    <w:rsid w:val="002D05B8"/>
    <w:rsid w:val="002D4C8A"/>
    <w:rsid w:val="002D5A17"/>
    <w:rsid w:val="002D6BF8"/>
    <w:rsid w:val="002D75D1"/>
    <w:rsid w:val="002E3232"/>
    <w:rsid w:val="003019E6"/>
    <w:rsid w:val="00313BE7"/>
    <w:rsid w:val="00315243"/>
    <w:rsid w:val="00321AE7"/>
    <w:rsid w:val="003248A5"/>
    <w:rsid w:val="00327774"/>
    <w:rsid w:val="00327D7F"/>
    <w:rsid w:val="00330F6A"/>
    <w:rsid w:val="00335377"/>
    <w:rsid w:val="00341C1D"/>
    <w:rsid w:val="00342737"/>
    <w:rsid w:val="003441B6"/>
    <w:rsid w:val="00346EA3"/>
    <w:rsid w:val="003524A9"/>
    <w:rsid w:val="003546B1"/>
    <w:rsid w:val="00354843"/>
    <w:rsid w:val="003561F4"/>
    <w:rsid w:val="0035620C"/>
    <w:rsid w:val="00364BD1"/>
    <w:rsid w:val="0036548C"/>
    <w:rsid w:val="00366A37"/>
    <w:rsid w:val="00380DED"/>
    <w:rsid w:val="0038729E"/>
    <w:rsid w:val="00391602"/>
    <w:rsid w:val="00392519"/>
    <w:rsid w:val="00393833"/>
    <w:rsid w:val="0039746B"/>
    <w:rsid w:val="003A189F"/>
    <w:rsid w:val="003A30B7"/>
    <w:rsid w:val="003A34B3"/>
    <w:rsid w:val="003A4B05"/>
    <w:rsid w:val="003B4510"/>
    <w:rsid w:val="003B7C26"/>
    <w:rsid w:val="003C1135"/>
    <w:rsid w:val="003C7A1D"/>
    <w:rsid w:val="003D0970"/>
    <w:rsid w:val="003D2D3B"/>
    <w:rsid w:val="003E7110"/>
    <w:rsid w:val="003E7571"/>
    <w:rsid w:val="003E7F75"/>
    <w:rsid w:val="003F2418"/>
    <w:rsid w:val="003F6AE4"/>
    <w:rsid w:val="00400381"/>
    <w:rsid w:val="00407B54"/>
    <w:rsid w:val="00411AB0"/>
    <w:rsid w:val="00413C4F"/>
    <w:rsid w:val="00415634"/>
    <w:rsid w:val="0042005C"/>
    <w:rsid w:val="00422B35"/>
    <w:rsid w:val="0042561C"/>
    <w:rsid w:val="004267EE"/>
    <w:rsid w:val="00431D84"/>
    <w:rsid w:val="00432F13"/>
    <w:rsid w:val="00434792"/>
    <w:rsid w:val="00437F5C"/>
    <w:rsid w:val="0044758B"/>
    <w:rsid w:val="00447E2D"/>
    <w:rsid w:val="004501CE"/>
    <w:rsid w:val="004556F1"/>
    <w:rsid w:val="004626FD"/>
    <w:rsid w:val="004651B8"/>
    <w:rsid w:val="004657B9"/>
    <w:rsid w:val="00467556"/>
    <w:rsid w:val="00470EDF"/>
    <w:rsid w:val="00484650"/>
    <w:rsid w:val="00486653"/>
    <w:rsid w:val="00486873"/>
    <w:rsid w:val="0049115F"/>
    <w:rsid w:val="00491412"/>
    <w:rsid w:val="00492A3D"/>
    <w:rsid w:val="00493903"/>
    <w:rsid w:val="0049435D"/>
    <w:rsid w:val="004943C4"/>
    <w:rsid w:val="004A5456"/>
    <w:rsid w:val="004A6112"/>
    <w:rsid w:val="004A65D4"/>
    <w:rsid w:val="004A6930"/>
    <w:rsid w:val="004A6F89"/>
    <w:rsid w:val="004A7C38"/>
    <w:rsid w:val="004B0006"/>
    <w:rsid w:val="004B01A7"/>
    <w:rsid w:val="004B352C"/>
    <w:rsid w:val="004B5D11"/>
    <w:rsid w:val="004B7058"/>
    <w:rsid w:val="004B798D"/>
    <w:rsid w:val="004C272A"/>
    <w:rsid w:val="004C2AB1"/>
    <w:rsid w:val="004C4640"/>
    <w:rsid w:val="004C71B8"/>
    <w:rsid w:val="004C7692"/>
    <w:rsid w:val="004D072A"/>
    <w:rsid w:val="004D07C3"/>
    <w:rsid w:val="004D0E72"/>
    <w:rsid w:val="004D1525"/>
    <w:rsid w:val="004D383E"/>
    <w:rsid w:val="004D460E"/>
    <w:rsid w:val="004D50C1"/>
    <w:rsid w:val="004D5BC9"/>
    <w:rsid w:val="004E0F1B"/>
    <w:rsid w:val="004E38D6"/>
    <w:rsid w:val="004E46AA"/>
    <w:rsid w:val="004E6B26"/>
    <w:rsid w:val="004F03AF"/>
    <w:rsid w:val="004F05F1"/>
    <w:rsid w:val="004F1969"/>
    <w:rsid w:val="004F48DD"/>
    <w:rsid w:val="004F5437"/>
    <w:rsid w:val="004F7909"/>
    <w:rsid w:val="005005AB"/>
    <w:rsid w:val="0050376B"/>
    <w:rsid w:val="005068EB"/>
    <w:rsid w:val="00510BF4"/>
    <w:rsid w:val="005159A3"/>
    <w:rsid w:val="00522C32"/>
    <w:rsid w:val="00525629"/>
    <w:rsid w:val="005325CE"/>
    <w:rsid w:val="00532972"/>
    <w:rsid w:val="005329B4"/>
    <w:rsid w:val="00535F62"/>
    <w:rsid w:val="00540A2B"/>
    <w:rsid w:val="00541CDB"/>
    <w:rsid w:val="00550DAC"/>
    <w:rsid w:val="00553E49"/>
    <w:rsid w:val="00557C71"/>
    <w:rsid w:val="00561016"/>
    <w:rsid w:val="00562EE4"/>
    <w:rsid w:val="00563060"/>
    <w:rsid w:val="005632EA"/>
    <w:rsid w:val="0056521D"/>
    <w:rsid w:val="0056761A"/>
    <w:rsid w:val="005722AF"/>
    <w:rsid w:val="00572404"/>
    <w:rsid w:val="0057348E"/>
    <w:rsid w:val="00576F59"/>
    <w:rsid w:val="00580378"/>
    <w:rsid w:val="005841AE"/>
    <w:rsid w:val="00584989"/>
    <w:rsid w:val="00587568"/>
    <w:rsid w:val="00597A33"/>
    <w:rsid w:val="005A05A9"/>
    <w:rsid w:val="005A6DD8"/>
    <w:rsid w:val="005A6DDD"/>
    <w:rsid w:val="005B042F"/>
    <w:rsid w:val="005B5827"/>
    <w:rsid w:val="005C3F8A"/>
    <w:rsid w:val="005C65CA"/>
    <w:rsid w:val="005D1540"/>
    <w:rsid w:val="005D3A74"/>
    <w:rsid w:val="005D41D5"/>
    <w:rsid w:val="005D54AA"/>
    <w:rsid w:val="005D7A68"/>
    <w:rsid w:val="005E483E"/>
    <w:rsid w:val="005E7839"/>
    <w:rsid w:val="005F25F7"/>
    <w:rsid w:val="005F4E7B"/>
    <w:rsid w:val="00605CB4"/>
    <w:rsid w:val="00611BDB"/>
    <w:rsid w:val="00617D39"/>
    <w:rsid w:val="00622BF0"/>
    <w:rsid w:val="00630A69"/>
    <w:rsid w:val="00651E64"/>
    <w:rsid w:val="006548AA"/>
    <w:rsid w:val="006616ED"/>
    <w:rsid w:val="00664EC4"/>
    <w:rsid w:val="0067042F"/>
    <w:rsid w:val="006708DE"/>
    <w:rsid w:val="006713F9"/>
    <w:rsid w:val="0067727A"/>
    <w:rsid w:val="00682A63"/>
    <w:rsid w:val="00686B8E"/>
    <w:rsid w:val="006878F4"/>
    <w:rsid w:val="006A0054"/>
    <w:rsid w:val="006A63AE"/>
    <w:rsid w:val="006B254E"/>
    <w:rsid w:val="006B406A"/>
    <w:rsid w:val="006B4601"/>
    <w:rsid w:val="006B4AB6"/>
    <w:rsid w:val="006B6A81"/>
    <w:rsid w:val="006C2A92"/>
    <w:rsid w:val="006C2B2F"/>
    <w:rsid w:val="006C2C7F"/>
    <w:rsid w:val="006C3D6B"/>
    <w:rsid w:val="006D003B"/>
    <w:rsid w:val="006D0338"/>
    <w:rsid w:val="006E1675"/>
    <w:rsid w:val="006E4A84"/>
    <w:rsid w:val="006E5EAC"/>
    <w:rsid w:val="006E627B"/>
    <w:rsid w:val="006F1439"/>
    <w:rsid w:val="006F26DD"/>
    <w:rsid w:val="006F26E0"/>
    <w:rsid w:val="006F4734"/>
    <w:rsid w:val="006F5A3E"/>
    <w:rsid w:val="006F68D1"/>
    <w:rsid w:val="007020C6"/>
    <w:rsid w:val="00703769"/>
    <w:rsid w:val="00707B98"/>
    <w:rsid w:val="007127B5"/>
    <w:rsid w:val="0071379A"/>
    <w:rsid w:val="00714FDA"/>
    <w:rsid w:val="00716BC9"/>
    <w:rsid w:val="007173F8"/>
    <w:rsid w:val="00726AF7"/>
    <w:rsid w:val="00730026"/>
    <w:rsid w:val="00730244"/>
    <w:rsid w:val="00731341"/>
    <w:rsid w:val="00732057"/>
    <w:rsid w:val="007334FC"/>
    <w:rsid w:val="00733666"/>
    <w:rsid w:val="0073539B"/>
    <w:rsid w:val="00736B0A"/>
    <w:rsid w:val="00741F05"/>
    <w:rsid w:val="00742CF5"/>
    <w:rsid w:val="00742E3B"/>
    <w:rsid w:val="00746119"/>
    <w:rsid w:val="00750A46"/>
    <w:rsid w:val="0075207D"/>
    <w:rsid w:val="0075208B"/>
    <w:rsid w:val="00752513"/>
    <w:rsid w:val="00754486"/>
    <w:rsid w:val="00755F49"/>
    <w:rsid w:val="00756559"/>
    <w:rsid w:val="00757561"/>
    <w:rsid w:val="00757AC1"/>
    <w:rsid w:val="00757F9D"/>
    <w:rsid w:val="007603EE"/>
    <w:rsid w:val="00760ABA"/>
    <w:rsid w:val="00761FBF"/>
    <w:rsid w:val="00765960"/>
    <w:rsid w:val="00765BFB"/>
    <w:rsid w:val="007663C7"/>
    <w:rsid w:val="0076640D"/>
    <w:rsid w:val="00776370"/>
    <w:rsid w:val="00781973"/>
    <w:rsid w:val="0078308B"/>
    <w:rsid w:val="007917F9"/>
    <w:rsid w:val="00796596"/>
    <w:rsid w:val="007A1BD0"/>
    <w:rsid w:val="007B0105"/>
    <w:rsid w:val="007B0699"/>
    <w:rsid w:val="007B15E3"/>
    <w:rsid w:val="007B1C01"/>
    <w:rsid w:val="007B1CEB"/>
    <w:rsid w:val="007B2D34"/>
    <w:rsid w:val="007B3238"/>
    <w:rsid w:val="007B6305"/>
    <w:rsid w:val="007B7086"/>
    <w:rsid w:val="007B7B98"/>
    <w:rsid w:val="007C21BE"/>
    <w:rsid w:val="007C5938"/>
    <w:rsid w:val="007D52E7"/>
    <w:rsid w:val="007E6F83"/>
    <w:rsid w:val="007F23EF"/>
    <w:rsid w:val="007F4D42"/>
    <w:rsid w:val="007F5E1A"/>
    <w:rsid w:val="00800739"/>
    <w:rsid w:val="00801A82"/>
    <w:rsid w:val="0080255C"/>
    <w:rsid w:val="00802E38"/>
    <w:rsid w:val="00803FE0"/>
    <w:rsid w:val="00810210"/>
    <w:rsid w:val="00814B88"/>
    <w:rsid w:val="00816CEC"/>
    <w:rsid w:val="00817B35"/>
    <w:rsid w:val="00831289"/>
    <w:rsid w:val="008345CC"/>
    <w:rsid w:val="008349FF"/>
    <w:rsid w:val="00837E0C"/>
    <w:rsid w:val="00841937"/>
    <w:rsid w:val="00850F69"/>
    <w:rsid w:val="00857380"/>
    <w:rsid w:val="008651BA"/>
    <w:rsid w:val="00866FD2"/>
    <w:rsid w:val="00867029"/>
    <w:rsid w:val="00867AEB"/>
    <w:rsid w:val="0087079E"/>
    <w:rsid w:val="00871D83"/>
    <w:rsid w:val="00872610"/>
    <w:rsid w:val="008748A3"/>
    <w:rsid w:val="00877A6F"/>
    <w:rsid w:val="0088583E"/>
    <w:rsid w:val="0088611B"/>
    <w:rsid w:val="00887F76"/>
    <w:rsid w:val="008902BF"/>
    <w:rsid w:val="008958B7"/>
    <w:rsid w:val="008969EA"/>
    <w:rsid w:val="00897A9A"/>
    <w:rsid w:val="008A0CC7"/>
    <w:rsid w:val="008A366B"/>
    <w:rsid w:val="008A3BF3"/>
    <w:rsid w:val="008A6027"/>
    <w:rsid w:val="008A7D4F"/>
    <w:rsid w:val="008B28E1"/>
    <w:rsid w:val="008B35B6"/>
    <w:rsid w:val="008B6A37"/>
    <w:rsid w:val="008B6A4A"/>
    <w:rsid w:val="008C1F9E"/>
    <w:rsid w:val="008C44BB"/>
    <w:rsid w:val="008C5742"/>
    <w:rsid w:val="008C78A0"/>
    <w:rsid w:val="008D0D65"/>
    <w:rsid w:val="008D5552"/>
    <w:rsid w:val="008D57D0"/>
    <w:rsid w:val="008E090E"/>
    <w:rsid w:val="008E1209"/>
    <w:rsid w:val="008E234F"/>
    <w:rsid w:val="008E61F5"/>
    <w:rsid w:val="008E746C"/>
    <w:rsid w:val="008F0920"/>
    <w:rsid w:val="008F4006"/>
    <w:rsid w:val="00905EC0"/>
    <w:rsid w:val="009106C6"/>
    <w:rsid w:val="00910772"/>
    <w:rsid w:val="00910777"/>
    <w:rsid w:val="009117D7"/>
    <w:rsid w:val="00912C60"/>
    <w:rsid w:val="009138A3"/>
    <w:rsid w:val="00921852"/>
    <w:rsid w:val="009232DB"/>
    <w:rsid w:val="0092431A"/>
    <w:rsid w:val="00924C17"/>
    <w:rsid w:val="00927715"/>
    <w:rsid w:val="009340B5"/>
    <w:rsid w:val="0094164D"/>
    <w:rsid w:val="009463DF"/>
    <w:rsid w:val="00946493"/>
    <w:rsid w:val="0094760A"/>
    <w:rsid w:val="00947693"/>
    <w:rsid w:val="00950CA7"/>
    <w:rsid w:val="00951ED9"/>
    <w:rsid w:val="00953222"/>
    <w:rsid w:val="00953EDE"/>
    <w:rsid w:val="009542FD"/>
    <w:rsid w:val="009650F3"/>
    <w:rsid w:val="0096655A"/>
    <w:rsid w:val="009706B3"/>
    <w:rsid w:val="00971E15"/>
    <w:rsid w:val="0097471D"/>
    <w:rsid w:val="009763A6"/>
    <w:rsid w:val="00982A98"/>
    <w:rsid w:val="00986075"/>
    <w:rsid w:val="0098689C"/>
    <w:rsid w:val="00991408"/>
    <w:rsid w:val="009959A3"/>
    <w:rsid w:val="009A0256"/>
    <w:rsid w:val="009A18B7"/>
    <w:rsid w:val="009A275C"/>
    <w:rsid w:val="009A59A7"/>
    <w:rsid w:val="009A5EF4"/>
    <w:rsid w:val="009A61C2"/>
    <w:rsid w:val="009A785E"/>
    <w:rsid w:val="009B1EBD"/>
    <w:rsid w:val="009B573C"/>
    <w:rsid w:val="009B7194"/>
    <w:rsid w:val="009C0C9F"/>
    <w:rsid w:val="009C4376"/>
    <w:rsid w:val="009C4B07"/>
    <w:rsid w:val="009C5BFE"/>
    <w:rsid w:val="009D2E7F"/>
    <w:rsid w:val="009D3D8C"/>
    <w:rsid w:val="009D3ED5"/>
    <w:rsid w:val="009D6088"/>
    <w:rsid w:val="009D7669"/>
    <w:rsid w:val="009E0D4B"/>
    <w:rsid w:val="009E745F"/>
    <w:rsid w:val="009E788E"/>
    <w:rsid w:val="009F122D"/>
    <w:rsid w:val="009F5678"/>
    <w:rsid w:val="009F7E5E"/>
    <w:rsid w:val="00A0312F"/>
    <w:rsid w:val="00A058B0"/>
    <w:rsid w:val="00A11BBC"/>
    <w:rsid w:val="00A147E3"/>
    <w:rsid w:val="00A22079"/>
    <w:rsid w:val="00A22FC2"/>
    <w:rsid w:val="00A23367"/>
    <w:rsid w:val="00A266A3"/>
    <w:rsid w:val="00A2786E"/>
    <w:rsid w:val="00A33AA0"/>
    <w:rsid w:val="00A34364"/>
    <w:rsid w:val="00A35832"/>
    <w:rsid w:val="00A404E7"/>
    <w:rsid w:val="00A42602"/>
    <w:rsid w:val="00A53CED"/>
    <w:rsid w:val="00A54EAB"/>
    <w:rsid w:val="00A5555E"/>
    <w:rsid w:val="00A56739"/>
    <w:rsid w:val="00A62BD2"/>
    <w:rsid w:val="00A63C24"/>
    <w:rsid w:val="00A640FD"/>
    <w:rsid w:val="00A64C61"/>
    <w:rsid w:val="00A64D73"/>
    <w:rsid w:val="00A77781"/>
    <w:rsid w:val="00A77FC8"/>
    <w:rsid w:val="00A82FBE"/>
    <w:rsid w:val="00A85AFE"/>
    <w:rsid w:val="00A86915"/>
    <w:rsid w:val="00A95694"/>
    <w:rsid w:val="00AA3708"/>
    <w:rsid w:val="00AA4DCA"/>
    <w:rsid w:val="00AA78A3"/>
    <w:rsid w:val="00AB0E6A"/>
    <w:rsid w:val="00AB44F8"/>
    <w:rsid w:val="00AB5720"/>
    <w:rsid w:val="00AB7741"/>
    <w:rsid w:val="00AD57C4"/>
    <w:rsid w:val="00AD6C85"/>
    <w:rsid w:val="00AD770D"/>
    <w:rsid w:val="00AE0BC0"/>
    <w:rsid w:val="00AE7889"/>
    <w:rsid w:val="00AF261D"/>
    <w:rsid w:val="00AF3AD5"/>
    <w:rsid w:val="00B03B04"/>
    <w:rsid w:val="00B04FC4"/>
    <w:rsid w:val="00B06201"/>
    <w:rsid w:val="00B07B6B"/>
    <w:rsid w:val="00B16212"/>
    <w:rsid w:val="00B23B47"/>
    <w:rsid w:val="00B26CC4"/>
    <w:rsid w:val="00B35B96"/>
    <w:rsid w:val="00B405E0"/>
    <w:rsid w:val="00B461EF"/>
    <w:rsid w:val="00B46722"/>
    <w:rsid w:val="00B57E94"/>
    <w:rsid w:val="00B66951"/>
    <w:rsid w:val="00B70DE0"/>
    <w:rsid w:val="00B71D4F"/>
    <w:rsid w:val="00B7429A"/>
    <w:rsid w:val="00B77996"/>
    <w:rsid w:val="00B83A4C"/>
    <w:rsid w:val="00B845D6"/>
    <w:rsid w:val="00B86F29"/>
    <w:rsid w:val="00B87118"/>
    <w:rsid w:val="00B91321"/>
    <w:rsid w:val="00B9172A"/>
    <w:rsid w:val="00B91F43"/>
    <w:rsid w:val="00B92A4F"/>
    <w:rsid w:val="00B92EAD"/>
    <w:rsid w:val="00B93964"/>
    <w:rsid w:val="00B95BAA"/>
    <w:rsid w:val="00B95CB9"/>
    <w:rsid w:val="00B96E8D"/>
    <w:rsid w:val="00BA0387"/>
    <w:rsid w:val="00BA0BBA"/>
    <w:rsid w:val="00BA73F8"/>
    <w:rsid w:val="00BB1758"/>
    <w:rsid w:val="00BB31DD"/>
    <w:rsid w:val="00BB65E0"/>
    <w:rsid w:val="00BB69B2"/>
    <w:rsid w:val="00BB70B1"/>
    <w:rsid w:val="00BB747C"/>
    <w:rsid w:val="00BC00C0"/>
    <w:rsid w:val="00BC027C"/>
    <w:rsid w:val="00BC4428"/>
    <w:rsid w:val="00BC544C"/>
    <w:rsid w:val="00BC5CE3"/>
    <w:rsid w:val="00BD635A"/>
    <w:rsid w:val="00BD7BAC"/>
    <w:rsid w:val="00BE05C9"/>
    <w:rsid w:val="00BE566A"/>
    <w:rsid w:val="00BF2044"/>
    <w:rsid w:val="00BF356C"/>
    <w:rsid w:val="00BF38CB"/>
    <w:rsid w:val="00BF4D5D"/>
    <w:rsid w:val="00C05C64"/>
    <w:rsid w:val="00C13B67"/>
    <w:rsid w:val="00C1485F"/>
    <w:rsid w:val="00C14AB6"/>
    <w:rsid w:val="00C15A69"/>
    <w:rsid w:val="00C16A44"/>
    <w:rsid w:val="00C20425"/>
    <w:rsid w:val="00C20F1E"/>
    <w:rsid w:val="00C217D8"/>
    <w:rsid w:val="00C23CC1"/>
    <w:rsid w:val="00C27492"/>
    <w:rsid w:val="00C27846"/>
    <w:rsid w:val="00C35A99"/>
    <w:rsid w:val="00C36611"/>
    <w:rsid w:val="00C36619"/>
    <w:rsid w:val="00C366A6"/>
    <w:rsid w:val="00C36939"/>
    <w:rsid w:val="00C41F00"/>
    <w:rsid w:val="00C46290"/>
    <w:rsid w:val="00C50450"/>
    <w:rsid w:val="00C50F07"/>
    <w:rsid w:val="00C621E8"/>
    <w:rsid w:val="00C62560"/>
    <w:rsid w:val="00C64CF5"/>
    <w:rsid w:val="00C66A86"/>
    <w:rsid w:val="00C70998"/>
    <w:rsid w:val="00C71372"/>
    <w:rsid w:val="00C73817"/>
    <w:rsid w:val="00C756B3"/>
    <w:rsid w:val="00C76927"/>
    <w:rsid w:val="00C77353"/>
    <w:rsid w:val="00C840DD"/>
    <w:rsid w:val="00C86060"/>
    <w:rsid w:val="00C86B1E"/>
    <w:rsid w:val="00C9581A"/>
    <w:rsid w:val="00C97DE4"/>
    <w:rsid w:val="00CA4904"/>
    <w:rsid w:val="00CA4BFB"/>
    <w:rsid w:val="00CB13B6"/>
    <w:rsid w:val="00CB3103"/>
    <w:rsid w:val="00CB6A02"/>
    <w:rsid w:val="00CC0294"/>
    <w:rsid w:val="00CC1024"/>
    <w:rsid w:val="00CC16B5"/>
    <w:rsid w:val="00CC2C89"/>
    <w:rsid w:val="00CC3790"/>
    <w:rsid w:val="00CC5755"/>
    <w:rsid w:val="00CC7036"/>
    <w:rsid w:val="00CD11B7"/>
    <w:rsid w:val="00CD15E0"/>
    <w:rsid w:val="00CD16A5"/>
    <w:rsid w:val="00CD3AD4"/>
    <w:rsid w:val="00CD7975"/>
    <w:rsid w:val="00CE14C9"/>
    <w:rsid w:val="00CE499D"/>
    <w:rsid w:val="00CE4F8C"/>
    <w:rsid w:val="00CF0B22"/>
    <w:rsid w:val="00CF0ED6"/>
    <w:rsid w:val="00CF3B7E"/>
    <w:rsid w:val="00CF6ED5"/>
    <w:rsid w:val="00D019F8"/>
    <w:rsid w:val="00D05A6D"/>
    <w:rsid w:val="00D10D5E"/>
    <w:rsid w:val="00D11C93"/>
    <w:rsid w:val="00D12400"/>
    <w:rsid w:val="00D1386E"/>
    <w:rsid w:val="00D13BB0"/>
    <w:rsid w:val="00D16906"/>
    <w:rsid w:val="00D20024"/>
    <w:rsid w:val="00D20989"/>
    <w:rsid w:val="00D2217F"/>
    <w:rsid w:val="00D22EDB"/>
    <w:rsid w:val="00D23923"/>
    <w:rsid w:val="00D239E5"/>
    <w:rsid w:val="00D262BE"/>
    <w:rsid w:val="00D347D4"/>
    <w:rsid w:val="00D3526B"/>
    <w:rsid w:val="00D409C5"/>
    <w:rsid w:val="00D43DAA"/>
    <w:rsid w:val="00D44BEE"/>
    <w:rsid w:val="00D45B95"/>
    <w:rsid w:val="00D5111D"/>
    <w:rsid w:val="00D56E42"/>
    <w:rsid w:val="00D606C7"/>
    <w:rsid w:val="00D62F4E"/>
    <w:rsid w:val="00D65456"/>
    <w:rsid w:val="00D7167B"/>
    <w:rsid w:val="00D76656"/>
    <w:rsid w:val="00D772EE"/>
    <w:rsid w:val="00D80946"/>
    <w:rsid w:val="00D85CD4"/>
    <w:rsid w:val="00D86069"/>
    <w:rsid w:val="00D86A2B"/>
    <w:rsid w:val="00D92E25"/>
    <w:rsid w:val="00D97C74"/>
    <w:rsid w:val="00DA28C4"/>
    <w:rsid w:val="00DB0AC0"/>
    <w:rsid w:val="00DB7B28"/>
    <w:rsid w:val="00DC15D6"/>
    <w:rsid w:val="00DC1FF1"/>
    <w:rsid w:val="00DC3C49"/>
    <w:rsid w:val="00DC3EBF"/>
    <w:rsid w:val="00DC52AB"/>
    <w:rsid w:val="00DD031D"/>
    <w:rsid w:val="00DD2B48"/>
    <w:rsid w:val="00DD3BF5"/>
    <w:rsid w:val="00DD6948"/>
    <w:rsid w:val="00DD78B3"/>
    <w:rsid w:val="00DD7B4D"/>
    <w:rsid w:val="00DE053F"/>
    <w:rsid w:val="00DE2A80"/>
    <w:rsid w:val="00DE5B94"/>
    <w:rsid w:val="00DE766B"/>
    <w:rsid w:val="00DF251B"/>
    <w:rsid w:val="00DF3B97"/>
    <w:rsid w:val="00DF49C8"/>
    <w:rsid w:val="00DF49EF"/>
    <w:rsid w:val="00DF77AF"/>
    <w:rsid w:val="00DF7C67"/>
    <w:rsid w:val="00E01C1F"/>
    <w:rsid w:val="00E01EF1"/>
    <w:rsid w:val="00E03B3D"/>
    <w:rsid w:val="00E105DA"/>
    <w:rsid w:val="00E11559"/>
    <w:rsid w:val="00E11DA0"/>
    <w:rsid w:val="00E21259"/>
    <w:rsid w:val="00E2172B"/>
    <w:rsid w:val="00E2456A"/>
    <w:rsid w:val="00E253F9"/>
    <w:rsid w:val="00E27203"/>
    <w:rsid w:val="00E31259"/>
    <w:rsid w:val="00E31DDD"/>
    <w:rsid w:val="00E31EFD"/>
    <w:rsid w:val="00E33673"/>
    <w:rsid w:val="00E33C2E"/>
    <w:rsid w:val="00E51AD8"/>
    <w:rsid w:val="00E520E8"/>
    <w:rsid w:val="00E548ED"/>
    <w:rsid w:val="00E55CFA"/>
    <w:rsid w:val="00E56B89"/>
    <w:rsid w:val="00E6078E"/>
    <w:rsid w:val="00E6238D"/>
    <w:rsid w:val="00E62844"/>
    <w:rsid w:val="00E648FA"/>
    <w:rsid w:val="00E64F4F"/>
    <w:rsid w:val="00E66FE6"/>
    <w:rsid w:val="00E71083"/>
    <w:rsid w:val="00E7361B"/>
    <w:rsid w:val="00E73B8E"/>
    <w:rsid w:val="00E84B01"/>
    <w:rsid w:val="00E852BA"/>
    <w:rsid w:val="00E86F44"/>
    <w:rsid w:val="00E93274"/>
    <w:rsid w:val="00E9574F"/>
    <w:rsid w:val="00E95BC8"/>
    <w:rsid w:val="00EA1A6E"/>
    <w:rsid w:val="00EA3244"/>
    <w:rsid w:val="00EA3379"/>
    <w:rsid w:val="00EA442C"/>
    <w:rsid w:val="00EB0125"/>
    <w:rsid w:val="00EB0296"/>
    <w:rsid w:val="00EB4957"/>
    <w:rsid w:val="00EB7435"/>
    <w:rsid w:val="00EC1731"/>
    <w:rsid w:val="00EC20BE"/>
    <w:rsid w:val="00EC51CC"/>
    <w:rsid w:val="00EC7634"/>
    <w:rsid w:val="00ED119B"/>
    <w:rsid w:val="00ED1BBC"/>
    <w:rsid w:val="00ED5F3C"/>
    <w:rsid w:val="00ED66B3"/>
    <w:rsid w:val="00ED6702"/>
    <w:rsid w:val="00ED6C01"/>
    <w:rsid w:val="00ED7B01"/>
    <w:rsid w:val="00EE2AE0"/>
    <w:rsid w:val="00EE45AF"/>
    <w:rsid w:val="00EE7F9F"/>
    <w:rsid w:val="00EF2024"/>
    <w:rsid w:val="00F01166"/>
    <w:rsid w:val="00F123AC"/>
    <w:rsid w:val="00F163B7"/>
    <w:rsid w:val="00F212DF"/>
    <w:rsid w:val="00F2201A"/>
    <w:rsid w:val="00F30C7C"/>
    <w:rsid w:val="00F44252"/>
    <w:rsid w:val="00F46815"/>
    <w:rsid w:val="00F5705E"/>
    <w:rsid w:val="00F60179"/>
    <w:rsid w:val="00F63D43"/>
    <w:rsid w:val="00F707E6"/>
    <w:rsid w:val="00F74C68"/>
    <w:rsid w:val="00F92583"/>
    <w:rsid w:val="00F92F40"/>
    <w:rsid w:val="00F93F74"/>
    <w:rsid w:val="00FA072A"/>
    <w:rsid w:val="00FA3087"/>
    <w:rsid w:val="00FA39CF"/>
    <w:rsid w:val="00FA450F"/>
    <w:rsid w:val="00FA5319"/>
    <w:rsid w:val="00FA593C"/>
    <w:rsid w:val="00FB0C53"/>
    <w:rsid w:val="00FB387D"/>
    <w:rsid w:val="00FB38AA"/>
    <w:rsid w:val="00FB5513"/>
    <w:rsid w:val="00FB7C28"/>
    <w:rsid w:val="00FC3CB5"/>
    <w:rsid w:val="00FC3DEC"/>
    <w:rsid w:val="00FD4EA3"/>
    <w:rsid w:val="00FD7C13"/>
    <w:rsid w:val="00FE03AB"/>
    <w:rsid w:val="00FE0CEF"/>
    <w:rsid w:val="00FE1E27"/>
    <w:rsid w:val="00FE5FFB"/>
    <w:rsid w:val="00FE7D8B"/>
    <w:rsid w:val="00FE7F1C"/>
    <w:rsid w:val="00FF1B74"/>
    <w:rsid w:val="00FF23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62C75"/>
  <w15:docId w15:val="{3E1019CB-42E7-4317-B19E-66DAF924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1E64"/>
    <w:rPr>
      <w:color w:val="0000FF"/>
      <w:u w:val="single"/>
    </w:rPr>
  </w:style>
  <w:style w:type="character" w:styleId="CommentReference">
    <w:name w:val="annotation reference"/>
    <w:basedOn w:val="DefaultParagraphFont"/>
    <w:uiPriority w:val="99"/>
    <w:semiHidden/>
    <w:unhideWhenUsed/>
    <w:rsid w:val="0039746B"/>
    <w:rPr>
      <w:sz w:val="16"/>
      <w:szCs w:val="16"/>
    </w:rPr>
  </w:style>
  <w:style w:type="paragraph" w:styleId="Revision">
    <w:name w:val="Revision"/>
    <w:hidden/>
    <w:uiPriority w:val="99"/>
    <w:semiHidden/>
    <w:rsid w:val="00011A12"/>
    <w:pPr>
      <w:spacing w:after="0" w:line="240" w:lineRule="auto"/>
    </w:pPr>
    <w:rPr>
      <w:rFonts w:ascii="Arial" w:hAnsi="Arial" w:cs="Arial"/>
    </w:rPr>
  </w:style>
  <w:style w:type="table" w:styleId="TableGrid">
    <w:name w:val="Table Grid"/>
    <w:basedOn w:val="TableNormal"/>
    <w:uiPriority w:val="59"/>
    <w:rsid w:val="005D7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E01C1F"/>
    <w:pPr>
      <w:spacing w:before="100" w:beforeAutospacing="1" w:after="100" w:afterAutospacing="1"/>
      <w:jc w:val="left"/>
    </w:pPr>
    <w:rPr>
      <w:rFonts w:ascii="Times New Roman" w:eastAsia="Times New Roman" w:hAnsi="Times New Roman" w:cs="Times New Roman"/>
      <w:sz w:val="24"/>
      <w:szCs w:val="24"/>
      <w:lang w:eastAsia="de-DE"/>
    </w:rPr>
  </w:style>
  <w:style w:type="character" w:customStyle="1" w:styleId="hgkelc">
    <w:name w:val="hgkelc"/>
    <w:basedOn w:val="DefaultParagraphFont"/>
    <w:rsid w:val="00486653"/>
  </w:style>
  <w:style w:type="paragraph" w:customStyle="1" w:styleId="Default">
    <w:name w:val="Default"/>
    <w:rsid w:val="00293836"/>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FB7C28"/>
    <w:rPr>
      <w:i/>
      <w:iCs/>
    </w:rPr>
  </w:style>
  <w:style w:type="paragraph" w:customStyle="1" w:styleId="CM1">
    <w:name w:val="CM1"/>
    <w:basedOn w:val="Default"/>
    <w:next w:val="Default"/>
    <w:uiPriority w:val="99"/>
    <w:rsid w:val="008C44BB"/>
    <w:rPr>
      <w:rFonts w:ascii="Times New Roman" w:hAnsi="Times New Roman" w:cs="Times New Roman"/>
      <w:color w:val="auto"/>
    </w:rPr>
  </w:style>
  <w:style w:type="paragraph" w:customStyle="1" w:styleId="CM3">
    <w:name w:val="CM3"/>
    <w:basedOn w:val="Default"/>
    <w:next w:val="Default"/>
    <w:uiPriority w:val="99"/>
    <w:rsid w:val="008C44BB"/>
    <w:rPr>
      <w:rFonts w:ascii="Times New Roman" w:hAnsi="Times New Roman" w:cs="Times New Roman"/>
      <w:color w:val="auto"/>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5171">
      <w:bodyDiv w:val="1"/>
      <w:marLeft w:val="0"/>
      <w:marRight w:val="0"/>
      <w:marTop w:val="0"/>
      <w:marBottom w:val="0"/>
      <w:divBdr>
        <w:top w:val="none" w:sz="0" w:space="0" w:color="auto"/>
        <w:left w:val="none" w:sz="0" w:space="0" w:color="auto"/>
        <w:bottom w:val="none" w:sz="0" w:space="0" w:color="auto"/>
        <w:right w:val="none" w:sz="0" w:space="0" w:color="auto"/>
      </w:divBdr>
    </w:div>
    <w:div w:id="215555678">
      <w:bodyDiv w:val="1"/>
      <w:marLeft w:val="0"/>
      <w:marRight w:val="0"/>
      <w:marTop w:val="0"/>
      <w:marBottom w:val="0"/>
      <w:divBdr>
        <w:top w:val="none" w:sz="0" w:space="0" w:color="auto"/>
        <w:left w:val="none" w:sz="0" w:space="0" w:color="auto"/>
        <w:bottom w:val="none" w:sz="0" w:space="0" w:color="auto"/>
        <w:right w:val="none" w:sz="0" w:space="0" w:color="auto"/>
      </w:divBdr>
    </w:div>
    <w:div w:id="282538889">
      <w:bodyDiv w:val="1"/>
      <w:marLeft w:val="0"/>
      <w:marRight w:val="0"/>
      <w:marTop w:val="0"/>
      <w:marBottom w:val="0"/>
      <w:divBdr>
        <w:top w:val="none" w:sz="0" w:space="0" w:color="auto"/>
        <w:left w:val="none" w:sz="0" w:space="0" w:color="auto"/>
        <w:bottom w:val="none" w:sz="0" w:space="0" w:color="auto"/>
        <w:right w:val="none" w:sz="0" w:space="0" w:color="auto"/>
      </w:divBdr>
    </w:div>
    <w:div w:id="373189949">
      <w:bodyDiv w:val="1"/>
      <w:marLeft w:val="0"/>
      <w:marRight w:val="0"/>
      <w:marTop w:val="0"/>
      <w:marBottom w:val="0"/>
      <w:divBdr>
        <w:top w:val="none" w:sz="0" w:space="0" w:color="auto"/>
        <w:left w:val="none" w:sz="0" w:space="0" w:color="auto"/>
        <w:bottom w:val="none" w:sz="0" w:space="0" w:color="auto"/>
        <w:right w:val="none" w:sz="0" w:space="0" w:color="auto"/>
      </w:divBdr>
      <w:divsChild>
        <w:div w:id="459539954">
          <w:marLeft w:val="0"/>
          <w:marRight w:val="0"/>
          <w:marTop w:val="0"/>
          <w:marBottom w:val="0"/>
          <w:divBdr>
            <w:top w:val="none" w:sz="0" w:space="0" w:color="auto"/>
            <w:left w:val="none" w:sz="0" w:space="0" w:color="auto"/>
            <w:bottom w:val="none" w:sz="0" w:space="0" w:color="auto"/>
            <w:right w:val="none" w:sz="0" w:space="0" w:color="auto"/>
          </w:divBdr>
          <w:divsChild>
            <w:div w:id="630672236">
              <w:marLeft w:val="0"/>
              <w:marRight w:val="0"/>
              <w:marTop w:val="0"/>
              <w:marBottom w:val="0"/>
              <w:divBdr>
                <w:top w:val="none" w:sz="0" w:space="0" w:color="auto"/>
                <w:left w:val="none" w:sz="0" w:space="0" w:color="auto"/>
                <w:bottom w:val="none" w:sz="0" w:space="0" w:color="auto"/>
                <w:right w:val="none" w:sz="0" w:space="0" w:color="auto"/>
              </w:divBdr>
              <w:divsChild>
                <w:div w:id="1508448732">
                  <w:marLeft w:val="0"/>
                  <w:marRight w:val="0"/>
                  <w:marTop w:val="0"/>
                  <w:marBottom w:val="0"/>
                  <w:divBdr>
                    <w:top w:val="none" w:sz="0" w:space="0" w:color="auto"/>
                    <w:left w:val="none" w:sz="0" w:space="0" w:color="auto"/>
                    <w:bottom w:val="none" w:sz="0" w:space="0" w:color="auto"/>
                    <w:right w:val="none" w:sz="0" w:space="0" w:color="auto"/>
                  </w:divBdr>
                  <w:divsChild>
                    <w:div w:id="970326355">
                      <w:marLeft w:val="-150"/>
                      <w:marRight w:val="-150"/>
                      <w:marTop w:val="0"/>
                      <w:marBottom w:val="0"/>
                      <w:divBdr>
                        <w:top w:val="none" w:sz="0" w:space="0" w:color="auto"/>
                        <w:left w:val="none" w:sz="0" w:space="0" w:color="auto"/>
                        <w:bottom w:val="none" w:sz="0" w:space="0" w:color="auto"/>
                        <w:right w:val="none" w:sz="0" w:space="0" w:color="auto"/>
                      </w:divBdr>
                      <w:divsChild>
                        <w:div w:id="801310879">
                          <w:marLeft w:val="0"/>
                          <w:marRight w:val="0"/>
                          <w:marTop w:val="0"/>
                          <w:marBottom w:val="0"/>
                          <w:divBdr>
                            <w:top w:val="none" w:sz="0" w:space="0" w:color="auto"/>
                            <w:left w:val="none" w:sz="0" w:space="0" w:color="auto"/>
                            <w:bottom w:val="none" w:sz="0" w:space="0" w:color="auto"/>
                            <w:right w:val="none" w:sz="0" w:space="0" w:color="auto"/>
                          </w:divBdr>
                          <w:divsChild>
                            <w:div w:id="863708337">
                              <w:marLeft w:val="0"/>
                              <w:marRight w:val="0"/>
                              <w:marTop w:val="0"/>
                              <w:marBottom w:val="0"/>
                              <w:divBdr>
                                <w:top w:val="none" w:sz="0" w:space="0" w:color="auto"/>
                                <w:left w:val="none" w:sz="0" w:space="0" w:color="auto"/>
                                <w:bottom w:val="none" w:sz="0" w:space="0" w:color="auto"/>
                                <w:right w:val="none" w:sz="0" w:space="0" w:color="auto"/>
                              </w:divBdr>
                              <w:divsChild>
                                <w:div w:id="618486438">
                                  <w:marLeft w:val="0"/>
                                  <w:marRight w:val="0"/>
                                  <w:marTop w:val="0"/>
                                  <w:marBottom w:val="300"/>
                                  <w:divBdr>
                                    <w:top w:val="none" w:sz="0" w:space="0" w:color="auto"/>
                                    <w:left w:val="none" w:sz="0" w:space="0" w:color="auto"/>
                                    <w:bottom w:val="none" w:sz="0" w:space="0" w:color="auto"/>
                                    <w:right w:val="none" w:sz="0" w:space="0" w:color="auto"/>
                                  </w:divBdr>
                                  <w:divsChild>
                                    <w:div w:id="1277637810">
                                      <w:marLeft w:val="0"/>
                                      <w:marRight w:val="0"/>
                                      <w:marTop w:val="0"/>
                                      <w:marBottom w:val="0"/>
                                      <w:divBdr>
                                        <w:top w:val="none" w:sz="0" w:space="0" w:color="auto"/>
                                        <w:left w:val="none" w:sz="0" w:space="0" w:color="auto"/>
                                        <w:bottom w:val="none" w:sz="0" w:space="0" w:color="auto"/>
                                        <w:right w:val="none" w:sz="0" w:space="0" w:color="auto"/>
                                      </w:divBdr>
                                      <w:divsChild>
                                        <w:div w:id="1896502770">
                                          <w:marLeft w:val="0"/>
                                          <w:marRight w:val="0"/>
                                          <w:marTop w:val="0"/>
                                          <w:marBottom w:val="0"/>
                                          <w:divBdr>
                                            <w:top w:val="none" w:sz="0" w:space="0" w:color="auto"/>
                                            <w:left w:val="none" w:sz="0" w:space="0" w:color="auto"/>
                                            <w:bottom w:val="none" w:sz="0" w:space="0" w:color="auto"/>
                                            <w:right w:val="none" w:sz="0" w:space="0" w:color="auto"/>
                                          </w:divBdr>
                                          <w:divsChild>
                                            <w:div w:id="1397123319">
                                              <w:marLeft w:val="0"/>
                                              <w:marRight w:val="0"/>
                                              <w:marTop w:val="0"/>
                                              <w:marBottom w:val="0"/>
                                              <w:divBdr>
                                                <w:top w:val="none" w:sz="0" w:space="0" w:color="auto"/>
                                                <w:left w:val="none" w:sz="0" w:space="0" w:color="auto"/>
                                                <w:bottom w:val="none" w:sz="0" w:space="0" w:color="auto"/>
                                                <w:right w:val="none" w:sz="0" w:space="0" w:color="auto"/>
                                              </w:divBdr>
                                              <w:divsChild>
                                                <w:div w:id="2078697304">
                                                  <w:marLeft w:val="0"/>
                                                  <w:marRight w:val="0"/>
                                                  <w:marTop w:val="0"/>
                                                  <w:marBottom w:val="0"/>
                                                  <w:divBdr>
                                                    <w:top w:val="none" w:sz="0" w:space="0" w:color="auto"/>
                                                    <w:left w:val="none" w:sz="0" w:space="0" w:color="auto"/>
                                                    <w:bottom w:val="none" w:sz="0" w:space="0" w:color="auto"/>
                                                    <w:right w:val="none" w:sz="0" w:space="0" w:color="auto"/>
                                                  </w:divBdr>
                                                  <w:divsChild>
                                                    <w:div w:id="866138336">
                                                      <w:marLeft w:val="0"/>
                                                      <w:marRight w:val="0"/>
                                                      <w:marTop w:val="0"/>
                                                      <w:marBottom w:val="0"/>
                                                      <w:divBdr>
                                                        <w:top w:val="none" w:sz="0" w:space="0" w:color="auto"/>
                                                        <w:left w:val="none" w:sz="0" w:space="0" w:color="auto"/>
                                                        <w:bottom w:val="none" w:sz="0" w:space="0" w:color="auto"/>
                                                        <w:right w:val="none" w:sz="0" w:space="0" w:color="auto"/>
                                                      </w:divBdr>
                                                      <w:divsChild>
                                                        <w:div w:id="1844122597">
                                                          <w:marLeft w:val="0"/>
                                                          <w:marRight w:val="0"/>
                                                          <w:marTop w:val="0"/>
                                                          <w:marBottom w:val="0"/>
                                                          <w:divBdr>
                                                            <w:top w:val="none" w:sz="0" w:space="0" w:color="auto"/>
                                                            <w:left w:val="none" w:sz="0" w:space="0" w:color="auto"/>
                                                            <w:bottom w:val="none" w:sz="0" w:space="0" w:color="auto"/>
                                                            <w:right w:val="none" w:sz="0" w:space="0" w:color="auto"/>
                                                          </w:divBdr>
                                                          <w:divsChild>
                                                            <w:div w:id="5131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7649697">
      <w:bodyDiv w:val="1"/>
      <w:marLeft w:val="0"/>
      <w:marRight w:val="0"/>
      <w:marTop w:val="0"/>
      <w:marBottom w:val="0"/>
      <w:divBdr>
        <w:top w:val="none" w:sz="0" w:space="0" w:color="auto"/>
        <w:left w:val="none" w:sz="0" w:space="0" w:color="auto"/>
        <w:bottom w:val="none" w:sz="0" w:space="0" w:color="auto"/>
        <w:right w:val="none" w:sz="0" w:space="0" w:color="auto"/>
      </w:divBdr>
    </w:div>
    <w:div w:id="550308890">
      <w:bodyDiv w:val="1"/>
      <w:marLeft w:val="0"/>
      <w:marRight w:val="0"/>
      <w:marTop w:val="0"/>
      <w:marBottom w:val="0"/>
      <w:divBdr>
        <w:top w:val="none" w:sz="0" w:space="0" w:color="auto"/>
        <w:left w:val="none" w:sz="0" w:space="0" w:color="auto"/>
        <w:bottom w:val="none" w:sz="0" w:space="0" w:color="auto"/>
        <w:right w:val="none" w:sz="0" w:space="0" w:color="auto"/>
      </w:divBdr>
      <w:divsChild>
        <w:div w:id="1488787982">
          <w:marLeft w:val="0"/>
          <w:marRight w:val="0"/>
          <w:marTop w:val="0"/>
          <w:marBottom w:val="0"/>
          <w:divBdr>
            <w:top w:val="none" w:sz="0" w:space="0" w:color="auto"/>
            <w:left w:val="none" w:sz="0" w:space="0" w:color="auto"/>
            <w:bottom w:val="none" w:sz="0" w:space="0" w:color="auto"/>
            <w:right w:val="none" w:sz="0" w:space="0" w:color="auto"/>
          </w:divBdr>
        </w:div>
        <w:div w:id="1572547623">
          <w:marLeft w:val="0"/>
          <w:marRight w:val="0"/>
          <w:marTop w:val="0"/>
          <w:marBottom w:val="0"/>
          <w:divBdr>
            <w:top w:val="none" w:sz="0" w:space="0" w:color="auto"/>
            <w:left w:val="none" w:sz="0" w:space="0" w:color="auto"/>
            <w:bottom w:val="none" w:sz="0" w:space="0" w:color="auto"/>
            <w:right w:val="none" w:sz="0" w:space="0" w:color="auto"/>
          </w:divBdr>
        </w:div>
      </w:divsChild>
    </w:div>
    <w:div w:id="622469761">
      <w:bodyDiv w:val="1"/>
      <w:marLeft w:val="0"/>
      <w:marRight w:val="0"/>
      <w:marTop w:val="0"/>
      <w:marBottom w:val="0"/>
      <w:divBdr>
        <w:top w:val="none" w:sz="0" w:space="0" w:color="auto"/>
        <w:left w:val="none" w:sz="0" w:space="0" w:color="auto"/>
        <w:bottom w:val="none" w:sz="0" w:space="0" w:color="auto"/>
        <w:right w:val="none" w:sz="0" w:space="0" w:color="auto"/>
      </w:divBdr>
    </w:div>
    <w:div w:id="686517999">
      <w:bodyDiv w:val="1"/>
      <w:marLeft w:val="0"/>
      <w:marRight w:val="0"/>
      <w:marTop w:val="0"/>
      <w:marBottom w:val="0"/>
      <w:divBdr>
        <w:top w:val="none" w:sz="0" w:space="0" w:color="auto"/>
        <w:left w:val="none" w:sz="0" w:space="0" w:color="auto"/>
        <w:bottom w:val="none" w:sz="0" w:space="0" w:color="auto"/>
        <w:right w:val="none" w:sz="0" w:space="0" w:color="auto"/>
      </w:divBdr>
    </w:div>
    <w:div w:id="735511610">
      <w:bodyDiv w:val="1"/>
      <w:marLeft w:val="0"/>
      <w:marRight w:val="0"/>
      <w:marTop w:val="0"/>
      <w:marBottom w:val="0"/>
      <w:divBdr>
        <w:top w:val="none" w:sz="0" w:space="0" w:color="auto"/>
        <w:left w:val="none" w:sz="0" w:space="0" w:color="auto"/>
        <w:bottom w:val="none" w:sz="0" w:space="0" w:color="auto"/>
        <w:right w:val="none" w:sz="0" w:space="0" w:color="auto"/>
      </w:divBdr>
    </w:div>
    <w:div w:id="925649994">
      <w:bodyDiv w:val="1"/>
      <w:marLeft w:val="0"/>
      <w:marRight w:val="0"/>
      <w:marTop w:val="0"/>
      <w:marBottom w:val="0"/>
      <w:divBdr>
        <w:top w:val="none" w:sz="0" w:space="0" w:color="auto"/>
        <w:left w:val="none" w:sz="0" w:space="0" w:color="auto"/>
        <w:bottom w:val="none" w:sz="0" w:space="0" w:color="auto"/>
        <w:right w:val="none" w:sz="0" w:space="0" w:color="auto"/>
      </w:divBdr>
    </w:div>
    <w:div w:id="1022055573">
      <w:bodyDiv w:val="1"/>
      <w:marLeft w:val="0"/>
      <w:marRight w:val="0"/>
      <w:marTop w:val="0"/>
      <w:marBottom w:val="0"/>
      <w:divBdr>
        <w:top w:val="none" w:sz="0" w:space="0" w:color="auto"/>
        <w:left w:val="none" w:sz="0" w:space="0" w:color="auto"/>
        <w:bottom w:val="none" w:sz="0" w:space="0" w:color="auto"/>
        <w:right w:val="none" w:sz="0" w:space="0" w:color="auto"/>
      </w:divBdr>
    </w:div>
    <w:div w:id="1175463465">
      <w:bodyDiv w:val="1"/>
      <w:marLeft w:val="0"/>
      <w:marRight w:val="0"/>
      <w:marTop w:val="0"/>
      <w:marBottom w:val="0"/>
      <w:divBdr>
        <w:top w:val="none" w:sz="0" w:space="0" w:color="auto"/>
        <w:left w:val="none" w:sz="0" w:space="0" w:color="auto"/>
        <w:bottom w:val="none" w:sz="0" w:space="0" w:color="auto"/>
        <w:right w:val="none" w:sz="0" w:space="0" w:color="auto"/>
      </w:divBdr>
    </w:div>
    <w:div w:id="1183209278">
      <w:bodyDiv w:val="1"/>
      <w:marLeft w:val="0"/>
      <w:marRight w:val="0"/>
      <w:marTop w:val="0"/>
      <w:marBottom w:val="0"/>
      <w:divBdr>
        <w:top w:val="none" w:sz="0" w:space="0" w:color="auto"/>
        <w:left w:val="none" w:sz="0" w:space="0" w:color="auto"/>
        <w:bottom w:val="none" w:sz="0" w:space="0" w:color="auto"/>
        <w:right w:val="none" w:sz="0" w:space="0" w:color="auto"/>
      </w:divBdr>
      <w:divsChild>
        <w:div w:id="1477381600">
          <w:marLeft w:val="0"/>
          <w:marRight w:val="0"/>
          <w:marTop w:val="0"/>
          <w:marBottom w:val="0"/>
          <w:divBdr>
            <w:top w:val="none" w:sz="0" w:space="0" w:color="auto"/>
            <w:left w:val="none" w:sz="0" w:space="0" w:color="auto"/>
            <w:bottom w:val="none" w:sz="0" w:space="0" w:color="auto"/>
            <w:right w:val="none" w:sz="0" w:space="0" w:color="auto"/>
          </w:divBdr>
          <w:divsChild>
            <w:div w:id="185488792">
              <w:marLeft w:val="0"/>
              <w:marRight w:val="0"/>
              <w:marTop w:val="0"/>
              <w:marBottom w:val="0"/>
              <w:divBdr>
                <w:top w:val="none" w:sz="0" w:space="0" w:color="auto"/>
                <w:left w:val="none" w:sz="0" w:space="0" w:color="auto"/>
                <w:bottom w:val="none" w:sz="0" w:space="0" w:color="auto"/>
                <w:right w:val="none" w:sz="0" w:space="0" w:color="auto"/>
              </w:divBdr>
              <w:divsChild>
                <w:div w:id="1830705722">
                  <w:marLeft w:val="0"/>
                  <w:marRight w:val="0"/>
                  <w:marTop w:val="0"/>
                  <w:marBottom w:val="0"/>
                  <w:divBdr>
                    <w:top w:val="none" w:sz="0" w:space="0" w:color="auto"/>
                    <w:left w:val="none" w:sz="0" w:space="0" w:color="auto"/>
                    <w:bottom w:val="none" w:sz="0" w:space="0" w:color="auto"/>
                    <w:right w:val="none" w:sz="0" w:space="0" w:color="auto"/>
                  </w:divBdr>
                  <w:divsChild>
                    <w:div w:id="169996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351513">
      <w:bodyDiv w:val="1"/>
      <w:marLeft w:val="0"/>
      <w:marRight w:val="0"/>
      <w:marTop w:val="0"/>
      <w:marBottom w:val="0"/>
      <w:divBdr>
        <w:top w:val="none" w:sz="0" w:space="0" w:color="auto"/>
        <w:left w:val="none" w:sz="0" w:space="0" w:color="auto"/>
        <w:bottom w:val="none" w:sz="0" w:space="0" w:color="auto"/>
        <w:right w:val="none" w:sz="0" w:space="0" w:color="auto"/>
      </w:divBdr>
    </w:div>
    <w:div w:id="1407722556">
      <w:bodyDiv w:val="1"/>
      <w:marLeft w:val="0"/>
      <w:marRight w:val="0"/>
      <w:marTop w:val="0"/>
      <w:marBottom w:val="0"/>
      <w:divBdr>
        <w:top w:val="none" w:sz="0" w:space="0" w:color="auto"/>
        <w:left w:val="none" w:sz="0" w:space="0" w:color="auto"/>
        <w:bottom w:val="none" w:sz="0" w:space="0" w:color="auto"/>
        <w:right w:val="none" w:sz="0" w:space="0" w:color="auto"/>
      </w:divBdr>
      <w:divsChild>
        <w:div w:id="1957367357">
          <w:marLeft w:val="0"/>
          <w:marRight w:val="0"/>
          <w:marTop w:val="0"/>
          <w:marBottom w:val="0"/>
          <w:divBdr>
            <w:top w:val="none" w:sz="0" w:space="0" w:color="auto"/>
            <w:left w:val="none" w:sz="0" w:space="0" w:color="auto"/>
            <w:bottom w:val="none" w:sz="0" w:space="0" w:color="auto"/>
            <w:right w:val="none" w:sz="0" w:space="0" w:color="auto"/>
          </w:divBdr>
        </w:div>
      </w:divsChild>
    </w:div>
    <w:div w:id="1536775053">
      <w:bodyDiv w:val="1"/>
      <w:marLeft w:val="0"/>
      <w:marRight w:val="0"/>
      <w:marTop w:val="0"/>
      <w:marBottom w:val="0"/>
      <w:divBdr>
        <w:top w:val="none" w:sz="0" w:space="0" w:color="auto"/>
        <w:left w:val="none" w:sz="0" w:space="0" w:color="auto"/>
        <w:bottom w:val="none" w:sz="0" w:space="0" w:color="auto"/>
        <w:right w:val="none" w:sz="0" w:space="0" w:color="auto"/>
      </w:divBdr>
    </w:div>
    <w:div w:id="1555776937">
      <w:bodyDiv w:val="1"/>
      <w:marLeft w:val="0"/>
      <w:marRight w:val="0"/>
      <w:marTop w:val="0"/>
      <w:marBottom w:val="0"/>
      <w:divBdr>
        <w:top w:val="none" w:sz="0" w:space="0" w:color="auto"/>
        <w:left w:val="none" w:sz="0" w:space="0" w:color="auto"/>
        <w:bottom w:val="none" w:sz="0" w:space="0" w:color="auto"/>
        <w:right w:val="none" w:sz="0" w:space="0" w:color="auto"/>
      </w:divBdr>
    </w:div>
    <w:div w:id="1602562769">
      <w:bodyDiv w:val="1"/>
      <w:marLeft w:val="0"/>
      <w:marRight w:val="0"/>
      <w:marTop w:val="0"/>
      <w:marBottom w:val="0"/>
      <w:divBdr>
        <w:top w:val="none" w:sz="0" w:space="0" w:color="auto"/>
        <w:left w:val="none" w:sz="0" w:space="0" w:color="auto"/>
        <w:bottom w:val="none" w:sz="0" w:space="0" w:color="auto"/>
        <w:right w:val="none" w:sz="0" w:space="0" w:color="auto"/>
      </w:divBdr>
    </w:div>
    <w:div w:id="1647734940">
      <w:bodyDiv w:val="1"/>
      <w:marLeft w:val="0"/>
      <w:marRight w:val="0"/>
      <w:marTop w:val="0"/>
      <w:marBottom w:val="0"/>
      <w:divBdr>
        <w:top w:val="none" w:sz="0" w:space="0" w:color="auto"/>
        <w:left w:val="none" w:sz="0" w:space="0" w:color="auto"/>
        <w:bottom w:val="none" w:sz="0" w:space="0" w:color="auto"/>
        <w:right w:val="none" w:sz="0" w:space="0" w:color="auto"/>
      </w:divBdr>
    </w:div>
    <w:div w:id="1697732922">
      <w:bodyDiv w:val="1"/>
      <w:marLeft w:val="0"/>
      <w:marRight w:val="0"/>
      <w:marTop w:val="0"/>
      <w:marBottom w:val="0"/>
      <w:divBdr>
        <w:top w:val="none" w:sz="0" w:space="0" w:color="auto"/>
        <w:left w:val="none" w:sz="0" w:space="0" w:color="auto"/>
        <w:bottom w:val="none" w:sz="0" w:space="0" w:color="auto"/>
        <w:right w:val="none" w:sz="0" w:space="0" w:color="auto"/>
      </w:divBdr>
    </w:div>
    <w:div w:id="1699889596">
      <w:bodyDiv w:val="1"/>
      <w:marLeft w:val="0"/>
      <w:marRight w:val="0"/>
      <w:marTop w:val="0"/>
      <w:marBottom w:val="0"/>
      <w:divBdr>
        <w:top w:val="none" w:sz="0" w:space="0" w:color="auto"/>
        <w:left w:val="none" w:sz="0" w:space="0" w:color="auto"/>
        <w:bottom w:val="none" w:sz="0" w:space="0" w:color="auto"/>
        <w:right w:val="none" w:sz="0" w:space="0" w:color="auto"/>
      </w:divBdr>
      <w:divsChild>
        <w:div w:id="2099910600">
          <w:marLeft w:val="0"/>
          <w:marRight w:val="0"/>
          <w:marTop w:val="0"/>
          <w:marBottom w:val="0"/>
          <w:divBdr>
            <w:top w:val="none" w:sz="0" w:space="0" w:color="auto"/>
            <w:left w:val="none" w:sz="0" w:space="0" w:color="auto"/>
            <w:bottom w:val="none" w:sz="0" w:space="0" w:color="auto"/>
            <w:right w:val="none" w:sz="0" w:space="0" w:color="auto"/>
          </w:divBdr>
        </w:div>
      </w:divsChild>
    </w:div>
    <w:div w:id="1762682475">
      <w:bodyDiv w:val="1"/>
      <w:marLeft w:val="0"/>
      <w:marRight w:val="0"/>
      <w:marTop w:val="0"/>
      <w:marBottom w:val="0"/>
      <w:divBdr>
        <w:top w:val="none" w:sz="0" w:space="0" w:color="auto"/>
        <w:left w:val="none" w:sz="0" w:space="0" w:color="auto"/>
        <w:bottom w:val="none" w:sz="0" w:space="0" w:color="auto"/>
        <w:right w:val="none" w:sz="0" w:space="0" w:color="auto"/>
      </w:divBdr>
    </w:div>
    <w:div w:id="1781141067">
      <w:bodyDiv w:val="1"/>
      <w:marLeft w:val="0"/>
      <w:marRight w:val="0"/>
      <w:marTop w:val="0"/>
      <w:marBottom w:val="0"/>
      <w:divBdr>
        <w:top w:val="none" w:sz="0" w:space="0" w:color="auto"/>
        <w:left w:val="none" w:sz="0" w:space="0" w:color="auto"/>
        <w:bottom w:val="none" w:sz="0" w:space="0" w:color="auto"/>
        <w:right w:val="none" w:sz="0" w:space="0" w:color="auto"/>
      </w:divBdr>
      <w:divsChild>
        <w:div w:id="718013760">
          <w:marLeft w:val="0"/>
          <w:marRight w:val="0"/>
          <w:marTop w:val="0"/>
          <w:marBottom w:val="0"/>
          <w:divBdr>
            <w:top w:val="none" w:sz="0" w:space="0" w:color="auto"/>
            <w:left w:val="none" w:sz="0" w:space="0" w:color="auto"/>
            <w:bottom w:val="none" w:sz="0" w:space="0" w:color="auto"/>
            <w:right w:val="none" w:sz="0" w:space="0" w:color="auto"/>
          </w:divBdr>
          <w:divsChild>
            <w:div w:id="1437602755">
              <w:marLeft w:val="0"/>
              <w:marRight w:val="0"/>
              <w:marTop w:val="0"/>
              <w:marBottom w:val="0"/>
              <w:divBdr>
                <w:top w:val="none" w:sz="0" w:space="0" w:color="auto"/>
                <w:left w:val="none" w:sz="0" w:space="0" w:color="auto"/>
                <w:bottom w:val="none" w:sz="0" w:space="0" w:color="auto"/>
                <w:right w:val="none" w:sz="0" w:space="0" w:color="auto"/>
              </w:divBdr>
              <w:divsChild>
                <w:div w:id="1684550325">
                  <w:marLeft w:val="0"/>
                  <w:marRight w:val="0"/>
                  <w:marTop w:val="0"/>
                  <w:marBottom w:val="0"/>
                  <w:divBdr>
                    <w:top w:val="none" w:sz="0" w:space="0" w:color="auto"/>
                    <w:left w:val="none" w:sz="0" w:space="0" w:color="auto"/>
                    <w:bottom w:val="none" w:sz="0" w:space="0" w:color="auto"/>
                    <w:right w:val="none" w:sz="0" w:space="0" w:color="auto"/>
                  </w:divBdr>
                  <w:divsChild>
                    <w:div w:id="9719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532518">
      <w:bodyDiv w:val="1"/>
      <w:marLeft w:val="0"/>
      <w:marRight w:val="0"/>
      <w:marTop w:val="0"/>
      <w:marBottom w:val="0"/>
      <w:divBdr>
        <w:top w:val="none" w:sz="0" w:space="0" w:color="auto"/>
        <w:left w:val="none" w:sz="0" w:space="0" w:color="auto"/>
        <w:bottom w:val="none" w:sz="0" w:space="0" w:color="auto"/>
        <w:right w:val="none" w:sz="0" w:space="0" w:color="auto"/>
      </w:divBdr>
    </w:div>
    <w:div w:id="2018455674">
      <w:bodyDiv w:val="1"/>
      <w:marLeft w:val="0"/>
      <w:marRight w:val="0"/>
      <w:marTop w:val="0"/>
      <w:marBottom w:val="0"/>
      <w:divBdr>
        <w:top w:val="none" w:sz="0" w:space="0" w:color="auto"/>
        <w:left w:val="none" w:sz="0" w:space="0" w:color="auto"/>
        <w:bottom w:val="none" w:sz="0" w:space="0" w:color="auto"/>
        <w:right w:val="none" w:sz="0" w:space="0" w:color="auto"/>
      </w:divBdr>
      <w:divsChild>
        <w:div w:id="2018732096">
          <w:marLeft w:val="0"/>
          <w:marRight w:val="0"/>
          <w:marTop w:val="0"/>
          <w:marBottom w:val="0"/>
          <w:divBdr>
            <w:top w:val="none" w:sz="0" w:space="0" w:color="auto"/>
            <w:left w:val="none" w:sz="0" w:space="0" w:color="auto"/>
            <w:bottom w:val="none" w:sz="0" w:space="0" w:color="auto"/>
            <w:right w:val="none" w:sz="0" w:space="0" w:color="auto"/>
          </w:divBdr>
        </w:div>
      </w:divsChild>
    </w:div>
    <w:div w:id="213643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7215-B1AA-466C-B3DC-9B676B750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2643</Words>
  <Characters>12715</Characters>
  <Application>Microsoft Office Word</Application>
  <DocSecurity>0</DocSecurity>
  <Lines>244</Lines>
  <Paragraphs>112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Steinert, Alina</dc:creator>
  <cp:keywords>class='Internal'</cp:keywords>
  <dc:description/>
  <cp:lastModifiedBy>Ines Varvodic</cp:lastModifiedBy>
  <cp:revision>2</cp:revision>
  <cp:lastPrinted>2021-01-13T10:56:00Z</cp:lastPrinted>
  <dcterms:created xsi:type="dcterms:W3CDTF">2022-03-22T11:05:00Z</dcterms:created>
  <dcterms:modified xsi:type="dcterms:W3CDTF">2022-03-22T11:05:00Z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11.10.2021  12:12</vt:lpwstr>
  </property>
  <property fmtid="{D5CDD505-2E9C-101B-9397-08002B2CF9AE}" pid="4" name="DQP-Ergebnis für Version 4">
    <vt:lpwstr>23 Fehler, 26 Warnungen</vt:lpwstr>
  </property>
  <property fmtid="{D5CDD505-2E9C-101B-9397-08002B2CF9AE}" pid="5" name="Meta_Bezeichnung">
    <vt:lpwstr>Verordnung zur Anpassung nationaler Rechtsvorschriften an unionsrechtliche Vorschriften über Aromen und Aromen enthaltende Lebensmittel</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Durchführungsverordnung über Aromen und Aromen enthaltende Lebensmittel: </vt:lpwstr>
  </property>
  <property fmtid="{D5CDD505-2E9C-101B-9397-08002B2CF9AE}" pid="10" name="Meta_Umsetzung von EU-Recht">
    <vt:lpwstr>e Verpflichtungen aus der Richtlinie (EU) 2015/1535 des Europäischen Parlaments und des Rates vom 9. September 2015 über ein Informationsverfahren auf dem Gebiet der technischen Vorschriften und der Vorschriften für die Dienste der Informationsgesellschaf</vt:lpwstr>
  </property>
  <property fmtid="{D5CDD505-2E9C-101B-9397-08002B2CF9AE}" pid="11" name="Meta_Umsetzung von EU-Recht_2">
    <vt:lpwstr>t (ABl. L 241 vom 17.9.2015, S. 1) sind beachtet worden.</vt:lpwstr>
  </property>
  <property fmtid="{D5CDD505-2E9C-101B-9397-08002B2CF9AE}" pid="12" name="Meta_Anlagen">
    <vt:lpwstr/>
  </property>
</Properties>
</file>