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6B54" w14:textId="77777777" w:rsidR="002D1522" w:rsidRPr="002D1522" w:rsidRDefault="002D1522" w:rsidP="002D1522">
      <w:pPr>
        <w:shd w:val="clear" w:color="auto" w:fill="FFFFFF"/>
        <w:spacing w:before="150" w:after="150" w:line="240" w:lineRule="auto"/>
        <w:outlineLvl w:val="0"/>
        <w:rPr>
          <w:b/>
          <w:bCs/>
          <w:color w:val="4A0D17"/>
          <w:kern w:val="36"/>
          <w:sz w:val="35"/>
          <w:szCs w:val="35"/>
          <w:rFonts w:ascii="Helvetica" w:eastAsia="Times New Roman" w:hAnsi="Helvetica" w:cs="Helvetica"/>
        </w:rPr>
      </w:pPr>
      <w:r>
        <w:rPr>
          <w:b/>
          <w:color w:val="4A0D17"/>
          <w:sz w:val="35"/>
          <w:rFonts w:ascii="Helvetica" w:hAnsi="Helvetica"/>
        </w:rPr>
        <w:t xml:space="preserve">Regulamentações relativas à conceção universal dos veículos a motor utilizados para o transporte licenciado, etc.</w:t>
      </w:r>
    </w:p>
    <w:p w14:paraId="431BB729" w14:textId="77777777" w:rsidR="00106164" w:rsidRDefault="00106164" w:rsidP="00106164">
      <w:pPr>
        <w:spacing w:after="0" w:line="240" w:lineRule="auto"/>
        <w:rPr>
          <w:rFonts w:ascii="Times New Roman" w:eastAsia="Times New Roman" w:hAnsi="Times New Roman" w:cs="Times New Roman"/>
          <w:b/>
          <w:bCs/>
          <w:szCs w:val="24"/>
          <w:lang w:val="en-US"/>
        </w:rPr>
      </w:pPr>
    </w:p>
    <w:p w14:paraId="5B06AE60" w14:textId="3AC8C433" w:rsidR="00106164" w:rsidRPr="00106164" w:rsidRDefault="00106164" w:rsidP="00106164">
      <w:pPr>
        <w:spacing w:after="0" w:line="240" w:lineRule="auto"/>
        <w:rPr>
          <w:b/>
          <w:bCs/>
          <w:i/>
          <w:iCs/>
          <w:szCs w:val="24"/>
          <w:rFonts w:ascii="Times New Roman" w:eastAsia="Times New Roman" w:hAnsi="Times New Roman" w:cs="Times New Roman"/>
        </w:rPr>
      </w:pPr>
      <w:r>
        <w:rPr>
          <w:b/>
          <w:i/>
          <w:rFonts w:ascii="Times New Roman" w:hAnsi="Times New Roman"/>
        </w:rPr>
        <w:t xml:space="preserve">As alterações propostas estão realçadas a vermelho</w:t>
      </w:r>
    </w:p>
    <w:p w14:paraId="2AA45474" w14:textId="7E60E1F7" w:rsidR="002D1522" w:rsidRDefault="002D1522" w:rsidP="002D1522">
      <w:pPr>
        <w:spacing w:after="0" w:line="240" w:lineRule="auto"/>
        <w:rPr>
          <w:rFonts w:ascii="Times New Roman" w:eastAsia="Times New Roman" w:hAnsi="Times New Roman" w:cs="Times New Roman"/>
          <w:b/>
          <w:szCs w:val="24"/>
          <w:lang w:val="en-GB"/>
        </w:rPr>
      </w:pPr>
    </w:p>
    <w:p w14:paraId="65C9B0D2" w14:textId="77777777" w:rsidR="00106164" w:rsidRPr="002D1522" w:rsidRDefault="00106164" w:rsidP="002D1522">
      <w:pPr>
        <w:spacing w:after="0" w:line="240" w:lineRule="auto"/>
        <w:rPr>
          <w:rFonts w:ascii="Times New Roman" w:eastAsia="Times New Roman" w:hAnsi="Times New Roman" w:cs="Times New Roman"/>
          <w:b/>
          <w:szCs w:val="24"/>
          <w:lang w:val="en-GB"/>
        </w:rPr>
      </w:pPr>
    </w:p>
    <w:p w14:paraId="12695058" w14:textId="77777777" w:rsidR="0054005C" w:rsidRPr="0054005C" w:rsidRDefault="0054005C" w:rsidP="0054005C">
      <w:pPr>
        <w:spacing w:after="0" w:line="240" w:lineRule="auto"/>
        <w:rPr>
          <w:b/>
          <w:bCs/>
          <w:i/>
          <w:iCs/>
          <w:szCs w:val="24"/>
          <w:rFonts w:ascii="Times New Roman" w:eastAsia="Times New Roman" w:hAnsi="Times New Roman" w:cs="Times New Roman"/>
        </w:rPr>
      </w:pPr>
      <w:r>
        <w:rPr>
          <w:b/>
          <w:rFonts w:ascii="Times New Roman" w:hAnsi="Times New Roman"/>
        </w:rPr>
        <w:t xml:space="preserve">Secção 1</w:t>
      </w:r>
      <w:r>
        <w:rPr>
          <w:b/>
          <w:i/>
          <w:rFonts w:ascii="Times New Roman" w:hAnsi="Times New Roman"/>
        </w:rPr>
        <w:t xml:space="preserve">:</w:t>
      </w:r>
      <w:r>
        <w:rPr>
          <w:b/>
          <w:i/>
          <w:rFonts w:ascii="Times New Roman" w:hAnsi="Times New Roman"/>
        </w:rPr>
        <w:t xml:space="preserve"> </w:t>
      </w:r>
      <w:r>
        <w:rPr>
          <w:b/>
          <w:i/>
          <w:rFonts w:ascii="Times New Roman" w:hAnsi="Times New Roman"/>
        </w:rPr>
        <w:t xml:space="preserve">Âmbito de aplicação</w:t>
      </w:r>
    </w:p>
    <w:p w14:paraId="1F3CD3E5" w14:textId="77777777" w:rsidR="0054005C" w:rsidRDefault="0054005C" w:rsidP="0054005C">
      <w:pPr>
        <w:spacing w:after="0" w:line="240" w:lineRule="auto"/>
        <w:rPr>
          <w:rFonts w:ascii="Times New Roman" w:eastAsia="Times New Roman" w:hAnsi="Times New Roman" w:cs="Times New Roman"/>
          <w:bCs/>
          <w:iCs/>
          <w:szCs w:val="24"/>
          <w:lang w:val="en-US"/>
        </w:rPr>
      </w:pPr>
    </w:p>
    <w:p w14:paraId="7D489EEF" w14:textId="5694A2F7" w:rsidR="002D1522" w:rsidRPr="0054005C" w:rsidRDefault="0054005C" w:rsidP="0054005C">
      <w:pPr>
        <w:spacing w:after="0" w:line="240" w:lineRule="auto"/>
        <w:rPr>
          <w:bCs/>
          <w:iCs/>
          <w:szCs w:val="24"/>
          <w:rFonts w:ascii="Times New Roman" w:eastAsia="Times New Roman" w:hAnsi="Times New Roman" w:cs="Times New Roman"/>
        </w:rPr>
      </w:pPr>
      <w:r>
        <w:rPr>
          <w:rFonts w:ascii="Times New Roman" w:hAnsi="Times New Roman"/>
        </w:rPr>
        <w:t xml:space="preserve">Estas Regulamentações são aplicáveis ao transporte de passageiros sujeito a licença sob a forma de serviço regular e ao transporte sujeito a licença aquando da utilização do veículo a motor para transportar pessoas com deficiência, cf. Secções 4, 6 e 9 da Lei sobre o Transporte Profissional. As Regulamentações não são aplicáveis aos autocarros de Classe I, com exclusão da disposição na Secção 4, quinto parágrafo</w:t>
      </w:r>
    </w:p>
    <w:p w14:paraId="6EACF846" w14:textId="7CBD8DFC" w:rsidR="0054005C" w:rsidRDefault="0054005C" w:rsidP="002D1522">
      <w:pPr>
        <w:spacing w:after="0" w:line="240" w:lineRule="auto"/>
        <w:rPr>
          <w:rFonts w:ascii="Times New Roman" w:eastAsia="Times New Roman" w:hAnsi="Times New Roman" w:cs="Times New Roman"/>
          <w:b/>
          <w:szCs w:val="24"/>
          <w:lang w:val="en-GB"/>
        </w:rPr>
      </w:pPr>
    </w:p>
    <w:p w14:paraId="0EFD06CB" w14:textId="77777777" w:rsidR="0054005C" w:rsidRPr="002D1522" w:rsidRDefault="0054005C" w:rsidP="002D1522">
      <w:pPr>
        <w:spacing w:after="0" w:line="240" w:lineRule="auto"/>
        <w:rPr>
          <w:rFonts w:ascii="Times New Roman" w:eastAsia="Times New Roman" w:hAnsi="Times New Roman" w:cs="Times New Roman"/>
          <w:b/>
          <w:szCs w:val="24"/>
          <w:lang w:val="en-GB"/>
        </w:rPr>
      </w:pPr>
    </w:p>
    <w:p w14:paraId="66062AE3"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2 </w:t>
      </w:r>
      <w:r>
        <w:rPr>
          <w:b/>
          <w:i/>
          <w:iCs/>
          <w:rFonts w:ascii="Times New Roman" w:hAnsi="Times New Roman"/>
        </w:rPr>
        <w:t xml:space="preserve">Definições</w:t>
      </w:r>
    </w:p>
    <w:p w14:paraId="15A82E3E"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Se for caso disso, são aplicáveis as definições presentes nas Regulamentações n.º 817 de 5 de julho de 2012 relativas à homologação de veículos a motor e dos seus reboques («bilforskriften»).</w:t>
      </w:r>
      <w:hyperlink r:id="rId6" w:anchor="reference/forskrift/2012-07-05-817" w:history="1">
        <w:r>
          <w:rPr>
            <w:rFonts w:ascii="Times New Roman" w:hAnsi="Times New Roman"/>
          </w:rPr>
          <w:t xml:space="preserve"> </w:t>
        </w:r>
      </w:hyperlink>
    </w:p>
    <w:p w14:paraId="7002C9F3"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Caso contrário, são aplicáveis a estas regulamentações as seguintes definições:</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5356AE2" w14:textId="77777777" w:rsidTr="00831C6F">
        <w:tc>
          <w:tcPr>
            <w:tcW w:w="360" w:type="dxa"/>
            <w:noWrap/>
            <w:tcMar>
              <w:right w:w="80" w:type="dxa"/>
            </w:tcMar>
          </w:tcPr>
          <w:p w14:paraId="360A6FC8"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a)</w:t>
            </w:r>
          </w:p>
        </w:tc>
        <w:tc>
          <w:tcPr>
            <w:tcW w:w="9506" w:type="dxa"/>
            <w:noWrap/>
            <w:tcMar>
              <w:right w:w="80" w:type="dxa"/>
            </w:tcMar>
          </w:tcPr>
          <w:p w14:paraId="496F12EA"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Veículo a motor para transporte de pessoas com deficiência:</w:t>
            </w:r>
            <w:r>
              <w:rPr>
                <w:rFonts w:ascii="Times New Roman" w:hAnsi="Times New Roman"/>
              </w:rPr>
              <w:t xml:space="preserve"> </w:t>
            </w:r>
            <w:r>
              <w:rPr>
                <w:rFonts w:ascii="Times New Roman" w:hAnsi="Times New Roman"/>
              </w:rPr>
              <w:t xml:space="preserve">Veículo a motor com licença de transporte especialmente concebido ou equipado para o transporte de pessoas com deficiência.</w:t>
            </w:r>
          </w:p>
        </w:tc>
      </w:tr>
    </w:tbl>
    <w:p w14:paraId="2D522BB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110C1EC9" w14:textId="77777777" w:rsidTr="00831C6F">
        <w:tc>
          <w:tcPr>
            <w:tcW w:w="360" w:type="dxa"/>
            <w:noWrap/>
            <w:tcMar>
              <w:right w:w="80" w:type="dxa"/>
            </w:tcMar>
          </w:tcPr>
          <w:p w14:paraId="44637CCB"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b)</w:t>
            </w:r>
          </w:p>
        </w:tc>
        <w:tc>
          <w:tcPr>
            <w:tcW w:w="9506" w:type="dxa"/>
            <w:noWrap/>
            <w:tcMar>
              <w:right w:w="80" w:type="dxa"/>
            </w:tcMar>
          </w:tcPr>
          <w:p w14:paraId="37B760DF"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Espaço para passageiros:</w:t>
            </w:r>
            <w:r>
              <w:rPr>
                <w:rFonts w:ascii="Times New Roman" w:hAnsi="Times New Roman"/>
              </w:rPr>
              <w:t xml:space="preserve"> </w:t>
            </w:r>
            <w:r>
              <w:rPr>
                <w:rFonts w:ascii="Times New Roman" w:hAnsi="Times New Roman"/>
              </w:rPr>
              <w:t xml:space="preserve">Espaço destinado ao transporte de passageiros.</w:t>
            </w:r>
          </w:p>
        </w:tc>
      </w:tr>
    </w:tbl>
    <w:p w14:paraId="1905BB5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D6DF5C9" w14:textId="77777777" w:rsidTr="00831C6F">
        <w:tc>
          <w:tcPr>
            <w:tcW w:w="360" w:type="dxa"/>
            <w:noWrap/>
            <w:tcMar>
              <w:right w:w="80" w:type="dxa"/>
            </w:tcMar>
          </w:tcPr>
          <w:p w14:paraId="0BF0ECE6"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c)</w:t>
            </w:r>
          </w:p>
        </w:tc>
        <w:tc>
          <w:tcPr>
            <w:tcW w:w="9506" w:type="dxa"/>
            <w:noWrap/>
            <w:tcMar>
              <w:right w:w="80" w:type="dxa"/>
            </w:tcMar>
          </w:tcPr>
          <w:p w14:paraId="34BCE36F"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Banco:</w:t>
            </w:r>
            <w:r>
              <w:rPr>
                <w:rFonts w:ascii="Times New Roman" w:hAnsi="Times New Roman"/>
              </w:rPr>
              <w:t xml:space="preserve"> </w:t>
            </w:r>
            <w:r>
              <w:rPr>
                <w:rFonts w:ascii="Times New Roman" w:hAnsi="Times New Roman"/>
              </w:rPr>
              <w:t xml:space="preserve">Espaço destinado a passageiros sentados com equipamento fixo ou móvel.</w:t>
            </w:r>
          </w:p>
        </w:tc>
      </w:tr>
    </w:tbl>
    <w:p w14:paraId="0E7AFF6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662B2BE6" w14:textId="77777777" w:rsidTr="00831C6F">
        <w:tc>
          <w:tcPr>
            <w:tcW w:w="360" w:type="dxa"/>
            <w:noWrap/>
            <w:tcMar>
              <w:right w:w="80" w:type="dxa"/>
            </w:tcMar>
          </w:tcPr>
          <w:p w14:paraId="1FA4F507"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d)</w:t>
            </w:r>
          </w:p>
        </w:tc>
        <w:tc>
          <w:tcPr>
            <w:tcW w:w="9506" w:type="dxa"/>
            <w:noWrap/>
            <w:tcMar>
              <w:right w:w="80" w:type="dxa"/>
            </w:tcMar>
          </w:tcPr>
          <w:p w14:paraId="1658C285"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Espaço para cadeira de rodas:</w:t>
            </w:r>
            <w:r>
              <w:rPr>
                <w:rFonts w:ascii="Times New Roman" w:hAnsi="Times New Roman"/>
              </w:rPr>
              <w:t xml:space="preserve"> </w:t>
            </w:r>
            <w:r>
              <w:rPr>
                <w:rFonts w:ascii="Times New Roman" w:hAnsi="Times New Roman"/>
              </w:rPr>
              <w:t xml:space="preserve">Espaço destinado a passageiros sentados numa cadeira de rodas.</w:t>
            </w:r>
          </w:p>
        </w:tc>
      </w:tr>
    </w:tbl>
    <w:p w14:paraId="3423BA29"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59A98CC3"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3.</w:t>
      </w:r>
      <w:r>
        <w:rPr>
          <w:b/>
          <w:rFonts w:ascii="Times New Roman" w:hAnsi="Times New Roman"/>
        </w:rPr>
        <w:t xml:space="preserve"> </w:t>
      </w:r>
      <w:r>
        <w:rPr>
          <w:b/>
          <w:i/>
          <w:rFonts w:ascii="Times New Roman" w:hAnsi="Times New Roman"/>
        </w:rPr>
        <w:t xml:space="preserve">Homologação</w:t>
      </w:r>
    </w:p>
    <w:p w14:paraId="5889F4D2"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autocarros abrangidos por estas Regulamentações devem ser homologados pela Administração de Estradas Públicas da Noruega em conformidade com os requisitos estabelecidos nas Regulamentações relativas aos veículos a motor e aos seus reboques, bem como com os requisitos estabelecidos na Secção 4.</w:t>
      </w:r>
      <w:r>
        <w:rPr>
          <w:rFonts w:ascii="Times New Roman" w:hAnsi="Times New Roman"/>
        </w:rPr>
        <w:t xml:space="preserve"> </w:t>
      </w:r>
      <w:r>
        <w:rPr>
          <w:rFonts w:ascii="Times New Roman" w:hAnsi="Times New Roman"/>
        </w:rPr>
        <w:t xml:space="preserve">Em caso de homologação, deve estar prevista documentação relativa ao cumprimento dos requisitos dispostos na Secção 4.</w:t>
      </w:r>
    </w:p>
    <w:p w14:paraId="3F821047" w14:textId="6F51F7D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automóveis de passageiros abrangidos por estas Regulamentações devem ser homologados pela Administração de Estradas Públicas da Noruega em conformidade com os requisitos estabelecidos nas Regulamentações relativas aos veículos a motor e aos seus reboques, bem como com os requisitos estabelecidos na Secção 6.</w:t>
      </w:r>
      <w:r>
        <w:rPr>
          <w:rFonts w:ascii="Times New Roman" w:hAnsi="Times New Roman"/>
        </w:rPr>
        <w:t xml:space="preserve"> </w:t>
      </w:r>
      <w:r>
        <w:rPr>
          <w:rFonts w:ascii="Times New Roman" w:hAnsi="Times New Roman"/>
        </w:rPr>
        <w:t xml:space="preserve">Em caso de homologação, deve estar prevista documentação relativa ao cumprimento dos requisitos dispostos na Secção 6.</w:t>
      </w:r>
    </w:p>
    <w:p w14:paraId="7BB75486"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 documentação disposta no primeiro e segundo parágrafo deve ser emitida pelo fabricante da carroçaria, do chassis, do equipamento de segurança ou do veículo a motor completo, ou por um laboratório independente competente.</w:t>
      </w:r>
    </w:p>
    <w:p w14:paraId="433285A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729342EF" w14:textId="77777777" w:rsidR="00B71823" w:rsidRPr="00B71823" w:rsidRDefault="00B71823" w:rsidP="00B71823">
      <w:pPr>
        <w:spacing w:after="0" w:line="240" w:lineRule="auto"/>
        <w:rPr>
          <w:b/>
          <w:bCs/>
          <w:szCs w:val="24"/>
          <w:rFonts w:ascii="Times New Roman" w:eastAsia="Times New Roman" w:hAnsi="Times New Roman" w:cs="Times New Roman"/>
        </w:rPr>
      </w:pPr>
      <w:r>
        <w:rPr>
          <w:b/>
          <w:rFonts w:ascii="Times New Roman" w:hAnsi="Times New Roman"/>
        </w:rPr>
        <w:t xml:space="preserve">Secção 4:</w:t>
      </w:r>
      <w:r>
        <w:rPr>
          <w:b/>
          <w:i/>
          <w:rFonts w:ascii="Times New Roman" w:hAnsi="Times New Roman"/>
        </w:rPr>
        <w:t xml:space="preserve"> </w:t>
      </w:r>
      <w:r>
        <w:rPr>
          <w:b/>
          <w:i/>
          <w:rFonts w:ascii="Times New Roman" w:hAnsi="Times New Roman"/>
        </w:rPr>
        <w:t xml:space="preserve">Requisitos aplicáveis aos autocarros</w:t>
      </w:r>
      <w:r>
        <w:rPr>
          <w:b/>
          <w:rFonts w:ascii="Times New Roman" w:hAnsi="Times New Roman"/>
        </w:rPr>
        <w:t xml:space="preserve"> </w:t>
      </w:r>
    </w:p>
    <w:p w14:paraId="00C4A60C" w14:textId="77777777" w:rsidR="00E81585" w:rsidRDefault="00E81585" w:rsidP="00B71823">
      <w:pPr>
        <w:spacing w:after="0" w:line="240" w:lineRule="auto"/>
        <w:rPr>
          <w:rFonts w:ascii="Times New Roman" w:eastAsia="Times New Roman" w:hAnsi="Times New Roman" w:cs="Times New Roman"/>
          <w:iCs/>
          <w:szCs w:val="24"/>
          <w:lang w:val="en-US"/>
        </w:rPr>
      </w:pPr>
    </w:p>
    <w:p w14:paraId="167BB47A" w14:textId="1C2634CF" w:rsid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Os autocarros abrangidos pelas presentes regulamentações devem cumprir os requisitos do Anexo 8 da Regulamentação n.º 107-05 da Comissão Económica das Nações Unidas para a Europa (UNECE).</w:t>
      </w:r>
    </w:p>
    <w:p w14:paraId="1D3883D5" w14:textId="77777777" w:rsidR="00E81585" w:rsidRPr="00B71823" w:rsidRDefault="00E81585" w:rsidP="00B71823">
      <w:pPr>
        <w:spacing w:after="0" w:line="240" w:lineRule="auto"/>
        <w:rPr>
          <w:rFonts w:ascii="Times New Roman" w:eastAsia="Times New Roman" w:hAnsi="Times New Roman" w:cs="Times New Roman"/>
          <w:iCs/>
          <w:szCs w:val="24"/>
          <w:lang w:val="en-GB"/>
        </w:rPr>
      </w:pPr>
    </w:p>
    <w:p w14:paraId="3E99923D" w14:textId="3F82DC23" w:rsidR="006007DD" w:rsidRP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Além disso, os autocarros utilizados para o transporte de passageiros sob a forma de serviço regular sujeito a licença devem possuir o seguinte:</w:t>
      </w:r>
    </w:p>
    <w:p w14:paraId="565F5F05" w14:textId="1322BA5B" w:rsid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 Aviso de travagem automático com mensagens de voz e um quadro de mensagens eletrónico dentro do autocarro que possa ser visto claramente a partir de um espaço reservado.</w:t>
      </w:r>
    </w:p>
    <w:p w14:paraId="3653FE0A" w14:textId="77777777" w:rsidR="00E81585" w:rsidRPr="00B71823" w:rsidRDefault="00E81585" w:rsidP="00B71823">
      <w:pPr>
        <w:spacing w:after="0" w:line="240" w:lineRule="auto"/>
        <w:rPr>
          <w:rFonts w:ascii="Times New Roman" w:eastAsia="Times New Roman" w:hAnsi="Times New Roman" w:cs="Times New Roman"/>
          <w:iCs/>
          <w:szCs w:val="24"/>
          <w:lang w:val="en-US"/>
        </w:rPr>
      </w:pPr>
    </w:p>
    <w:p w14:paraId="23CD317D" w14:textId="77777777" w:rsidR="00B71823" w:rsidRP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b) Sistema de radiodifusão externo (aviso sonoro) que informa qual o autocarro que está a chegar à paragem.</w:t>
      </w:r>
    </w:p>
    <w:p w14:paraId="11F046C1" w14:textId="77777777" w:rsidR="00B71823" w:rsidRP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 escolha do dispositivo de embarque deve basear-se na estrutura do autocarro.</w:t>
      </w:r>
      <w:r>
        <w:rPr>
          <w:rFonts w:ascii="Times New Roman" w:hAnsi="Times New Roman"/>
        </w:rPr>
        <w:t xml:space="preserve"> </w:t>
      </w:r>
      <w:r>
        <w:rPr>
          <w:rFonts w:ascii="Times New Roman" w:hAnsi="Times New Roman"/>
        </w:rPr>
        <w:t xml:space="preserve">Deve existir, pelo menos, um espaço destinado a cadeiras de rodas em cada autocarro.</w:t>
      </w:r>
    </w:p>
    <w:p w14:paraId="49D71262" w14:textId="1A440A1A" w:rsid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Os autocarros da Classe II devem possuir cintos de segurança que cumpram as prescrições da Regulamentação n.º 16-06 da Comissão Económica das Nações Unidas para a Europa (UNECE).</w:t>
      </w:r>
      <w:r>
        <w:rPr>
          <w:rFonts w:ascii="Times New Roman" w:hAnsi="Times New Roman"/>
        </w:rPr>
        <w:t xml:space="preserve"> </w:t>
      </w:r>
      <w:r>
        <w:rPr>
          <w:rFonts w:ascii="Times New Roman" w:hAnsi="Times New Roman"/>
        </w:rPr>
        <w:t xml:space="preserve">Os pontos de fixação dos cintos de segurança devem cumprir as prescrições da Regulamentação n.º 14-07 da Comissão Económica das Nações Unidas para a Europa (UNECE).</w:t>
      </w:r>
    </w:p>
    <w:p w14:paraId="3F4443B0" w14:textId="77777777" w:rsidR="006007DD" w:rsidRPr="00B71823" w:rsidRDefault="006007DD" w:rsidP="00B71823">
      <w:pPr>
        <w:spacing w:after="0" w:line="240" w:lineRule="auto"/>
        <w:rPr>
          <w:rFonts w:ascii="Times New Roman" w:eastAsia="Times New Roman" w:hAnsi="Times New Roman" w:cs="Times New Roman"/>
          <w:iCs/>
          <w:szCs w:val="24"/>
          <w:lang w:val="en-GB"/>
        </w:rPr>
      </w:pPr>
    </w:p>
    <w:p w14:paraId="5AE92340" w14:textId="77777777" w:rsidR="00B71823" w:rsidRPr="00B71823" w:rsidRDefault="00B71823" w:rsidP="00B71823">
      <w:pPr>
        <w:spacing w:after="0" w:line="240" w:lineRule="auto"/>
        <w:rPr>
          <w:iCs/>
          <w:color w:val="C00000"/>
          <w:szCs w:val="24"/>
          <w:rFonts w:ascii="Times New Roman" w:eastAsia="Times New Roman" w:hAnsi="Times New Roman" w:cs="Times New Roman"/>
        </w:rPr>
      </w:pPr>
      <w:r>
        <w:rPr>
          <w:color w:val="C00000"/>
          <w:rFonts w:ascii="Times New Roman" w:hAnsi="Times New Roman"/>
        </w:rPr>
        <w:t xml:space="preserve">A partir de 1 de janeiro de 2023, os autocarros das Classes I, II e III devem cumprir as prescrições de proteção frontal descritas na secção 5 da Regulamentação n.º 29 da Comissão Económica das Nações Unidas para a Europa (UNECE), aquando da realização do ensaio de colisão nos termos do Anexo 3, Teste A, em que o valor de impacto do pêndulo deve estar em conformidade com a Secção 5.5.2.</w:t>
      </w:r>
    </w:p>
    <w:p w14:paraId="3CFA2C6F" w14:textId="77777777" w:rsidR="00B71823" w:rsidRPr="00B71823" w:rsidRDefault="00B71823" w:rsidP="00B71823">
      <w:pPr>
        <w:spacing w:after="0" w:line="240" w:lineRule="auto"/>
        <w:rPr>
          <w:rFonts w:ascii="Times New Roman" w:eastAsia="Times New Roman" w:hAnsi="Times New Roman" w:cs="Times New Roman"/>
          <w:szCs w:val="24"/>
          <w:lang w:val="en-GB"/>
        </w:rPr>
      </w:pPr>
    </w:p>
    <w:p w14:paraId="043D292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3960E229"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5.</w:t>
      </w:r>
      <w:r>
        <w:rPr>
          <w:rFonts w:ascii="Times New Roman" w:hAnsi="Times New Roman"/>
        </w:rPr>
        <w:t xml:space="preserve"> </w:t>
      </w:r>
      <w:r>
        <w:rPr>
          <w:rFonts w:ascii="Times New Roman" w:hAnsi="Times New Roman"/>
        </w:rPr>
        <w:t xml:space="preserve">(Revogada)</w:t>
      </w:r>
    </w:p>
    <w:p w14:paraId="748677C7" w14:textId="7572CA36" w:rsidR="002D1522" w:rsidRDefault="002D1522" w:rsidP="002D1522">
      <w:pPr>
        <w:spacing w:after="0" w:line="240" w:lineRule="auto"/>
        <w:rPr>
          <w:rFonts w:ascii="Times New Roman" w:eastAsia="Times New Roman" w:hAnsi="Times New Roman" w:cs="Times New Roman"/>
          <w:szCs w:val="24"/>
          <w:lang w:val="en-GB"/>
        </w:rPr>
      </w:pPr>
    </w:p>
    <w:p w14:paraId="4FC47300" w14:textId="77777777" w:rsidR="00106164" w:rsidRPr="002D1522" w:rsidRDefault="00106164" w:rsidP="002D1522">
      <w:pPr>
        <w:spacing w:after="0" w:line="240" w:lineRule="auto"/>
        <w:rPr>
          <w:rFonts w:ascii="Times New Roman" w:eastAsia="Times New Roman" w:hAnsi="Times New Roman" w:cs="Times New Roman"/>
          <w:szCs w:val="24"/>
          <w:lang w:val="en-GB"/>
        </w:rPr>
      </w:pPr>
    </w:p>
    <w:p w14:paraId="65ADFA03"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6.</w:t>
      </w:r>
      <w:r>
        <w:rPr>
          <w:b/>
          <w:rFonts w:ascii="Times New Roman" w:hAnsi="Times New Roman"/>
        </w:rPr>
        <w:t xml:space="preserve"> </w:t>
      </w:r>
      <w:r>
        <w:rPr>
          <w:b/>
          <w:i/>
          <w:rFonts w:ascii="Times New Roman" w:hAnsi="Times New Roman"/>
        </w:rPr>
        <w:t xml:space="preserve">Requisitos aplicáveis aos automóveis de passageiros</w:t>
      </w:r>
    </w:p>
    <w:p w14:paraId="5E5D3482"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automóveis de passageiros devem cumprir os requisitos do Anexo XI, Anexo 3, “Veículos acessíveis em cadeiras de rodas”, da Diretiva </w:t>
      </w:r>
      <w:hyperlink r:id="rId7" w:anchor="reference/eu/32007l0046" w:history="1">
        <w:r>
          <w:rPr>
            <w:rFonts w:ascii="Times New Roman" w:hAnsi="Times New Roman"/>
          </w:rPr>
          <w:t xml:space="preserve">2007/46/CE</w:t>
        </w:r>
      </w:hyperlink>
      <w:r>
        <w:rPr>
          <w:rFonts w:ascii="Times New Roman" w:hAnsi="Times New Roman"/>
        </w:rPr>
        <w:t xml:space="preserve">.</w:t>
      </w:r>
      <w:r>
        <w:rPr>
          <w:rFonts w:ascii="Times New Roman" w:hAnsi="Times New Roman"/>
        </w:rPr>
        <w:t xml:space="preserve"> </w:t>
      </w:r>
      <w:r>
        <w:rPr>
          <w:rFonts w:ascii="Times New Roman" w:hAnsi="Times New Roman"/>
        </w:rPr>
        <w:t xml:space="preserve">Além disso, é aplicável o seguinte:</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A2D00A5" w14:textId="77777777" w:rsidTr="00831C6F">
        <w:tc>
          <w:tcPr>
            <w:tcW w:w="360" w:type="dxa"/>
            <w:noWrap/>
            <w:tcMar>
              <w:right w:w="80" w:type="dxa"/>
            </w:tcMar>
          </w:tcPr>
          <w:p w14:paraId="38B43CE3"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a)</w:t>
            </w:r>
          </w:p>
        </w:tc>
        <w:tc>
          <w:tcPr>
            <w:tcW w:w="9506" w:type="dxa"/>
            <w:noWrap/>
            <w:tcMar>
              <w:right w:w="80" w:type="dxa"/>
            </w:tcMar>
          </w:tcPr>
          <w:p w14:paraId="7590AC40"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Os espaços destinados a cadeiras de rodas devem ser em conformidade com o Anexo 8, Secção 3.6.1., da Regulamentação n.º 107-05 da Comissão Económica das Nações Unidas para a Europa (UNECE).</w:t>
            </w:r>
          </w:p>
        </w:tc>
      </w:tr>
    </w:tbl>
    <w:p w14:paraId="3B7E9B46"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5AC1B2C9" w14:textId="77777777" w:rsidTr="00831C6F">
        <w:tc>
          <w:tcPr>
            <w:tcW w:w="360" w:type="dxa"/>
            <w:noWrap/>
            <w:tcMar>
              <w:right w:w="80" w:type="dxa"/>
            </w:tcMar>
          </w:tcPr>
          <w:p w14:paraId="0317A466"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b)</w:t>
            </w:r>
          </w:p>
        </w:tc>
        <w:tc>
          <w:tcPr>
            <w:tcW w:w="9506" w:type="dxa"/>
            <w:noWrap/>
            <w:tcMar>
              <w:right w:w="80" w:type="dxa"/>
            </w:tcMar>
          </w:tcPr>
          <w:p w14:paraId="3D0A99F9"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Os bancos nos espaços destinados a cadeiras de rodas devem estar em conformidade com o Anexo 8, Secção 3.7., da Regulamentação n.º 107-05 da Comissão Económica das Nações Unidas para a Europa (UNECE).</w:t>
            </w:r>
          </w:p>
        </w:tc>
      </w:tr>
    </w:tbl>
    <w:p w14:paraId="53F4A4E1"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D90BF5E" w14:textId="77777777" w:rsidTr="00831C6F">
        <w:tc>
          <w:tcPr>
            <w:tcW w:w="360" w:type="dxa"/>
            <w:noWrap/>
            <w:tcMar>
              <w:right w:w="80" w:type="dxa"/>
            </w:tcMar>
          </w:tcPr>
          <w:p w14:paraId="6B664019"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c)</w:t>
            </w:r>
          </w:p>
        </w:tc>
        <w:tc>
          <w:tcPr>
            <w:tcW w:w="9506" w:type="dxa"/>
            <w:noWrap/>
            <w:tcMar>
              <w:right w:w="80" w:type="dxa"/>
            </w:tcMar>
          </w:tcPr>
          <w:p w14:paraId="4CB602A8"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A iluminação deve estar em conformidade com o Anexo 3, Secção 7.6.12., da Regulamentação n.º 107-05 da Comissão Económica das Nações Unidas para a Europa (UNECE).</w:t>
            </w:r>
          </w:p>
        </w:tc>
      </w:tr>
    </w:tbl>
    <w:p w14:paraId="350A7F4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2C777E4F" w14:textId="77777777" w:rsidTr="00831C6F">
        <w:tc>
          <w:tcPr>
            <w:tcW w:w="360" w:type="dxa"/>
            <w:noWrap/>
            <w:tcMar>
              <w:right w:w="80" w:type="dxa"/>
            </w:tcMar>
          </w:tcPr>
          <w:p w14:paraId="6EC1594C"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d)</w:t>
            </w:r>
          </w:p>
        </w:tc>
        <w:tc>
          <w:tcPr>
            <w:tcW w:w="9506" w:type="dxa"/>
            <w:noWrap/>
            <w:tcMar>
              <w:right w:w="80" w:type="dxa"/>
            </w:tcMar>
          </w:tcPr>
          <w:p w14:paraId="0A8BB3A5"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Os elevadores, rampas e equipamentos semelhantes devem estar em conformidade com o Anexo 8, Secção 3.11., da Regulamentação n.º 107-05 da Comissão Económica das Nações Unidas para a Europa (UNECE).</w:t>
            </w:r>
          </w:p>
        </w:tc>
      </w:tr>
    </w:tbl>
    <w:p w14:paraId="7F356D7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338353A2" w14:textId="77777777" w:rsidTr="00831C6F">
        <w:tc>
          <w:tcPr>
            <w:tcW w:w="360" w:type="dxa"/>
            <w:noWrap/>
            <w:tcMar>
              <w:right w:w="80" w:type="dxa"/>
            </w:tcMar>
          </w:tcPr>
          <w:p w14:paraId="3FB58D74"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e)</w:t>
            </w:r>
          </w:p>
        </w:tc>
        <w:tc>
          <w:tcPr>
            <w:tcW w:w="9506" w:type="dxa"/>
            <w:noWrap/>
            <w:tcMar>
              <w:right w:w="80" w:type="dxa"/>
            </w:tcMar>
          </w:tcPr>
          <w:p w14:paraId="33007488"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O espaço para extintores e caixas de primeiros socorros deve ser previsto de acordo com o Anexo 3, Secção 7.5.4., da Regulamentação n.º 107-05 da Comissão Económica das Nações Unidas para a Europa (UNECE).</w:t>
            </w:r>
          </w:p>
        </w:tc>
      </w:tr>
    </w:tbl>
    <w:p w14:paraId="502C399A"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5E503EF" w14:textId="77777777" w:rsidTr="00831C6F">
        <w:tc>
          <w:tcPr>
            <w:tcW w:w="360" w:type="dxa"/>
            <w:noWrap/>
            <w:tcMar>
              <w:right w:w="80" w:type="dxa"/>
            </w:tcMar>
          </w:tcPr>
          <w:p w14:paraId="4BAABB49"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f)</w:t>
            </w:r>
          </w:p>
        </w:tc>
        <w:tc>
          <w:tcPr>
            <w:tcW w:w="9506" w:type="dxa"/>
            <w:noWrap/>
            <w:tcMar>
              <w:right w:w="80" w:type="dxa"/>
            </w:tcMar>
          </w:tcPr>
          <w:p w14:paraId="6FDFC066"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As luzes de trabalho devem estar em conformidade com a Secção 28-5 (8), das regulamentações relativas aos Requisitos Técnicos e à Homologação de Veículos.</w:t>
            </w:r>
            <w:r>
              <w:rPr>
                <w:rFonts w:ascii="Times New Roman" w:hAnsi="Times New Roman"/>
              </w:rPr>
              <w:t xml:space="preserve"> </w:t>
            </w:r>
          </w:p>
        </w:tc>
      </w:tr>
    </w:tbl>
    <w:p w14:paraId="6DD4E3D4"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62209B7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7F7FA25"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7.</w:t>
      </w:r>
      <w:r>
        <w:rPr>
          <w:b/>
          <w:rFonts w:ascii="Times New Roman" w:hAnsi="Times New Roman"/>
        </w:rPr>
        <w:t xml:space="preserve"> </w:t>
      </w:r>
      <w:r>
        <w:rPr>
          <w:b/>
          <w:i/>
          <w:rFonts w:ascii="Times New Roman" w:hAnsi="Times New Roman"/>
        </w:rPr>
        <w:t xml:space="preserve">Aplicação</w:t>
      </w:r>
    </w:p>
    <w:p w14:paraId="1F442AD8"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autocarros abrangidos por estas Regulamentações devem, em todas as circunstâncias, cumprir os requisitos da Secção 4 aquando da realização de transportes homologados, cf. Secção 8.</w:t>
      </w:r>
    </w:p>
    <w:p w14:paraId="152C6C4D"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automóveis de passageiros abrangidos por estas regulamentações devem, em todas as circunstâncias, cumprir os requisitos da Secção 6 aquando da realização de transportes homologados, cf. a Secção 8.</w:t>
      </w:r>
    </w:p>
    <w:p w14:paraId="6443728E"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 Administração de Estradas Públicas da Noruega e a polícia realizam inspeções para aplicar estas regulamentações.</w:t>
      </w:r>
      <w:r>
        <w:rPr>
          <w:rFonts w:ascii="Times New Roman" w:hAnsi="Times New Roman"/>
        </w:rPr>
        <w:t xml:space="preserve"> </w:t>
      </w:r>
      <w:r>
        <w:rPr>
          <w:rFonts w:ascii="Times New Roman" w:hAnsi="Times New Roman"/>
        </w:rPr>
        <w:t xml:space="preserve">Em caso de inadequação do equipamento ou utilização de materiais que não cumpram os requisitos dispostos nas regulamentações ou que não tenham um desempenho adequado, são aplicáveis as Secções 40 e 41 da Lei sobre o Transporte Profissional.</w:t>
      </w:r>
    </w:p>
    <w:p w14:paraId="0A8E8E5A" w14:textId="77777777" w:rsidR="002D1522" w:rsidRPr="002D1522" w:rsidRDefault="002D1522" w:rsidP="002D1522">
      <w:pPr>
        <w:spacing w:before="120" w:after="0" w:line="240" w:lineRule="auto"/>
        <w:rPr>
          <w:rFonts w:ascii="Times New Roman" w:eastAsia="Times New Roman" w:hAnsi="Times New Roman" w:cs="Times New Roman"/>
          <w:szCs w:val="24"/>
          <w:lang w:val="en-GB"/>
        </w:rPr>
      </w:pPr>
    </w:p>
    <w:p w14:paraId="50BCA031"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8.</w:t>
      </w:r>
      <w:r>
        <w:rPr>
          <w:b/>
          <w:rFonts w:ascii="Times New Roman" w:hAnsi="Times New Roman"/>
        </w:rPr>
        <w:t xml:space="preserve"> </w:t>
      </w:r>
      <w:r>
        <w:rPr>
          <w:b/>
          <w:i/>
          <w:rFonts w:ascii="Times New Roman" w:hAnsi="Times New Roman"/>
        </w:rPr>
        <w:t xml:space="preserve">Exclusões</w:t>
      </w:r>
    </w:p>
    <w:p w14:paraId="776DCD13" w14:textId="631381A1" w:rsidR="002D1522" w:rsidRPr="002D1522" w:rsidRDefault="002D1522" w:rsidP="00106164">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Para os veículos abrangidos por estas Regulamentações, a Administração de Estradas Públicas da Noruega pode, em casos individuais, conceder exclusões de um ou mais dos requisitos dispostos nas Secções 4 e 6.</w:t>
      </w:r>
      <w:r>
        <w:rPr>
          <w:rFonts w:ascii="Times New Roman" w:hAnsi="Times New Roman"/>
        </w:rPr>
        <w:t xml:space="preserve"> </w:t>
      </w:r>
      <w:r>
        <w:rPr>
          <w:rFonts w:ascii="Times New Roman" w:hAnsi="Times New Roman"/>
        </w:rPr>
        <w:t xml:space="preserve">Não pode ser concedida qualquer exclusão aos requisitos aplicáveis aos dispositivos de ajuda ao embarque, sistemas de retenção (mecanismos de ancoragem) para cadeiras de rodas, cintos de segurança, equipamento de extinção de incêndios, equipamento de primeiros socorros e luzes de trabalho.</w:t>
      </w:r>
      <w:r>
        <w:rPr>
          <w:rFonts w:ascii="Times New Roman" w:hAnsi="Times New Roman"/>
        </w:rPr>
        <w:t xml:space="preserve"> </w:t>
      </w:r>
      <w:r>
        <w:rPr>
          <w:rFonts w:ascii="Times New Roman" w:hAnsi="Times New Roman"/>
        </w:rPr>
        <w:t xml:space="preserve">No que respeita aos requisitos da Secção 4, segundo parágrafo, a autoridade de licenciamento pode igualmente conceder exclusões.</w:t>
      </w:r>
    </w:p>
    <w:p w14:paraId="4A61466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0D73BBC"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Secção 9.</w:t>
      </w:r>
      <w:r>
        <w:rPr>
          <w:b/>
          <w:rFonts w:ascii="Times New Roman" w:hAnsi="Times New Roman"/>
        </w:rPr>
        <w:t xml:space="preserve"> </w:t>
      </w:r>
      <w:r>
        <w:rPr>
          <w:b/>
          <w:i/>
          <w:rFonts w:ascii="Times New Roman" w:hAnsi="Times New Roman"/>
        </w:rPr>
        <w:t xml:space="preserve">Entrada em vigor e disposições transitórias</w:t>
      </w:r>
    </w:p>
    <w:p w14:paraId="2C1B4C00"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As presentes Regulamentações entram em vigor a 1 de janeiro de 2010.</w:t>
      </w:r>
    </w:p>
    <w:p w14:paraId="2E3F7863"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acordos de aquisição de novos meios de transportes celebrados após o dia 1 de janeiro de 2010 devem cumprir os requisitos da presente regulamentação.</w:t>
      </w:r>
      <w:r>
        <w:rPr>
          <w:rFonts w:ascii="Times New Roman" w:hAnsi="Times New Roman"/>
        </w:rPr>
        <w:t xml:space="preserve"> </w:t>
      </w:r>
      <w:r>
        <w:rPr>
          <w:rFonts w:ascii="Times New Roman" w:hAnsi="Times New Roman"/>
        </w:rPr>
        <w:t xml:space="preserve">Os meios de transporte previamente aprovados e que são alterados ou modificados podem ser homologados de acordo com a Secção 3.</w:t>
      </w:r>
    </w:p>
    <w:p w14:paraId="53FA4661"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Os veículos homologados ao abrigo das Regulamentações n.º 599 de 4 de janeiro de 1984 relativos ao transporte homologado de pessoas com deficiência - requisitos técnicos do veículo continuarão a ser considerados homologados para o transporte homologado de pessoas com deficiência.</w:t>
      </w:r>
      <w:hyperlink r:id="rId8" w:anchor="reference/forskrift/1984-01-04-599" w:history="1">
        <w:r>
          <w:rPr>
            <w:rFonts w:ascii="Times New Roman" w:hAnsi="Times New Roman"/>
          </w:rPr>
          <w:t xml:space="preserve"> </w:t>
        </w:r>
      </w:hyperlink>
    </w:p>
    <w:p w14:paraId="436ADDF7"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As Regulamentações n.º 599 de 4 de janeiro de 1984 relativas ao transporte homologado de pessoas com deficiência - requisitos técnicos do veículo são revogados a partir de 1 de janeiro de 2010.</w:t>
      </w:r>
      <w:hyperlink r:id="rId9" w:anchor="reference/forskrift/1984-01-04-599" w:history="1">
        <w:r>
          <w:rPr>
            <w:rFonts w:ascii="Times New Roman" w:hAnsi="Times New Roman"/>
          </w:rPr>
          <w:t xml:space="preserve"> </w:t>
        </w:r>
      </w:hyperlink>
    </w:p>
    <w:p w14:paraId="4A09D46B" w14:textId="77777777" w:rsidR="009970F3" w:rsidRPr="009970F3" w:rsidRDefault="009970F3">
      <w:pPr>
        <w:rPr>
          <w:lang w:val="en-GB"/>
        </w:rPr>
      </w:pPr>
    </w:p>
    <w:sectPr w:rsidR="009970F3" w:rsidRPr="00997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7F23" w14:textId="77777777" w:rsidR="00DE24C8" w:rsidRDefault="00DE24C8" w:rsidP="009970F3">
      <w:pPr>
        <w:spacing w:after="0" w:line="240" w:lineRule="auto"/>
      </w:pPr>
      <w:r>
        <w:separator/>
      </w:r>
    </w:p>
  </w:endnote>
  <w:endnote w:type="continuationSeparator" w:id="0">
    <w:p w14:paraId="13AA7154" w14:textId="77777777" w:rsidR="00DE24C8" w:rsidRDefault="00DE24C8" w:rsidP="009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F2D" w14:textId="77777777" w:rsidR="00DE24C8" w:rsidRDefault="00DE24C8" w:rsidP="009970F3">
      <w:pPr>
        <w:spacing w:after="0" w:line="240" w:lineRule="auto"/>
      </w:pPr>
      <w:r>
        <w:separator/>
      </w:r>
    </w:p>
  </w:footnote>
  <w:footnote w:type="continuationSeparator" w:id="0">
    <w:p w14:paraId="305FB64E" w14:textId="77777777" w:rsidR="00DE24C8" w:rsidRDefault="00DE24C8" w:rsidP="0099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3"/>
    <w:rsid w:val="00106164"/>
    <w:rsid w:val="0011337F"/>
    <w:rsid w:val="002D1522"/>
    <w:rsid w:val="0054005C"/>
    <w:rsid w:val="006007DD"/>
    <w:rsid w:val="00711279"/>
    <w:rsid w:val="009970F3"/>
    <w:rsid w:val="00B71823"/>
    <w:rsid w:val="00DE24C8"/>
    <w:rsid w:val="00E81585"/>
    <w:rsid w:val="00F40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808B"/>
  <w15:chartTrackingRefBased/>
  <w15:docId w15:val="{6DCD1777-89CE-486A-9668-0DCDA90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lovdata.no/pro" TargetMode="External"/><Relationship Id="rId3" Type="http://schemas.openxmlformats.org/officeDocument/2006/relationships/webSettings" Target="webSettings.xml"/><Relationship Id="rId7" Type="http://schemas.openxmlformats.org/officeDocument/2006/relationships/hyperlink" Target="https://lovdata.no/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Liana Brili</cp:lastModifiedBy>
  <cp:revision>10</cp:revision>
  <dcterms:created xsi:type="dcterms:W3CDTF">2022-02-09T09:31:00Z</dcterms:created>
  <dcterms:modified xsi:type="dcterms:W3CDTF">2022-02-14T13:22:00Z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2022-02-09T09:38:56Z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8d9469b0-ffc8-46d3-90f2-ca585e825876</vt:lpwstr>
  </property>
  <property fmtid="{D5CDD505-2E9C-101B-9397-08002B2CF9AE}" pid="8" name="MSIP_Label_e5fbf486-f09d-4a86-8810-b4add863c98a_ContentBits">
    <vt:lpwstr>0</vt:lpwstr>
  </property>
</Properties>
</file>