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40BD37" w14:textId="77777777" w:rsidR="004C79C7" w:rsidRDefault="004C79C7" w:rsidP="004C79C7">
      <w:pPr>
        <w:pageBreakBefore/>
        <w:spacing w:line="264" w:lineRule="auto"/>
        <w:jc w:val="both"/>
      </w:pPr>
      <w:bookmarkStart w:id="0" w:name="_Hlk72831917"/>
      <w:r>
        <w:rPr>
          <w:b/>
        </w:rPr>
        <w:t xml:space="preserve">II. TEKST ARTYKUŁÓW</w:t>
      </w:r>
    </w:p>
    <w:p w14:paraId="5BA7CD1B" w14:textId="77777777" w:rsidR="004C79C7" w:rsidRDefault="004C79C7" w:rsidP="004C79C7">
      <w:pPr>
        <w:tabs>
          <w:tab w:val="left" w:pos="600"/>
        </w:tabs>
        <w:spacing w:line="264" w:lineRule="auto"/>
        <w:rPr>
          <w:bCs/>
          <w:szCs w:val="20"/>
          <w:rFonts w:eastAsia="Calibri"/>
        </w:rPr>
      </w:pPr>
      <w:r>
        <w:tab/>
      </w:r>
    </w:p>
    <w:p w14:paraId="4F7474D3" w14:textId="77777777" w:rsidR="004C79C7" w:rsidRDefault="004C79C7" w:rsidP="004C79C7">
      <w:pPr>
        <w:tabs>
          <w:tab w:val="left" w:pos="600"/>
        </w:tabs>
        <w:spacing w:line="264" w:lineRule="auto"/>
      </w:pPr>
    </w:p>
    <w:p w14:paraId="41B2B1B2" w14:textId="77777777" w:rsidR="004C79C7" w:rsidRDefault="004C79C7" w:rsidP="004C79C7">
      <w:pPr>
        <w:tabs>
          <w:tab w:val="left" w:pos="600"/>
        </w:tabs>
        <w:spacing w:line="264" w:lineRule="auto"/>
        <w:jc w:val="both"/>
      </w:pPr>
      <w:r>
        <w:tab/>
      </w:r>
    </w:p>
    <w:p w14:paraId="7F57DAD8" w14:textId="77777777" w:rsidR="004C79C7" w:rsidRDefault="004C79C7" w:rsidP="004C79C7">
      <w:pPr>
        <w:spacing w:line="260" w:lineRule="exact"/>
        <w:contextualSpacing/>
        <w:jc w:val="both"/>
        <w:rPr>
          <w:color w:val="000000"/>
          <w:szCs w:val="20"/>
          <w:lang w:val="sl-SI" w:eastAsia="sl-SI"/>
        </w:rPr>
      </w:pPr>
    </w:p>
    <w:p w14:paraId="687380DC" w14:textId="77777777" w:rsidR="004C79C7" w:rsidRDefault="004C79C7" w:rsidP="004C79C7">
      <w:pPr>
        <w:numPr>
          <w:ilvl w:val="0"/>
          <w:numId w:val="1"/>
        </w:numPr>
        <w:spacing w:after="160" w:line="260" w:lineRule="exact"/>
        <w:contextualSpacing/>
        <w:jc w:val="center"/>
      </w:pPr>
      <w:r>
        <w:rPr>
          <w:color w:val="000000"/>
        </w:rPr>
        <w:t xml:space="preserve">Artykuł</w:t>
      </w:r>
    </w:p>
    <w:p w14:paraId="32236372" w14:textId="77777777" w:rsidR="004C79C7" w:rsidRDefault="004C79C7" w:rsidP="004C79C7">
      <w:pPr>
        <w:spacing w:line="260" w:lineRule="exact"/>
        <w:rPr>
          <w:color w:val="000000"/>
          <w:szCs w:val="20"/>
          <w:lang w:val="sl-SI" w:eastAsia="sl-SI"/>
        </w:rPr>
      </w:pPr>
    </w:p>
    <w:p w14:paraId="48CE4082" w14:textId="77777777" w:rsidR="001709BC" w:rsidRDefault="001709BC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0BB8872B" w14:textId="655F7D2F" w:rsidR="00473EA7" w:rsidRDefault="004C79C7" w:rsidP="004C79C7">
      <w:pPr>
        <w:spacing w:line="260" w:lineRule="exact"/>
        <w:jc w:val="both"/>
        <w:rPr>
          <w:color w:val="000000"/>
          <w:szCs w:val="20"/>
        </w:rPr>
      </w:pPr>
      <w:r>
        <w:rPr>
          <w:color w:val="000000"/>
        </w:rPr>
        <w:t xml:space="preserve">W ustawie o grach (Dziennik Urzędowy Republiki Słowenii nr 14/11 - oficjalny tekst jednolity, 108/12, 11/14 - ze zmianami i 40/14 - ZIN-B) dodaje się nowy art. 1 lit. a) w następującym brzmieniu:</w:t>
      </w:r>
    </w:p>
    <w:p w14:paraId="08D38BB6" w14:textId="7134920A" w:rsidR="00473EA7" w:rsidRDefault="00473EA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3A391B2A" w14:textId="7404E2E9" w:rsidR="00473EA7" w:rsidRDefault="00473EA7" w:rsidP="00473EA7">
      <w:pPr>
        <w:spacing w:line="260" w:lineRule="exact"/>
        <w:jc w:val="center"/>
        <w:rPr>
          <w:color w:val="000000"/>
          <w:szCs w:val="20"/>
        </w:rPr>
      </w:pPr>
      <w:r>
        <w:rPr>
          <w:color w:val="000000"/>
        </w:rPr>
        <w:t xml:space="preserve">„1.a</w:t>
      </w:r>
    </w:p>
    <w:p w14:paraId="7A82030C" w14:textId="68BBCDAE" w:rsidR="00473EA7" w:rsidRDefault="00473EA7" w:rsidP="00473EA7">
      <w:pPr>
        <w:spacing w:line="260" w:lineRule="exact"/>
        <w:jc w:val="center"/>
        <w:rPr>
          <w:color w:val="000000"/>
          <w:szCs w:val="20"/>
          <w:lang w:val="sl-SI" w:eastAsia="sl-SI"/>
        </w:rPr>
      </w:pPr>
    </w:p>
    <w:p w14:paraId="34C420CF" w14:textId="6CA95388" w:rsidR="00473EA7" w:rsidRPr="00473EA7" w:rsidRDefault="00473EA7" w:rsidP="00473EA7">
      <w:pPr>
        <w:spacing w:line="260" w:lineRule="exact"/>
        <w:jc w:val="both"/>
        <w:rPr>
          <w:color w:val="000000"/>
          <w:szCs w:val="20"/>
        </w:rPr>
      </w:pPr>
      <w:r>
        <w:rPr>
          <w:color w:val="000000"/>
        </w:rPr>
        <w:t xml:space="preserve">Niniejsza ustawa podlega procedurze informacyjnej zgodnie z dyrektywą Parlamentu Europejskiego i Rady (UE) 2015/1535 z dnia 9 września 2015 r. ustanawiającą procedurę udzielania informacji w zakresie przepisów technicznych oraz zasad dotyczących usług społeczeństwa informacyjnego (Dz.U. L 241,17.</w:t>
      </w:r>
      <w:r>
        <w:rPr>
          <w:color w:val="000000"/>
        </w:rPr>
        <w:t xml:space="preserve"> </w:t>
      </w:r>
      <w:r>
        <w:rPr>
          <w:color w:val="000000"/>
        </w:rPr>
        <w:t xml:space="preserve">9.</w:t>
      </w:r>
      <w:r>
        <w:rPr>
          <w:color w:val="000000"/>
        </w:rPr>
        <w:t xml:space="preserve"> </w:t>
      </w:r>
      <w:r>
        <w:rPr>
          <w:color w:val="000000"/>
        </w:rPr>
        <w:t xml:space="preserve">2015, s. 1).</w:t>
      </w:r>
    </w:p>
    <w:p w14:paraId="632B7765" w14:textId="77777777" w:rsidR="00473EA7" w:rsidRPr="00473EA7" w:rsidRDefault="00473EA7" w:rsidP="00473EA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15904180" w14:textId="6EF2C7FC" w:rsidR="00473EA7" w:rsidRPr="00473EA7" w:rsidRDefault="00473EA7" w:rsidP="00473EA7">
      <w:pPr>
        <w:spacing w:line="260" w:lineRule="exact"/>
        <w:jc w:val="both"/>
        <w:rPr>
          <w:color w:val="000000"/>
          <w:szCs w:val="20"/>
        </w:rPr>
      </w:pPr>
      <w:r>
        <w:rPr>
          <w:color w:val="000000"/>
        </w:rPr>
        <w:t xml:space="preserve">Przepisy niniejszej ustawy nie mają zastosowania do produktów, które zgodnie z ustawodawstwem krajowym zapewniającym równoważny poziom ochrony interesu publicznego, jak określono w ustawodawstwie Republiki Słowenii, są zgodnie z prawem produkowane lub wprowadzane do obrotu w innych państwach członkowskich Unii Europejskiej i Turcji lub są produkowane w krajach Europejskiego Stowarzyszenia Wolnego Handlu (EFTA), które są również sygnatariuszami Porozumienia o Europejskim Obszarze Gospodarczym.</w:t>
      </w:r>
    </w:p>
    <w:p w14:paraId="5A2D7CE0" w14:textId="77777777" w:rsidR="00473EA7" w:rsidRPr="00473EA7" w:rsidRDefault="00473EA7" w:rsidP="00473EA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1C9E2ACD" w14:textId="4C094B75" w:rsidR="00473EA7" w:rsidRDefault="00473EA7" w:rsidP="00473EA7">
      <w:pPr>
        <w:spacing w:line="260" w:lineRule="exact"/>
        <w:jc w:val="both"/>
        <w:rPr>
          <w:color w:val="000000"/>
          <w:szCs w:val="20"/>
        </w:rPr>
      </w:pPr>
      <w:r>
        <w:rPr>
          <w:color w:val="000000"/>
        </w:rPr>
        <w:t xml:space="preserve">Niniejsza ustawa jest wdrażana zgodnie z rozporządzeniem Parlamentu Europejskiego i Rady (WE) nr 764/2008 z dnia 9 lipca 2008 r. ustanawiającym procedury dotyczące stosowania niektórych krajowych przepisów technicznych do produktów wprowadzonych legalnie do obrotu w innym państwie członkowskim oraz uchylające decyzję nr 3052/95/WE (Dz.U. L 218, 13.</w:t>
      </w:r>
      <w:r>
        <w:rPr>
          <w:color w:val="000000"/>
        </w:rPr>
        <w:t xml:space="preserve"> </w:t>
      </w:r>
      <w:r>
        <w:rPr>
          <w:color w:val="000000"/>
        </w:rPr>
        <w:t xml:space="preserve">8.</w:t>
      </w:r>
      <w:r>
        <w:rPr>
          <w:color w:val="000000"/>
        </w:rPr>
        <w:t xml:space="preserve"> </w:t>
      </w:r>
      <w:r>
        <w:rPr>
          <w:color w:val="000000"/>
        </w:rPr>
        <w:t xml:space="preserve">2008, s. 21).</w:t>
      </w:r>
    </w:p>
    <w:p w14:paraId="1BA0A0F9" w14:textId="77777777" w:rsidR="0065179E" w:rsidRDefault="0065179E" w:rsidP="00473EA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7FB68D30" w14:textId="1B5253E9" w:rsidR="00473EA7" w:rsidRDefault="00473EA7" w:rsidP="00473EA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4069D155" w14:textId="77777777" w:rsidR="00473EA7" w:rsidRPr="00473EA7" w:rsidRDefault="00473EA7" w:rsidP="00473EA7">
      <w:pPr>
        <w:pStyle w:val="Odstavekseznama"/>
        <w:numPr>
          <w:ilvl w:val="0"/>
          <w:numId w:val="1"/>
        </w:numPr>
        <w:spacing w:line="260" w:lineRule="exact"/>
        <w:jc w:val="center"/>
        <w:rPr>
          <w:color w:val="000000"/>
          <w:szCs w:val="20"/>
          <w:lang w:val="sl-SI" w:eastAsia="sl-SI"/>
        </w:rPr>
      </w:pPr>
    </w:p>
    <w:p w14:paraId="2D940554" w14:textId="661FCA10" w:rsidR="00473EA7" w:rsidRDefault="00473EA7" w:rsidP="00473EA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12AAD8FE" w14:textId="29F01C2B" w:rsidR="004C79C7" w:rsidRDefault="00473EA7" w:rsidP="004C79C7">
      <w:pPr>
        <w:spacing w:line="260" w:lineRule="exact"/>
        <w:jc w:val="both"/>
        <w:rPr>
          <w:color w:val="000000"/>
          <w:szCs w:val="20"/>
        </w:rPr>
      </w:pPr>
      <w:r>
        <w:rPr>
          <w:color w:val="000000"/>
        </w:rPr>
        <w:t xml:space="preserve">W art. 3 akapit trzeci pkt 7 słowo „jego” zastępuje się słowem „ich”.</w:t>
      </w:r>
      <w:r>
        <w:rPr>
          <w:color w:val="000000"/>
        </w:rPr>
        <w:t xml:space="preserve"> </w:t>
      </w:r>
    </w:p>
    <w:p w14:paraId="3F53542D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43360EFB" w14:textId="77777777" w:rsidR="004C79C7" w:rsidRPr="004250D2" w:rsidRDefault="004C79C7" w:rsidP="004C79C7">
      <w:pPr>
        <w:spacing w:line="260" w:lineRule="exact"/>
        <w:jc w:val="both"/>
        <w:rPr>
          <w:color w:val="000000"/>
          <w:szCs w:val="20"/>
        </w:rPr>
      </w:pPr>
      <w:r>
        <w:rPr>
          <w:color w:val="000000"/>
        </w:rPr>
        <w:t xml:space="preserve">W akapicie piątym wprowadza się następujące zmiany:</w:t>
      </w:r>
    </w:p>
    <w:p w14:paraId="0BE98888" w14:textId="77777777" w:rsidR="004C79C7" w:rsidRPr="004250D2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1927789D" w14:textId="77777777" w:rsidR="004C79C7" w:rsidRPr="004250D2" w:rsidRDefault="004C79C7" w:rsidP="004C79C7">
      <w:pPr>
        <w:spacing w:line="260" w:lineRule="exact"/>
        <w:jc w:val="both"/>
        <w:rPr>
          <w:color w:val="000000"/>
          <w:szCs w:val="20"/>
        </w:rPr>
      </w:pPr>
      <w:r>
        <w:rPr>
          <w:color w:val="000000"/>
        </w:rPr>
        <w:t xml:space="preserve">„Na terytorium Republiki Słowenii klasyczne gry losowe i zakłady wzajemne może organizować na stałe maksymalnie pięciu organizatorów, a władze mogą wydać maksymalnie 15 koncesji na organizację specjalnych gier losowych w kasynach oraz maksymalnie 45 koncesji na organizowanie specjalnych gier losowych w salonach gier hazardowych”.</w:t>
      </w:r>
    </w:p>
    <w:p w14:paraId="1A4AE326" w14:textId="77777777" w:rsidR="004C79C7" w:rsidRPr="004250D2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45F8E08D" w14:textId="77777777" w:rsidR="004C79C7" w:rsidRPr="004250D2" w:rsidRDefault="004C79C7" w:rsidP="004C79C7">
      <w:pPr>
        <w:spacing w:line="260" w:lineRule="exact"/>
        <w:jc w:val="both"/>
        <w:rPr>
          <w:color w:val="000000"/>
          <w:szCs w:val="20"/>
        </w:rPr>
      </w:pPr>
      <w:r>
        <w:t xml:space="preserve">W akapicie szóstym po słowie „losowa” dodaje się słowa „i zakłady wzajemne”.</w:t>
      </w:r>
    </w:p>
    <w:p w14:paraId="77CB6074" w14:textId="77777777" w:rsidR="004C79C7" w:rsidRPr="004250D2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50403D2C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4B77A4B7" w14:textId="77777777" w:rsidR="004C79C7" w:rsidRDefault="004C79C7" w:rsidP="004C79C7">
      <w:pPr>
        <w:numPr>
          <w:ilvl w:val="0"/>
          <w:numId w:val="1"/>
        </w:numPr>
        <w:spacing w:after="160" w:line="260" w:lineRule="exact"/>
        <w:contextualSpacing/>
        <w:jc w:val="center"/>
      </w:pPr>
      <w:r>
        <w:rPr>
          <w:color w:val="000000"/>
        </w:rPr>
        <w:t xml:space="preserve">Artykuł</w:t>
      </w:r>
    </w:p>
    <w:p w14:paraId="47F6D141" w14:textId="77777777" w:rsidR="004C79C7" w:rsidRDefault="004C79C7" w:rsidP="004C79C7">
      <w:pPr>
        <w:spacing w:line="260" w:lineRule="exact"/>
        <w:jc w:val="center"/>
        <w:rPr>
          <w:color w:val="000000"/>
          <w:szCs w:val="20"/>
          <w:lang w:val="sl-SI" w:eastAsia="sl-SI"/>
        </w:rPr>
      </w:pPr>
    </w:p>
    <w:p w14:paraId="62C67D1C" w14:textId="77777777" w:rsidR="004C79C7" w:rsidRPr="004250D2" w:rsidRDefault="004C79C7" w:rsidP="004C79C7">
      <w:pPr>
        <w:spacing w:line="260" w:lineRule="exact"/>
        <w:jc w:val="both"/>
        <w:rPr>
          <w:color w:val="000000"/>
          <w:szCs w:val="20"/>
        </w:rPr>
      </w:pPr>
      <w:r>
        <w:rPr>
          <w:color w:val="000000"/>
        </w:rPr>
        <w:t xml:space="preserve">W art. 3.a akapit pierwszy po słowach „organizowanie klasycznych gier losowych” dodaje się słowa </w:t>
      </w:r>
      <w:r>
        <w:t xml:space="preserve">„zakłady wzajemne”.</w:t>
      </w:r>
    </w:p>
    <w:p w14:paraId="73BA747C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5313A6AB" w14:textId="77777777" w:rsidR="004C79C7" w:rsidRPr="004250D2" w:rsidRDefault="004C79C7" w:rsidP="004C79C7">
      <w:pPr>
        <w:spacing w:line="260" w:lineRule="exact"/>
        <w:jc w:val="both"/>
        <w:rPr>
          <w:color w:val="000000"/>
          <w:szCs w:val="20"/>
        </w:rPr>
      </w:pPr>
      <w:r>
        <w:rPr>
          <w:color w:val="000000"/>
        </w:rPr>
        <w:t xml:space="preserve">W akapicie drugim wprowadza się następujące zmiany:</w:t>
      </w:r>
      <w:r>
        <w:rPr>
          <w:color w:val="000000"/>
        </w:rPr>
        <w:t xml:space="preserve"> </w:t>
      </w:r>
    </w:p>
    <w:p w14:paraId="33EDBE12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42A18B1C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4A629174" w14:textId="77777777" w:rsidR="004C79C7" w:rsidRPr="004250D2" w:rsidRDefault="004C79C7" w:rsidP="004C79C7">
      <w:pPr>
        <w:spacing w:line="260" w:lineRule="exact"/>
        <w:jc w:val="both"/>
        <w:rPr>
          <w:color w:val="000000"/>
          <w:szCs w:val="20"/>
        </w:rPr>
      </w:pPr>
      <w:r>
        <w:rPr>
          <w:color w:val="000000"/>
        </w:rPr>
        <w:t xml:space="preserve">„Przedsiębiorstwa, o których mowa w akapicie pierwszym i drugim niniejszego artykułu, muszą połączyć system informatyczny, w którym organizują zakłady wzajemne online lub gry losowe online z systemem informatycznym administracji finansowej Republiki Słowenii (dalej: organ nadzorczy) oraz zapewnić dostęp do odczytu programów, danych i zapisów systemowych oraz uzyskać zgodę organu nadzorczego na rozpoczęcie organizowania zakładów wzajemnych online lub gier losowych online”.</w:t>
      </w:r>
    </w:p>
    <w:p w14:paraId="4272F8A4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4FB97BD3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19D03C19" w14:textId="77777777" w:rsidR="004C79C7" w:rsidRPr="004250D2" w:rsidRDefault="004C79C7" w:rsidP="004C79C7">
      <w:pPr>
        <w:pStyle w:val="Odstavekseznama"/>
        <w:numPr>
          <w:ilvl w:val="0"/>
          <w:numId w:val="1"/>
        </w:numPr>
        <w:spacing w:line="260" w:lineRule="exact"/>
        <w:jc w:val="center"/>
      </w:pPr>
      <w:r>
        <w:t xml:space="preserve">Artykuł</w:t>
      </w:r>
    </w:p>
    <w:p w14:paraId="649E5AE1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2A1154BD" w14:textId="77777777" w:rsidR="004C79C7" w:rsidRDefault="004C79C7" w:rsidP="004C79C7">
      <w:pPr>
        <w:spacing w:line="260" w:lineRule="exact"/>
        <w:jc w:val="both"/>
        <w:rPr>
          <w:color w:val="000000"/>
          <w:szCs w:val="20"/>
        </w:rPr>
      </w:pPr>
      <w:r>
        <w:rPr>
          <w:color w:val="000000"/>
        </w:rPr>
        <w:t xml:space="preserve">W art. 10 słowa „zakłady sportowe” zastępuje się słowami „zakłady wzajemne”.</w:t>
      </w:r>
    </w:p>
    <w:p w14:paraId="75EC98D2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10AF990B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3B8EEC13" w14:textId="77777777" w:rsidR="004C79C7" w:rsidRPr="003E39CE" w:rsidRDefault="004C79C7" w:rsidP="004C79C7">
      <w:pPr>
        <w:pStyle w:val="Odstavekseznama"/>
        <w:numPr>
          <w:ilvl w:val="0"/>
          <w:numId w:val="1"/>
        </w:numPr>
        <w:spacing w:line="260" w:lineRule="exact"/>
        <w:jc w:val="center"/>
      </w:pPr>
      <w:r>
        <w:t xml:space="preserve">Artykuł</w:t>
      </w:r>
    </w:p>
    <w:p w14:paraId="75036DC4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1F96E261" w14:textId="77777777" w:rsidR="004C79C7" w:rsidRPr="007963D0" w:rsidRDefault="004C79C7" w:rsidP="004C79C7">
      <w:pPr>
        <w:spacing w:line="260" w:lineRule="exact"/>
        <w:jc w:val="both"/>
        <w:rPr>
          <w:szCs w:val="20"/>
        </w:rPr>
      </w:pPr>
      <w:r>
        <w:t xml:space="preserve">W artykule 11 po słowie „losowa” dodaje się słowa „i zakłady wzajemne”.</w:t>
      </w:r>
    </w:p>
    <w:p w14:paraId="7A77658C" w14:textId="77777777" w:rsidR="004C79C7" w:rsidRPr="00D377C7" w:rsidRDefault="004C79C7" w:rsidP="004C79C7">
      <w:pPr>
        <w:spacing w:line="260" w:lineRule="exact"/>
        <w:jc w:val="both"/>
        <w:rPr>
          <w:color w:val="FF0000"/>
          <w:szCs w:val="20"/>
          <w:lang w:val="sl-SI" w:eastAsia="sl-SI"/>
        </w:rPr>
      </w:pPr>
    </w:p>
    <w:p w14:paraId="517FA28C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288BA3E9" w14:textId="77777777" w:rsidR="004C79C7" w:rsidRPr="003E39CE" w:rsidRDefault="004C79C7" w:rsidP="004C79C7">
      <w:pPr>
        <w:pStyle w:val="Odstavekseznama"/>
        <w:numPr>
          <w:ilvl w:val="0"/>
          <w:numId w:val="1"/>
        </w:numPr>
        <w:spacing w:line="260" w:lineRule="exact"/>
        <w:jc w:val="center"/>
        <w:rPr>
          <w:color w:val="000000"/>
          <w:szCs w:val="20"/>
        </w:rPr>
      </w:pPr>
      <w:r>
        <w:rPr>
          <w:color w:val="000000"/>
        </w:rPr>
        <w:t xml:space="preserve">Artykuł</w:t>
      </w:r>
    </w:p>
    <w:p w14:paraId="101BED53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1A6C4E2A" w14:textId="77777777" w:rsidR="004C79C7" w:rsidRDefault="004C79C7" w:rsidP="004C79C7">
      <w:pPr>
        <w:spacing w:line="260" w:lineRule="exact"/>
        <w:jc w:val="both"/>
        <w:rPr>
          <w:color w:val="000000"/>
          <w:szCs w:val="20"/>
        </w:rPr>
      </w:pPr>
      <w:r>
        <w:rPr>
          <w:color w:val="000000"/>
        </w:rPr>
        <w:t xml:space="preserve">Skreśla się art. 15.</w:t>
      </w:r>
    </w:p>
    <w:p w14:paraId="47FF5FE6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2B0ECEB3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721C8230" w14:textId="77777777" w:rsidR="004C79C7" w:rsidRPr="003E39CE" w:rsidRDefault="004C79C7" w:rsidP="004C79C7">
      <w:pPr>
        <w:pStyle w:val="Odstavekseznama"/>
        <w:numPr>
          <w:ilvl w:val="0"/>
          <w:numId w:val="1"/>
        </w:numPr>
        <w:spacing w:line="260" w:lineRule="exact"/>
        <w:jc w:val="center"/>
        <w:rPr>
          <w:color w:val="000000"/>
          <w:szCs w:val="20"/>
        </w:rPr>
      </w:pPr>
      <w:r>
        <w:rPr>
          <w:color w:val="000000"/>
        </w:rPr>
        <w:t xml:space="preserve">Artykuł</w:t>
      </w:r>
    </w:p>
    <w:p w14:paraId="4ABB717C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13FD7A3E" w14:textId="77777777" w:rsidR="004C79C7" w:rsidRPr="003E39CE" w:rsidRDefault="004C79C7" w:rsidP="004C79C7">
      <w:pPr>
        <w:spacing w:line="260" w:lineRule="exact"/>
        <w:jc w:val="both"/>
        <w:rPr>
          <w:color w:val="000000"/>
          <w:szCs w:val="20"/>
        </w:rPr>
      </w:pPr>
      <w:r>
        <w:rPr>
          <w:color w:val="000000"/>
        </w:rPr>
        <w:t xml:space="preserve">Art. 30 otrzymuje następujące brzmienie:</w:t>
      </w:r>
    </w:p>
    <w:p w14:paraId="7E4747FA" w14:textId="77777777" w:rsidR="004C79C7" w:rsidRPr="003E39CE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0FA14F83" w14:textId="77777777" w:rsidR="004C79C7" w:rsidRPr="003E39CE" w:rsidRDefault="004C79C7" w:rsidP="004C79C7">
      <w:pPr>
        <w:spacing w:line="260" w:lineRule="exact"/>
        <w:jc w:val="both"/>
        <w:rPr>
          <w:color w:val="000000"/>
          <w:szCs w:val="20"/>
        </w:rPr>
      </w:pPr>
      <w:r>
        <w:t xml:space="preserve">„Klasyczne gry losowe i zakłady wzajemne mogą być organizowane na stałe jako działalność gospodarcza przez spółkę z siedzibą w Republice Słowenii, która uzyskała koncesję.</w:t>
      </w:r>
    </w:p>
    <w:p w14:paraId="3A741AA6" w14:textId="77777777" w:rsidR="004C79C7" w:rsidRPr="003E39CE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132F25C7" w14:textId="77777777" w:rsidR="004C79C7" w:rsidRDefault="004C79C7" w:rsidP="004C79C7">
      <w:pPr>
        <w:spacing w:line="260" w:lineRule="exact"/>
        <w:jc w:val="both"/>
        <w:rPr>
          <w:color w:val="000000"/>
          <w:szCs w:val="20"/>
        </w:rPr>
      </w:pPr>
      <w:r>
        <w:t xml:space="preserve">Organizator może zorganizować klasyczną grę losową i zakłady wzajemne we współpracy z zagranicznymi organizatorami gier losowych, którzy posiadają pozwolenie właściwego organu swojego kraju na organizację takich gier.”.</w:t>
      </w:r>
    </w:p>
    <w:p w14:paraId="12C9041C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44AF5E38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16BE5F17" w14:textId="77777777" w:rsidR="004C79C7" w:rsidRPr="00805D43" w:rsidRDefault="004C79C7" w:rsidP="004C79C7">
      <w:pPr>
        <w:pStyle w:val="Odstavekseznama"/>
        <w:numPr>
          <w:ilvl w:val="0"/>
          <w:numId w:val="1"/>
        </w:numPr>
        <w:spacing w:line="260" w:lineRule="exact"/>
        <w:jc w:val="center"/>
        <w:rPr>
          <w:color w:val="000000"/>
          <w:szCs w:val="20"/>
        </w:rPr>
      </w:pPr>
      <w:r>
        <w:rPr>
          <w:color w:val="000000"/>
        </w:rPr>
        <w:t xml:space="preserve">Artykuł</w:t>
      </w:r>
    </w:p>
    <w:p w14:paraId="2052B98B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20A4C837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6CA19ABA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0EB9CCFB" w14:textId="77777777" w:rsidR="004C79C7" w:rsidRPr="007963D0" w:rsidRDefault="004C79C7" w:rsidP="004C79C7">
      <w:pPr>
        <w:spacing w:line="260" w:lineRule="exact"/>
        <w:jc w:val="both"/>
        <w:rPr>
          <w:color w:val="000000"/>
          <w:szCs w:val="20"/>
        </w:rPr>
      </w:pPr>
      <w:r>
        <w:rPr>
          <w:color w:val="000000"/>
        </w:rPr>
        <w:t xml:space="preserve">Art. 36 otrzymuje następujące brzmienie:</w:t>
      </w:r>
    </w:p>
    <w:p w14:paraId="08F972F5" w14:textId="77777777" w:rsidR="004C79C7" w:rsidRPr="007963D0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64BBD633" w14:textId="77777777" w:rsidR="004C79C7" w:rsidRPr="007963D0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15156162" w14:textId="77777777" w:rsidR="004C79C7" w:rsidRPr="007963D0" w:rsidRDefault="004C79C7" w:rsidP="004C79C7">
      <w:pPr>
        <w:spacing w:line="260" w:lineRule="exact"/>
        <w:jc w:val="both"/>
        <w:rPr>
          <w:color w:val="000000"/>
          <w:szCs w:val="20"/>
        </w:rPr>
      </w:pPr>
      <w:r>
        <w:rPr>
          <w:color w:val="000000"/>
        </w:rPr>
        <w:t xml:space="preserve">„Koncesja na organizację klasycznych gier losowych i zakładów wzajemnych na stałe udzielana jest decyzją władz podjęta na podstawie przetargu publicznego ogłoszonego przez ministerstwo właściwe do spraw finansów, a umowa koncesyjna z organizatorem zawierana jest przez ministra właściwego do spraw finansów w terminie 45 dni od udzielenia koncesji.</w:t>
      </w:r>
    </w:p>
    <w:p w14:paraId="7045B3EE" w14:textId="77777777" w:rsidR="004C79C7" w:rsidRPr="007963D0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3D14AEAB" w14:textId="77777777" w:rsidR="004C79C7" w:rsidRDefault="004C79C7" w:rsidP="004C79C7">
      <w:pPr>
        <w:spacing w:line="260" w:lineRule="exact"/>
        <w:jc w:val="both"/>
        <w:rPr>
          <w:color w:val="000000"/>
          <w:szCs w:val="20"/>
        </w:rPr>
      </w:pPr>
      <w:r>
        <w:rPr>
          <w:color w:val="000000"/>
        </w:rPr>
        <w:t xml:space="preserve">Władze podejmują decyzję o udzieleniu koncesji nie później niż cztery miesiące po zakończeniu procedury przetargowej, o której mowa w poprzednim ustępie.</w:t>
      </w:r>
    </w:p>
    <w:p w14:paraId="5D7D9DAD" w14:textId="77777777" w:rsidR="004C79C7" w:rsidRPr="007963D0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3716E198" w14:textId="77777777" w:rsidR="004C79C7" w:rsidRDefault="004C79C7" w:rsidP="004C79C7">
      <w:pPr>
        <w:spacing w:line="260" w:lineRule="exact"/>
        <w:jc w:val="both"/>
        <w:rPr>
          <w:color w:val="000000"/>
          <w:szCs w:val="20"/>
        </w:rPr>
      </w:pPr>
      <w:r>
        <w:rPr>
          <w:color w:val="000000"/>
        </w:rPr>
        <w:t xml:space="preserve">Ministerstwo właściwe do spraw finansów ogłasza przetarg publiczny na udzielenie koncesji, o której mowa w niniejszym artykule, co najmniej trzy razy w roku.”.</w:t>
      </w:r>
    </w:p>
    <w:p w14:paraId="03D965B4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461F69EE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3E2FAA80" w14:textId="77777777" w:rsidR="004C79C7" w:rsidRPr="00805D43" w:rsidRDefault="004C79C7" w:rsidP="004C79C7">
      <w:pPr>
        <w:pStyle w:val="Odstavekseznama"/>
        <w:numPr>
          <w:ilvl w:val="0"/>
          <w:numId w:val="1"/>
        </w:numPr>
        <w:spacing w:line="260" w:lineRule="exact"/>
        <w:jc w:val="center"/>
        <w:rPr>
          <w:color w:val="000000"/>
          <w:szCs w:val="20"/>
        </w:rPr>
      </w:pPr>
      <w:r>
        <w:rPr>
          <w:color w:val="000000"/>
        </w:rPr>
        <w:t xml:space="preserve">Artykuł</w:t>
      </w:r>
    </w:p>
    <w:p w14:paraId="45ACBE93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0F17F196" w14:textId="77777777" w:rsidR="004C79C7" w:rsidRDefault="004C79C7" w:rsidP="004C79C7">
      <w:pPr>
        <w:spacing w:line="260" w:lineRule="exact"/>
        <w:jc w:val="both"/>
        <w:rPr>
          <w:color w:val="000000"/>
          <w:szCs w:val="20"/>
        </w:rPr>
      </w:pPr>
      <w:r>
        <w:rPr>
          <w:color w:val="000000"/>
        </w:rPr>
        <w:t xml:space="preserve">Skreśla się art. 37.</w:t>
      </w:r>
    </w:p>
    <w:p w14:paraId="249BB55A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0488F778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158A6BCC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7A56233C" w14:textId="77777777" w:rsidR="004C79C7" w:rsidRDefault="004C79C7" w:rsidP="004C79C7">
      <w:pPr>
        <w:numPr>
          <w:ilvl w:val="0"/>
          <w:numId w:val="1"/>
        </w:numPr>
        <w:spacing w:after="160" w:line="260" w:lineRule="exact"/>
        <w:contextualSpacing/>
        <w:jc w:val="center"/>
      </w:pPr>
      <w:r>
        <w:rPr>
          <w:color w:val="000000"/>
        </w:rPr>
        <w:t xml:space="preserve">Artykuł</w:t>
      </w:r>
    </w:p>
    <w:p w14:paraId="5592A27E" w14:textId="77777777" w:rsidR="004C79C7" w:rsidRDefault="004C79C7" w:rsidP="004C79C7">
      <w:pPr>
        <w:spacing w:line="260" w:lineRule="exact"/>
        <w:ind w:left="720"/>
        <w:contextualSpacing/>
        <w:rPr>
          <w:color w:val="000000"/>
          <w:szCs w:val="20"/>
          <w:lang w:val="sl-SI" w:eastAsia="sl-SI"/>
        </w:rPr>
      </w:pPr>
    </w:p>
    <w:p w14:paraId="7570929D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7AB57EE0" w14:textId="77777777" w:rsidR="004C79C7" w:rsidRPr="000A6261" w:rsidRDefault="004C79C7" w:rsidP="004C79C7">
      <w:pPr>
        <w:spacing w:line="260" w:lineRule="exact"/>
        <w:jc w:val="both"/>
      </w:pPr>
      <w:r>
        <w:rPr>
          <w:color w:val="000000"/>
        </w:rPr>
        <w:t xml:space="preserve">W art. 40 akapit pierwszy słowo „podatek” zastępuje się słowem „nadzorczy”.</w:t>
      </w:r>
    </w:p>
    <w:p w14:paraId="1FD162AB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3EC3075F" w14:textId="77777777" w:rsidR="004C79C7" w:rsidRDefault="004C79C7" w:rsidP="004C79C7">
      <w:pPr>
        <w:spacing w:line="260" w:lineRule="exact"/>
        <w:jc w:val="both"/>
        <w:rPr>
          <w:color w:val="000000"/>
          <w:szCs w:val="20"/>
        </w:rPr>
      </w:pPr>
      <w:r>
        <w:rPr>
          <w:color w:val="000000"/>
        </w:rPr>
        <w:t xml:space="preserve">Zmienia się akapit czwarty, który otrzymuje następujące brzmienie:</w:t>
      </w:r>
    </w:p>
    <w:p w14:paraId="5AFEABC4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77105963" w14:textId="77777777" w:rsidR="004C79C7" w:rsidRDefault="004C79C7" w:rsidP="004C79C7">
      <w:pPr>
        <w:spacing w:line="260" w:lineRule="exact"/>
        <w:jc w:val="both"/>
        <w:rPr>
          <w:color w:val="000000"/>
          <w:szCs w:val="20"/>
        </w:rPr>
      </w:pPr>
      <w:bookmarkStart w:id="1" w:name="_Hlk72851335"/>
      <w:r>
        <w:rPr>
          <w:color w:val="000000"/>
        </w:rPr>
        <w:t xml:space="preserve">„Podstawę uiszczenia opłaty koncesyjnej ustala się co miesiąc.</w:t>
      </w:r>
      <w:r>
        <w:rPr>
          <w:color w:val="000000"/>
        </w:rPr>
        <w:t xml:space="preserve"> </w:t>
      </w:r>
      <w:r>
        <w:rPr>
          <w:color w:val="000000"/>
        </w:rPr>
        <w:t xml:space="preserve">Na tej podstawie organizator jest zobowiązany do obliczenia i uiszczenia opłaty koncesyjnej w wysokości określonej przez władze w decyzji o przyznaniu koncesji, przy czym opłata ta nie może być niższa niż 5%, w ciągu pięciu dni roboczych od końca miesiąca za poprzedni miesiąc.”.</w:t>
      </w:r>
    </w:p>
    <w:p w14:paraId="49422D57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0AD23E8C" w14:textId="77777777" w:rsidR="004C79C7" w:rsidRPr="00EC0BA5" w:rsidRDefault="004C79C7" w:rsidP="004C79C7">
      <w:pPr>
        <w:spacing w:line="260" w:lineRule="exact"/>
        <w:jc w:val="both"/>
        <w:rPr>
          <w:color w:val="000000"/>
          <w:szCs w:val="20"/>
        </w:rPr>
      </w:pPr>
      <w:r>
        <w:rPr>
          <w:color w:val="000000"/>
        </w:rPr>
        <w:t xml:space="preserve">Dodaje się nowy akapit piąty w brzmieniu:</w:t>
      </w:r>
    </w:p>
    <w:p w14:paraId="3EB62F77" w14:textId="77777777" w:rsidR="004C79C7" w:rsidRPr="00EC0BA5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6E47C151" w14:textId="77777777" w:rsidR="004C79C7" w:rsidRPr="00EC0BA5" w:rsidRDefault="004C79C7" w:rsidP="004C79C7">
      <w:pPr>
        <w:spacing w:line="260" w:lineRule="exact"/>
        <w:jc w:val="both"/>
        <w:rPr>
          <w:color w:val="000000"/>
          <w:szCs w:val="20"/>
        </w:rPr>
      </w:pPr>
      <w:r>
        <w:rPr>
          <w:color w:val="000000"/>
        </w:rPr>
        <w:t xml:space="preserve">„Przy ustalaniu wysokości opłaty koncesyjnej bierze się pod uwagę:</w:t>
      </w:r>
    </w:p>
    <w:p w14:paraId="51D03F81" w14:textId="77777777" w:rsidR="004C79C7" w:rsidRPr="00B61486" w:rsidRDefault="004C79C7" w:rsidP="004C79C7">
      <w:pPr>
        <w:pStyle w:val="Odstavekseznama"/>
        <w:numPr>
          <w:ilvl w:val="0"/>
          <w:numId w:val="3"/>
        </w:numPr>
        <w:spacing w:line="260" w:lineRule="exact"/>
        <w:jc w:val="both"/>
        <w:rPr>
          <w:color w:val="000000"/>
          <w:szCs w:val="20"/>
        </w:rPr>
      </w:pPr>
      <w:r>
        <w:rPr>
          <w:color w:val="000000"/>
        </w:rPr>
        <w:t xml:space="preserve">szacunki finansowe dotyczące konkretnej klasycznej gry losowej;</w:t>
      </w:r>
      <w:r>
        <w:rPr>
          <w:color w:val="000000"/>
        </w:rPr>
        <w:t xml:space="preserve"> </w:t>
      </w:r>
    </w:p>
    <w:p w14:paraId="3D21141A" w14:textId="77777777" w:rsidR="004C79C7" w:rsidRDefault="004C79C7" w:rsidP="004C79C7">
      <w:pPr>
        <w:pStyle w:val="Odstavekseznama"/>
        <w:numPr>
          <w:ilvl w:val="0"/>
          <w:numId w:val="3"/>
        </w:numPr>
        <w:spacing w:line="260" w:lineRule="exact"/>
        <w:jc w:val="both"/>
        <w:rPr>
          <w:color w:val="000000"/>
          <w:szCs w:val="20"/>
        </w:rPr>
      </w:pPr>
      <w:r>
        <w:rPr>
          <w:color w:val="000000"/>
        </w:rPr>
        <w:t xml:space="preserve">wynik finansowy organizatora za poprzedni okres oraz wysokość opłaty koncesyjnej za inne klasyczne gry losowe;</w:t>
      </w:r>
      <w:r>
        <w:rPr>
          <w:color w:val="000000"/>
        </w:rPr>
        <w:t xml:space="preserve"> </w:t>
      </w:r>
      <w:r>
        <w:rPr>
          <w:color w:val="000000"/>
        </w:rPr>
        <w:t xml:space="preserve">oraz</w:t>
      </w:r>
    </w:p>
    <w:p w14:paraId="390CF3ED" w14:textId="77777777" w:rsidR="004C79C7" w:rsidRDefault="004C79C7" w:rsidP="004C79C7">
      <w:pPr>
        <w:pStyle w:val="Odstavekseznama"/>
        <w:numPr>
          <w:ilvl w:val="0"/>
          <w:numId w:val="3"/>
        </w:numPr>
        <w:spacing w:line="260" w:lineRule="exact"/>
        <w:jc w:val="both"/>
        <w:rPr>
          <w:color w:val="000000"/>
          <w:szCs w:val="20"/>
        </w:rPr>
      </w:pPr>
      <w:r>
        <w:rPr>
          <w:color w:val="000000"/>
        </w:rPr>
        <w:t xml:space="preserve">ewentualny wpływ na finansowanie organizacji niepełnosprawnych, organizacji humanitarnych i sportowych”.</w:t>
      </w:r>
    </w:p>
    <w:p w14:paraId="40F693B4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bookmarkEnd w:id="1"/>
    <w:p w14:paraId="4E8D3A9B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1B0E1A76" w14:textId="77777777" w:rsidR="004C79C7" w:rsidRPr="008B7803" w:rsidRDefault="004C79C7" w:rsidP="004C79C7">
      <w:pPr>
        <w:pStyle w:val="Odstavekseznama"/>
        <w:numPr>
          <w:ilvl w:val="0"/>
          <w:numId w:val="1"/>
        </w:numPr>
        <w:spacing w:line="260" w:lineRule="exact"/>
        <w:jc w:val="center"/>
      </w:pPr>
      <w:r>
        <w:t xml:space="preserve">Artykuł</w:t>
      </w:r>
    </w:p>
    <w:p w14:paraId="0719E5A8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078C07C5" w14:textId="77777777" w:rsidR="004C79C7" w:rsidRDefault="004C79C7" w:rsidP="004C79C7">
      <w:pPr>
        <w:spacing w:line="260" w:lineRule="exact"/>
        <w:rPr>
          <w:color w:val="000000"/>
          <w:szCs w:val="20"/>
        </w:rPr>
      </w:pPr>
      <w:r>
        <w:rPr>
          <w:color w:val="000000"/>
        </w:rPr>
        <w:t xml:space="preserve">Art. 42 otrzymuje następujące brzmienie:</w:t>
      </w:r>
    </w:p>
    <w:p w14:paraId="2212CAB7" w14:textId="77777777" w:rsidR="004C79C7" w:rsidRDefault="004C79C7" w:rsidP="004C79C7">
      <w:pPr>
        <w:spacing w:line="260" w:lineRule="exact"/>
        <w:rPr>
          <w:color w:val="000000"/>
          <w:szCs w:val="20"/>
          <w:lang w:val="sl-SI" w:eastAsia="sl-SI"/>
        </w:rPr>
      </w:pPr>
    </w:p>
    <w:p w14:paraId="45F78028" w14:textId="77777777" w:rsidR="004C79C7" w:rsidRDefault="004C79C7" w:rsidP="004C79C7">
      <w:pPr>
        <w:spacing w:line="260" w:lineRule="exact"/>
        <w:rPr>
          <w:color w:val="000000"/>
          <w:szCs w:val="20"/>
        </w:rPr>
      </w:pPr>
      <w:r>
        <w:t xml:space="preserve">„Koncesja na organizację klasycznych gier losowych i zakładów wzajemnych na stałe udzielana jest na okres co najmniej trzech do pięciu lat i może zostać przedłużona po upływie tego okresu, każdorazowo o co najmniej trzy i maksymalnie pięć lat.”.</w:t>
      </w:r>
    </w:p>
    <w:p w14:paraId="42FC68C8" w14:textId="77777777" w:rsidR="004C79C7" w:rsidRDefault="004C79C7" w:rsidP="004C79C7">
      <w:pPr>
        <w:spacing w:line="260" w:lineRule="exact"/>
        <w:rPr>
          <w:color w:val="000000"/>
          <w:szCs w:val="20"/>
          <w:lang w:val="sl-SI" w:eastAsia="sl-SI"/>
        </w:rPr>
      </w:pPr>
    </w:p>
    <w:p w14:paraId="684C89DC" w14:textId="77777777" w:rsidR="004C79C7" w:rsidRDefault="004C79C7" w:rsidP="004C79C7">
      <w:pPr>
        <w:spacing w:line="260" w:lineRule="exact"/>
        <w:rPr>
          <w:color w:val="000000"/>
          <w:szCs w:val="20"/>
          <w:lang w:val="sl-SI" w:eastAsia="sl-SI"/>
        </w:rPr>
      </w:pPr>
    </w:p>
    <w:p w14:paraId="5B51A884" w14:textId="77777777" w:rsidR="004C79C7" w:rsidRPr="007963D0" w:rsidRDefault="004C79C7" w:rsidP="004C79C7">
      <w:pPr>
        <w:pStyle w:val="Odstavekseznama"/>
        <w:numPr>
          <w:ilvl w:val="0"/>
          <w:numId w:val="1"/>
        </w:numPr>
        <w:spacing w:line="260" w:lineRule="exact"/>
        <w:jc w:val="center"/>
        <w:rPr>
          <w:szCs w:val="20"/>
        </w:rPr>
      </w:pPr>
      <w:r>
        <w:t xml:space="preserve">Artykuł</w:t>
      </w:r>
    </w:p>
    <w:p w14:paraId="66BAC9DC" w14:textId="77777777" w:rsidR="004C79C7" w:rsidRDefault="004C79C7" w:rsidP="004C79C7">
      <w:pPr>
        <w:spacing w:line="260" w:lineRule="exact"/>
        <w:rPr>
          <w:color w:val="000000"/>
          <w:szCs w:val="20"/>
          <w:lang w:val="sl-SI" w:eastAsia="sl-SI"/>
        </w:rPr>
      </w:pPr>
    </w:p>
    <w:p w14:paraId="26DEEB11" w14:textId="77777777" w:rsidR="004C79C7" w:rsidRPr="007963D0" w:rsidRDefault="004C79C7" w:rsidP="004C79C7">
      <w:pPr>
        <w:spacing w:line="260" w:lineRule="exact"/>
        <w:rPr>
          <w:szCs w:val="20"/>
        </w:rPr>
      </w:pPr>
      <w:r>
        <w:t xml:space="preserve">W art. 44 akapit drugi po słowach „klasyczne gry losowe” dodaje się słowa „i zakłady wzajemne”.</w:t>
      </w:r>
    </w:p>
    <w:p w14:paraId="50ECC577" w14:textId="77777777" w:rsidR="004C79C7" w:rsidRDefault="004C79C7" w:rsidP="004C79C7">
      <w:pPr>
        <w:spacing w:line="260" w:lineRule="exact"/>
        <w:rPr>
          <w:color w:val="000000"/>
          <w:szCs w:val="20"/>
          <w:lang w:val="sl-SI" w:eastAsia="sl-SI"/>
        </w:rPr>
      </w:pPr>
    </w:p>
    <w:p w14:paraId="26603B5A" w14:textId="77777777" w:rsidR="004C79C7" w:rsidRDefault="004C79C7" w:rsidP="004C79C7">
      <w:pPr>
        <w:spacing w:line="260" w:lineRule="exact"/>
        <w:rPr>
          <w:color w:val="000000"/>
          <w:szCs w:val="20"/>
          <w:lang w:val="sl-SI" w:eastAsia="sl-SI"/>
        </w:rPr>
      </w:pPr>
    </w:p>
    <w:p w14:paraId="54D1AC5C" w14:textId="77777777" w:rsidR="004C79C7" w:rsidRPr="00B61486" w:rsidRDefault="004C79C7" w:rsidP="004C79C7">
      <w:pPr>
        <w:pStyle w:val="Odstavekseznama"/>
        <w:numPr>
          <w:ilvl w:val="0"/>
          <w:numId w:val="1"/>
        </w:numPr>
        <w:spacing w:line="260" w:lineRule="exact"/>
        <w:jc w:val="center"/>
        <w:rPr>
          <w:color w:val="000000"/>
          <w:szCs w:val="20"/>
        </w:rPr>
      </w:pPr>
      <w:r>
        <w:rPr>
          <w:color w:val="000000"/>
        </w:rPr>
        <w:t xml:space="preserve">Artykuł</w:t>
      </w:r>
    </w:p>
    <w:p w14:paraId="0ACE15E6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1F2ACF2E" w14:textId="77777777" w:rsidR="004C79C7" w:rsidRDefault="004C79C7" w:rsidP="004C79C7">
      <w:pPr>
        <w:spacing w:line="260" w:lineRule="exact"/>
        <w:jc w:val="both"/>
        <w:rPr>
          <w:color w:val="000000"/>
          <w:szCs w:val="20"/>
        </w:rPr>
      </w:pPr>
      <w:r>
        <w:rPr>
          <w:color w:val="000000"/>
        </w:rPr>
        <w:t xml:space="preserve">W art. 46 akapit drugi skreśla się słowa „przewidywań sportowych, innych zakładów sportowych i”.</w:t>
      </w:r>
    </w:p>
    <w:p w14:paraId="485ADB25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60960690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7686A045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25BF6EBB" w14:textId="77777777" w:rsidR="004C79C7" w:rsidRPr="00B61486" w:rsidRDefault="004C79C7" w:rsidP="004C79C7">
      <w:pPr>
        <w:pStyle w:val="Odstavekseznama"/>
        <w:numPr>
          <w:ilvl w:val="0"/>
          <w:numId w:val="1"/>
        </w:numPr>
        <w:spacing w:line="260" w:lineRule="exact"/>
        <w:jc w:val="center"/>
        <w:rPr>
          <w:color w:val="000000"/>
          <w:szCs w:val="20"/>
        </w:rPr>
      </w:pPr>
      <w:r>
        <w:rPr>
          <w:color w:val="000000"/>
        </w:rPr>
        <w:t xml:space="preserve">Artykuł</w:t>
      </w:r>
    </w:p>
    <w:p w14:paraId="3C07B28F" w14:textId="77777777" w:rsidR="004C79C7" w:rsidRPr="003E39CE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0E59DB63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28422ABA" w14:textId="77777777" w:rsidR="004C79C7" w:rsidRPr="003E39CE" w:rsidRDefault="004C79C7" w:rsidP="004C79C7">
      <w:pPr>
        <w:spacing w:line="260" w:lineRule="exact"/>
        <w:jc w:val="both"/>
        <w:rPr>
          <w:color w:val="000000"/>
          <w:szCs w:val="20"/>
        </w:rPr>
      </w:pPr>
      <w:r>
        <w:rPr>
          <w:color w:val="000000"/>
        </w:rPr>
        <w:t xml:space="preserve">Po art. 52 dodaje się nowy rozdział zatytułowany „II.a USŁUGI ZAKŁADÓW WZAJEMNYCH” oraz nowe art. 52.a, 52.b, 52.c, 52.d, 52.e, w następującym brzmieniu:</w:t>
      </w:r>
    </w:p>
    <w:p w14:paraId="0D6DD92C" w14:textId="77777777" w:rsidR="004C79C7" w:rsidRPr="003E39CE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4A3117EB" w14:textId="77777777" w:rsidR="004C79C7" w:rsidRPr="003E39CE" w:rsidRDefault="004C79C7" w:rsidP="004C79C7">
      <w:pPr>
        <w:spacing w:line="260" w:lineRule="exact"/>
        <w:jc w:val="center"/>
        <w:rPr>
          <w:color w:val="000000"/>
          <w:szCs w:val="20"/>
        </w:rPr>
      </w:pPr>
      <w:r>
        <w:rPr>
          <w:color w:val="000000"/>
        </w:rPr>
        <w:t xml:space="preserve">„Artykuł 52.a</w:t>
      </w:r>
    </w:p>
    <w:p w14:paraId="586F6F48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460CFFFD" w14:textId="77777777" w:rsidR="004C79C7" w:rsidRPr="003E39CE" w:rsidRDefault="004C79C7" w:rsidP="004C79C7">
      <w:pPr>
        <w:spacing w:line="260" w:lineRule="exact"/>
        <w:jc w:val="both"/>
        <w:rPr>
          <w:color w:val="000000"/>
          <w:szCs w:val="20"/>
        </w:rPr>
      </w:pPr>
      <w:r>
        <w:rPr>
          <w:color w:val="000000"/>
        </w:rPr>
        <w:t xml:space="preserve">Zakłady wzajemne są rodzajem gry losowej, w której grający mają takie same szanse na wygranie nagrody, jeśli prawidłowo wskażą wynik wydarzenia w przyszłości, a wynik ten nie będzie wcześniej znany żadnemu z uczestników i musi mieć taką formę, na którą nie może mieć wpływu podmiot oferujący zakłady wzajemne ani uczestnicy.</w:t>
      </w:r>
    </w:p>
    <w:p w14:paraId="7BC556C9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5C9F60F8" w14:textId="77777777" w:rsidR="004C79C7" w:rsidRPr="003E39CE" w:rsidRDefault="004C79C7" w:rsidP="004C79C7">
      <w:pPr>
        <w:spacing w:line="260" w:lineRule="exact"/>
        <w:jc w:val="both"/>
        <w:rPr>
          <w:color w:val="000000"/>
          <w:szCs w:val="20"/>
        </w:rPr>
      </w:pPr>
      <w:r>
        <w:rPr>
          <w:color w:val="000000"/>
        </w:rPr>
        <w:t xml:space="preserve">Zakłady wzajemne nie mogą odnosić się do wyniku klasycznych gier losowych, krajowych wydarzeń politycznych, wydarzeń sprzecznych z bezwzględnie obowiązującymi przepisami prawa, konstytucyjnej ochrony ludzkiej osobowości, godności, prywatności i praw osobistych ani ochrony danych osobowych.</w:t>
      </w:r>
    </w:p>
    <w:p w14:paraId="6957DEFC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6B126207" w14:textId="77777777" w:rsidR="004C79C7" w:rsidRPr="003E39CE" w:rsidRDefault="004C79C7" w:rsidP="004C79C7">
      <w:pPr>
        <w:spacing w:line="260" w:lineRule="exact"/>
        <w:jc w:val="both"/>
        <w:rPr>
          <w:color w:val="000000"/>
          <w:szCs w:val="20"/>
        </w:rPr>
      </w:pPr>
      <w:r>
        <w:rPr>
          <w:color w:val="000000"/>
        </w:rPr>
        <w:t xml:space="preserve">W zakładach wzajemnych mogą brać udział wyłącznie osoby powyżej 18 roku życia.</w:t>
      </w:r>
    </w:p>
    <w:p w14:paraId="3B47A9BE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4747B9F6" w14:textId="77777777" w:rsidR="004C79C7" w:rsidRDefault="004C79C7" w:rsidP="004C79C7">
      <w:pPr>
        <w:spacing w:line="260" w:lineRule="exact"/>
        <w:jc w:val="both"/>
        <w:rPr>
          <w:color w:val="000000"/>
          <w:szCs w:val="20"/>
        </w:rPr>
      </w:pPr>
      <w:r>
        <w:rPr>
          <w:color w:val="000000"/>
        </w:rPr>
        <w:t xml:space="preserve">Osoba przyjmująca płatność z tytułu zakładów wzajemnych (dalej: sprzedawca) musi zażądać od każdej osoby, wobec której istnieje domniemanie, że nie ukończyła 18 roku życia, aby udowodniła swój wiek za pomocą dokumentu tożsamości.</w:t>
      </w:r>
      <w:r>
        <w:rPr>
          <w:color w:val="000000"/>
        </w:rPr>
        <w:t xml:space="preserve"> </w:t>
      </w:r>
      <w:r>
        <w:rPr>
          <w:color w:val="000000"/>
        </w:rPr>
        <w:t xml:space="preserve">Jeżeli dana osoba tego odmawia, sprzedawca nie może przyjąć płatności od tej osoby.</w:t>
      </w:r>
      <w:r>
        <w:rPr>
          <w:color w:val="000000"/>
        </w:rPr>
        <w:t xml:space="preserve"> </w:t>
      </w:r>
    </w:p>
    <w:p w14:paraId="25B5E756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4E78A755" w14:textId="77777777" w:rsidR="004C79C7" w:rsidRDefault="004C79C7" w:rsidP="004C79C7">
      <w:pPr>
        <w:spacing w:line="260" w:lineRule="exact"/>
        <w:jc w:val="both"/>
        <w:rPr>
          <w:color w:val="000000"/>
          <w:szCs w:val="20"/>
        </w:rPr>
      </w:pPr>
      <w:r>
        <w:rPr>
          <w:color w:val="000000"/>
        </w:rPr>
        <w:t xml:space="preserve">Organizator, który organizuje zakłady wzajemne online, musi na pierwszej stronie usługi online podać następujące informacje:</w:t>
      </w:r>
      <w:r>
        <w:rPr>
          <w:color w:val="000000"/>
        </w:rPr>
        <w:t xml:space="preserve"> </w:t>
      </w:r>
      <w:r>
        <w:rPr>
          <w:color w:val="000000"/>
        </w:rPr>
        <w:t xml:space="preserve">Gry losowe lub zakłady wzajemne są dozwolone wyłącznie dla osób powyżej 18 roku życia.</w:t>
      </w:r>
      <w:r>
        <w:rPr>
          <w:color w:val="000000"/>
        </w:rPr>
        <w:t xml:space="preserve"> </w:t>
      </w:r>
      <w:r>
        <w:rPr>
          <w:color w:val="000000"/>
        </w:rPr>
        <w:t xml:space="preserve">Gry losowe mogą być uzależniające”.</w:t>
      </w:r>
      <w:r>
        <w:rPr>
          <w:color w:val="000000"/>
        </w:rPr>
        <w:t xml:space="preserve"> </w:t>
      </w:r>
      <w:r>
        <w:rPr>
          <w:color w:val="000000"/>
        </w:rPr>
        <w:t xml:space="preserve">Oświadczenie to musi obejmować co najmniej 5% wielkości pierwszej strony usługi online.</w:t>
      </w:r>
    </w:p>
    <w:p w14:paraId="05B84099" w14:textId="77777777" w:rsidR="004C79C7" w:rsidRPr="003E39CE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0892E376" w14:textId="77777777" w:rsidR="004C79C7" w:rsidRPr="003E39CE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062CC9FD" w14:textId="77777777" w:rsidR="004C79C7" w:rsidRPr="003E39CE" w:rsidRDefault="004C79C7" w:rsidP="004C79C7">
      <w:pPr>
        <w:spacing w:line="260" w:lineRule="exact"/>
        <w:jc w:val="center"/>
        <w:rPr>
          <w:color w:val="000000"/>
          <w:szCs w:val="20"/>
        </w:rPr>
      </w:pPr>
      <w:r>
        <w:rPr>
          <w:color w:val="000000"/>
        </w:rPr>
        <w:t xml:space="preserve">Artykuł 52.b</w:t>
      </w:r>
    </w:p>
    <w:p w14:paraId="7F4D9126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5DC65F61" w14:textId="77777777" w:rsidR="004C79C7" w:rsidRPr="003E39CE" w:rsidRDefault="004C79C7" w:rsidP="004C79C7">
      <w:pPr>
        <w:spacing w:line="260" w:lineRule="exact"/>
        <w:jc w:val="both"/>
        <w:rPr>
          <w:color w:val="000000"/>
          <w:szCs w:val="20"/>
        </w:rPr>
      </w:pPr>
      <w:r>
        <w:rPr>
          <w:color w:val="000000"/>
        </w:rPr>
        <w:t xml:space="preserve">Zakłady wzajemne jako własną działalność gospodarczą może organizować wyłącznie przedsiębiorstwo, które uzyska koncesję na organizację zakładów wzajemnych w Republice Słowenii (dalej: organizator).</w:t>
      </w:r>
    </w:p>
    <w:p w14:paraId="1E4600C1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7E97B0E5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1C6A37A8" w14:textId="77777777" w:rsidR="004C79C7" w:rsidRPr="003E39CE" w:rsidRDefault="004C79C7" w:rsidP="004C79C7">
      <w:pPr>
        <w:spacing w:line="260" w:lineRule="exact"/>
        <w:jc w:val="both"/>
        <w:rPr>
          <w:color w:val="000000"/>
          <w:szCs w:val="20"/>
        </w:rPr>
      </w:pPr>
      <w:r>
        <w:rPr>
          <w:color w:val="000000"/>
        </w:rPr>
        <w:t xml:space="preserve">Minimalna kwota kapitału zakładowego organizatora wynosi 1.000.000,00 EUR.</w:t>
      </w:r>
    </w:p>
    <w:p w14:paraId="31E5E240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5B259042" w14:textId="77777777" w:rsidR="004C79C7" w:rsidRPr="003E39CE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4B1C1A1A" w14:textId="77777777" w:rsidR="004C79C7" w:rsidRPr="003E39CE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10224764" w14:textId="77777777" w:rsidR="004C79C7" w:rsidRPr="003E39CE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0E19890B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04AB29F1" w14:textId="77777777" w:rsidR="004C79C7" w:rsidRPr="003E39CE" w:rsidRDefault="004C79C7" w:rsidP="004C79C7">
      <w:pPr>
        <w:spacing w:line="260" w:lineRule="exact"/>
        <w:jc w:val="center"/>
        <w:rPr>
          <w:color w:val="000000"/>
          <w:szCs w:val="20"/>
        </w:rPr>
      </w:pPr>
      <w:r>
        <w:rPr>
          <w:color w:val="000000"/>
        </w:rPr>
        <w:t xml:space="preserve">Artykuł 52.c</w:t>
      </w:r>
    </w:p>
    <w:p w14:paraId="3574A5D8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570B1826" w14:textId="77777777" w:rsidR="004C79C7" w:rsidRDefault="004C79C7" w:rsidP="004C79C7">
      <w:pPr>
        <w:spacing w:line="260" w:lineRule="exact"/>
        <w:jc w:val="both"/>
        <w:rPr>
          <w:color w:val="000000"/>
          <w:szCs w:val="20"/>
        </w:rPr>
      </w:pPr>
      <w:r>
        <w:rPr>
          <w:color w:val="000000"/>
        </w:rPr>
        <w:t xml:space="preserve">Organizator zakładów musi uiścić bezzwrotną opłatę wpisową w wysokości 500.000 EUR za koncesję przyznaną przed rozpoczęciem działalności bukmacherskiej.</w:t>
      </w:r>
    </w:p>
    <w:p w14:paraId="5FAA4AFC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230B95F1" w14:textId="77777777" w:rsidR="004C79C7" w:rsidRPr="003E39CE" w:rsidRDefault="004C79C7" w:rsidP="004C79C7">
      <w:pPr>
        <w:spacing w:line="260" w:lineRule="exact"/>
        <w:jc w:val="both"/>
        <w:rPr>
          <w:color w:val="000000"/>
          <w:szCs w:val="20"/>
        </w:rPr>
      </w:pPr>
      <w:r>
        <w:rPr>
          <w:color w:val="000000"/>
        </w:rPr>
        <w:t xml:space="preserve">80% bezzwrotnej opłaty wpisowej płatnej przez organizatora jest wnoszona na rachunek bankowy Fundacji w celu finansowania organizacji sportowych, a pozostałe 20% opłaty na rachunek bankowy Fundacji w celu finansowania organizacji humanitarnych i organizacji niepełnosprawnych.</w:t>
      </w:r>
    </w:p>
    <w:p w14:paraId="0E8403B7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798F29B1" w14:textId="77777777" w:rsidR="004C79C7" w:rsidRDefault="004C79C7" w:rsidP="004C79C7">
      <w:pPr>
        <w:spacing w:line="260" w:lineRule="exact"/>
        <w:jc w:val="both"/>
        <w:rPr>
          <w:color w:val="000000"/>
          <w:szCs w:val="20"/>
        </w:rPr>
      </w:pPr>
      <w:r>
        <w:rPr>
          <w:color w:val="000000"/>
        </w:rPr>
        <w:t xml:space="preserve">Wypełnianie obowiązków organizatora jest nadzorowane przez organ nadzorczy.</w:t>
      </w:r>
    </w:p>
    <w:p w14:paraId="043F5D92" w14:textId="77777777" w:rsidR="004C79C7" w:rsidRPr="003E39CE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0DF55DAB" w14:textId="77777777" w:rsidR="004C79C7" w:rsidRPr="003E39CE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1917225E" w14:textId="77777777" w:rsidR="004C79C7" w:rsidRPr="003E39CE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278E414C" w14:textId="77777777" w:rsidR="004C79C7" w:rsidRPr="003E39CE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176BCF96" w14:textId="77777777" w:rsidR="004C79C7" w:rsidRPr="003E39CE" w:rsidRDefault="004C79C7" w:rsidP="004C79C7">
      <w:pPr>
        <w:spacing w:line="260" w:lineRule="exact"/>
        <w:jc w:val="center"/>
        <w:rPr>
          <w:color w:val="000000"/>
          <w:szCs w:val="20"/>
        </w:rPr>
      </w:pPr>
      <w:r>
        <w:rPr>
          <w:color w:val="000000"/>
        </w:rPr>
        <w:t xml:space="preserve">Artykuł 52.d</w:t>
      </w:r>
    </w:p>
    <w:p w14:paraId="1E077234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1EB4FE06" w14:textId="77777777" w:rsidR="004C79C7" w:rsidRPr="003E39CE" w:rsidRDefault="004C79C7" w:rsidP="004C79C7">
      <w:pPr>
        <w:spacing w:line="260" w:lineRule="exact"/>
        <w:jc w:val="both"/>
        <w:rPr>
          <w:color w:val="000000"/>
          <w:szCs w:val="20"/>
        </w:rPr>
      </w:pPr>
      <w:r>
        <w:rPr>
          <w:color w:val="000000"/>
        </w:rPr>
        <w:t xml:space="preserve">80% środków uzyskanych z opłat koncesyjnych na organizację zakładów przeznacza się na finansowanie działalności organizacji sportowych, a 20% na finansowanie działalności organizacji niepełnosprawnych i organizacji humanitarnych.</w:t>
      </w:r>
    </w:p>
    <w:p w14:paraId="2081EA73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330BEF15" w14:textId="77777777" w:rsidR="004C79C7" w:rsidRPr="003E39CE" w:rsidRDefault="004C79C7" w:rsidP="004C79C7">
      <w:pPr>
        <w:spacing w:line="260" w:lineRule="exact"/>
        <w:jc w:val="both"/>
        <w:rPr>
          <w:color w:val="000000"/>
          <w:szCs w:val="20"/>
        </w:rPr>
      </w:pPr>
      <w:r>
        <w:rPr>
          <w:color w:val="000000"/>
        </w:rPr>
        <w:t xml:space="preserve">Opłata koncesyjna z tytułu działalności bukmacherskiej przeznaczona na finansowanie organizacji sportowych jest wpłacana na rachunek Fundacji na rzecz Finansowania Organizacji Sportowych w Republice Słowenii.</w:t>
      </w:r>
    </w:p>
    <w:p w14:paraId="6BDFC009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01D6F715" w14:textId="77777777" w:rsidR="004C79C7" w:rsidRDefault="004C79C7" w:rsidP="004C79C7">
      <w:pPr>
        <w:spacing w:line="260" w:lineRule="exact"/>
        <w:jc w:val="both"/>
        <w:rPr>
          <w:color w:val="000000"/>
          <w:szCs w:val="20"/>
        </w:rPr>
      </w:pPr>
      <w:r>
        <w:rPr>
          <w:color w:val="000000"/>
        </w:rPr>
        <w:t xml:space="preserve">Opłata koncesyjna z tytułu działalności bukmacherskiej przeznaczona na finansowanie organizacji niepełnosprawnych i organizacji humanitarnych jest wpłacana na rachunek Fundacji na rzecz Finansowania Organizacji Humanitarnych i Organizacji Niepełnosprawnych w Republice Słowenii.</w:t>
      </w:r>
    </w:p>
    <w:p w14:paraId="2ED1A3FE" w14:textId="77777777" w:rsidR="004C79C7" w:rsidRPr="003E39CE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3B8D0611" w14:textId="77777777" w:rsidR="004C79C7" w:rsidRPr="003E39CE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2C2E8CE6" w14:textId="77777777" w:rsidR="004C79C7" w:rsidRPr="003E39CE" w:rsidRDefault="004C79C7" w:rsidP="004C79C7">
      <w:pPr>
        <w:spacing w:line="260" w:lineRule="exact"/>
        <w:jc w:val="center"/>
        <w:rPr>
          <w:color w:val="000000"/>
          <w:szCs w:val="20"/>
        </w:rPr>
      </w:pPr>
      <w:r>
        <w:rPr>
          <w:color w:val="000000"/>
        </w:rPr>
        <w:t xml:space="preserve">Artykuł 52.e</w:t>
      </w:r>
    </w:p>
    <w:p w14:paraId="10E01B6A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00886C68" w14:textId="77777777" w:rsidR="004C79C7" w:rsidRDefault="004C79C7" w:rsidP="004C79C7">
      <w:pPr>
        <w:spacing w:line="260" w:lineRule="exact"/>
        <w:jc w:val="both"/>
        <w:rPr>
          <w:color w:val="000000"/>
          <w:szCs w:val="20"/>
        </w:rPr>
      </w:pPr>
      <w:r>
        <w:rPr>
          <w:color w:val="000000"/>
        </w:rPr>
        <w:t xml:space="preserve">Niezależnie od przepisów art. 52 lit. b) niniejszej ustawy, w celu rozwoju hodowli koni i sportu jeździeckiego, stowarzyszenie lub organizacja non-profit, mająca siedzibę w Republice Słowenii i organizująca zawody jeździeckie, może organizować zakłady wzajemne w związku z takimi zawodami, zgodnie z przepisami prawa regulującego hodowlę zwierząt, do 25 razy w roku.</w:t>
      </w:r>
    </w:p>
    <w:p w14:paraId="0CB37C6B" w14:textId="77777777" w:rsidR="004C79C7" w:rsidRPr="003E39CE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5CB8D5E9" w14:textId="77777777" w:rsidR="004C79C7" w:rsidRDefault="004C79C7" w:rsidP="004C79C7">
      <w:pPr>
        <w:spacing w:line="260" w:lineRule="exact"/>
        <w:jc w:val="both"/>
        <w:rPr>
          <w:color w:val="000000"/>
          <w:szCs w:val="20"/>
        </w:rPr>
      </w:pPr>
      <w:r>
        <w:rPr>
          <w:color w:val="000000"/>
        </w:rPr>
        <w:t xml:space="preserve">Organizator pragnący zorganizować zakłady wzajemne zgodnie z poprzedzającym ustępem musi uzyskać pozwolenie ministra właściwego do spraw finansów za uprzednią zgodą ministra właściwego do spraw rolnictwa.</w:t>
      </w:r>
    </w:p>
    <w:p w14:paraId="39F32419" w14:textId="77777777" w:rsidR="004C79C7" w:rsidRPr="003E39CE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3FBCAA26" w14:textId="77777777" w:rsidR="004C79C7" w:rsidRDefault="004C79C7" w:rsidP="004C79C7">
      <w:pPr>
        <w:spacing w:line="260" w:lineRule="exact"/>
        <w:jc w:val="both"/>
        <w:rPr>
          <w:color w:val="000000"/>
          <w:szCs w:val="20"/>
        </w:rPr>
      </w:pPr>
      <w:r>
        <w:rPr>
          <w:color w:val="000000"/>
        </w:rPr>
        <w:t xml:space="preserve">Wniosek o wydanie pozwolenia, o którym mowa w poprzednim ustępie, musi zostać złożony przez organizatora nie później niż miesiąc przed datą zawodów, podczas których zamierza zorganizować zakłady wzajemne i musi zawierać co najmniej:</w:t>
      </w:r>
    </w:p>
    <w:p w14:paraId="43D85031" w14:textId="77777777" w:rsidR="004C79C7" w:rsidRPr="003E39CE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5C894037" w14:textId="77777777" w:rsidR="004C79C7" w:rsidRPr="00B61486" w:rsidRDefault="004C79C7" w:rsidP="004C79C7">
      <w:pPr>
        <w:pStyle w:val="Odstavekseznama"/>
        <w:numPr>
          <w:ilvl w:val="0"/>
          <w:numId w:val="2"/>
        </w:numPr>
        <w:spacing w:line="260" w:lineRule="exact"/>
        <w:jc w:val="both"/>
        <w:rPr>
          <w:color w:val="000000"/>
          <w:szCs w:val="20"/>
        </w:rPr>
      </w:pPr>
      <w:r>
        <w:rPr>
          <w:color w:val="000000"/>
        </w:rPr>
        <w:t xml:space="preserve">imię i nazwisko oraz siedziba organizatora;</w:t>
      </w:r>
    </w:p>
    <w:p w14:paraId="187164B6" w14:textId="77777777" w:rsidR="004C79C7" w:rsidRPr="003E39CE" w:rsidRDefault="004C79C7" w:rsidP="004C79C7">
      <w:pPr>
        <w:pStyle w:val="Odstavekseznama"/>
        <w:numPr>
          <w:ilvl w:val="0"/>
          <w:numId w:val="2"/>
        </w:numPr>
        <w:spacing w:line="260" w:lineRule="exact"/>
        <w:jc w:val="both"/>
        <w:rPr>
          <w:color w:val="000000"/>
          <w:szCs w:val="20"/>
        </w:rPr>
      </w:pPr>
      <w:r>
        <w:rPr>
          <w:color w:val="000000"/>
        </w:rPr>
        <w:t xml:space="preserve">czas i miejsce zawodów, podczas których mają być zorganizowane zakłady wzajemne;</w:t>
      </w:r>
    </w:p>
    <w:p w14:paraId="51314EB7" w14:textId="77777777" w:rsidR="004C79C7" w:rsidRPr="003E39CE" w:rsidRDefault="004C79C7" w:rsidP="004C79C7">
      <w:pPr>
        <w:pStyle w:val="Odstavekseznama"/>
        <w:numPr>
          <w:ilvl w:val="0"/>
          <w:numId w:val="2"/>
        </w:numPr>
        <w:spacing w:line="260" w:lineRule="exact"/>
        <w:jc w:val="both"/>
        <w:rPr>
          <w:color w:val="000000"/>
          <w:szCs w:val="20"/>
        </w:rPr>
      </w:pPr>
      <w:r>
        <w:rPr>
          <w:color w:val="000000"/>
        </w:rPr>
        <w:t xml:space="preserve">zasady obstawiania zakładów wzajemnych;</w:t>
      </w:r>
    </w:p>
    <w:p w14:paraId="6BA5AFF3" w14:textId="77777777" w:rsidR="004C79C7" w:rsidRPr="003E39CE" w:rsidRDefault="004C79C7" w:rsidP="004C79C7">
      <w:pPr>
        <w:pStyle w:val="Odstavekseznama"/>
        <w:numPr>
          <w:ilvl w:val="0"/>
          <w:numId w:val="2"/>
        </w:numPr>
        <w:spacing w:line="260" w:lineRule="exact"/>
        <w:jc w:val="both"/>
        <w:rPr>
          <w:color w:val="000000"/>
          <w:szCs w:val="20"/>
        </w:rPr>
      </w:pPr>
      <w:r>
        <w:rPr>
          <w:color w:val="000000"/>
        </w:rPr>
        <w:t xml:space="preserve">przewidywany wynik finansowy z organizowania zakładów wzajemnych.</w:t>
      </w:r>
    </w:p>
    <w:p w14:paraId="4E5BE594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3683329C" w14:textId="77777777" w:rsidR="004C79C7" w:rsidRDefault="004C79C7" w:rsidP="004C79C7">
      <w:pPr>
        <w:spacing w:line="260" w:lineRule="exact"/>
        <w:jc w:val="both"/>
        <w:rPr>
          <w:color w:val="000000"/>
          <w:szCs w:val="20"/>
        </w:rPr>
      </w:pPr>
      <w:r>
        <w:rPr>
          <w:color w:val="000000"/>
        </w:rPr>
        <w:t xml:space="preserve">Organizator, który na podstawie pozwolenia, o którym mowa w akapicie drugim niniejszego artykułu, organizuje zakłady wzajemnych w trakcie kilku serii zawodów w danym roku kalendarzowym, może uzyskać jedno pozwolenie, o które ubiega się organizator na co najmniej miesiąc przed pierwszymi zawodami, przedstawiając odrębną ewidencję przyjętych zakładów wzajemnych i odnotowanych wygranych w odniesieniu do każdych zawodów.”</w:t>
      </w:r>
    </w:p>
    <w:p w14:paraId="62396E53" w14:textId="77777777" w:rsidR="004C79C7" w:rsidRPr="003E39CE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504A5652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4EDE5E68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43D894B9" w14:textId="77777777" w:rsidR="004C79C7" w:rsidRPr="00B61486" w:rsidRDefault="004C79C7" w:rsidP="004C79C7">
      <w:pPr>
        <w:pStyle w:val="Odstavekseznama"/>
        <w:numPr>
          <w:ilvl w:val="0"/>
          <w:numId w:val="1"/>
        </w:numPr>
        <w:spacing w:line="260" w:lineRule="exact"/>
        <w:jc w:val="center"/>
        <w:rPr>
          <w:color w:val="000000"/>
          <w:szCs w:val="20"/>
        </w:rPr>
      </w:pPr>
      <w:r>
        <w:rPr>
          <w:color w:val="000000"/>
        </w:rPr>
        <w:t xml:space="preserve">Artykuł</w:t>
      </w:r>
    </w:p>
    <w:p w14:paraId="66CE47FC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12AC7307" w14:textId="77777777" w:rsidR="004C79C7" w:rsidRDefault="004C79C7" w:rsidP="004C79C7">
      <w:pPr>
        <w:spacing w:line="260" w:lineRule="exact"/>
        <w:jc w:val="both"/>
        <w:rPr>
          <w:color w:val="000000"/>
          <w:szCs w:val="20"/>
        </w:rPr>
      </w:pPr>
      <w:r>
        <w:rPr>
          <w:color w:val="000000"/>
        </w:rPr>
        <w:t xml:space="preserve">W art. 53 w akapicie drugim skreśla się pkt 7.</w:t>
      </w:r>
    </w:p>
    <w:p w14:paraId="7CC59D45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442F5614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67061A66" w14:textId="77777777" w:rsidR="004C79C7" w:rsidRDefault="004C79C7" w:rsidP="004C79C7">
      <w:pPr>
        <w:numPr>
          <w:ilvl w:val="0"/>
          <w:numId w:val="1"/>
        </w:numPr>
        <w:spacing w:after="160" w:line="260" w:lineRule="exact"/>
        <w:contextualSpacing/>
        <w:jc w:val="center"/>
      </w:pPr>
      <w:r>
        <w:rPr>
          <w:color w:val="000000"/>
        </w:rPr>
        <w:t xml:space="preserve">Artykuł</w:t>
      </w:r>
    </w:p>
    <w:p w14:paraId="702FB2CA" w14:textId="77777777" w:rsidR="004C79C7" w:rsidRDefault="004C79C7" w:rsidP="004C79C7">
      <w:pPr>
        <w:spacing w:line="260" w:lineRule="exact"/>
        <w:jc w:val="center"/>
        <w:rPr>
          <w:color w:val="000000"/>
          <w:szCs w:val="20"/>
          <w:lang w:val="sl-SI" w:eastAsia="sl-SI"/>
        </w:rPr>
      </w:pPr>
    </w:p>
    <w:p w14:paraId="70EAD342" w14:textId="77777777" w:rsidR="004C79C7" w:rsidRPr="00344821" w:rsidRDefault="004C79C7" w:rsidP="004C79C7">
      <w:pPr>
        <w:spacing w:line="260" w:lineRule="exact"/>
        <w:jc w:val="both"/>
      </w:pPr>
      <w:r>
        <w:rPr>
          <w:color w:val="000000"/>
        </w:rPr>
        <w:t xml:space="preserve">Art. 55 otrzymuje następujące brzmienie:</w:t>
      </w:r>
      <w:r>
        <w:rPr>
          <w:color w:val="000000"/>
        </w:rPr>
        <w:t xml:space="preserve"> </w:t>
      </w:r>
    </w:p>
    <w:p w14:paraId="7BB7901F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4C20ECEC" w14:textId="77777777" w:rsidR="004C79C7" w:rsidRPr="00344821" w:rsidRDefault="004C79C7" w:rsidP="004C79C7">
      <w:pPr>
        <w:spacing w:line="260" w:lineRule="exact"/>
        <w:jc w:val="both"/>
      </w:pPr>
      <w:r>
        <w:rPr>
          <w:color w:val="000000"/>
        </w:rPr>
        <w:t xml:space="preserve">„Specjalne gry losowe jako działalność gospodarczą może organizować wyłącznie przedsiębiorstwo utworzone na podstawie prawa regulującego przedsiębiorstwa, które uzyskały koncesję </w:t>
      </w:r>
      <w:r>
        <w:rPr>
          <w:color w:val="000000"/>
        </w:rPr>
        <w:t xml:space="preserve">(dalej: koncesjonariusz).”.</w:t>
      </w:r>
    </w:p>
    <w:p w14:paraId="262DF6B9" w14:textId="77777777" w:rsidR="004C79C7" w:rsidRDefault="004C79C7" w:rsidP="004C79C7">
      <w:pPr>
        <w:spacing w:line="260" w:lineRule="exact"/>
        <w:jc w:val="center"/>
        <w:rPr>
          <w:color w:val="000000"/>
          <w:szCs w:val="20"/>
          <w:lang w:val="sl-SI" w:eastAsia="sl-SI"/>
        </w:rPr>
      </w:pPr>
    </w:p>
    <w:p w14:paraId="4C5EDAA4" w14:textId="77777777" w:rsidR="004C79C7" w:rsidRDefault="004C79C7" w:rsidP="004C79C7">
      <w:pPr>
        <w:spacing w:line="260" w:lineRule="exact"/>
        <w:jc w:val="center"/>
        <w:rPr>
          <w:color w:val="000000"/>
          <w:szCs w:val="20"/>
          <w:lang w:val="sl-SI" w:eastAsia="sl-SI"/>
        </w:rPr>
      </w:pPr>
    </w:p>
    <w:p w14:paraId="6DF6B1B2" w14:textId="77777777" w:rsidR="004C79C7" w:rsidRDefault="004C79C7" w:rsidP="004C79C7">
      <w:pPr>
        <w:numPr>
          <w:ilvl w:val="0"/>
          <w:numId w:val="1"/>
        </w:numPr>
        <w:spacing w:after="160" w:line="260" w:lineRule="exact"/>
        <w:contextualSpacing/>
        <w:jc w:val="center"/>
      </w:pPr>
      <w:r>
        <w:rPr>
          <w:color w:val="000000"/>
        </w:rPr>
        <w:t xml:space="preserve">Artykuł</w:t>
      </w:r>
    </w:p>
    <w:p w14:paraId="2C0BFDFD" w14:textId="77777777" w:rsidR="004C79C7" w:rsidRDefault="004C79C7" w:rsidP="004C79C7">
      <w:pPr>
        <w:spacing w:line="260" w:lineRule="exact"/>
        <w:jc w:val="center"/>
        <w:rPr>
          <w:color w:val="000000"/>
          <w:szCs w:val="20"/>
          <w:lang w:val="sl-SI" w:eastAsia="sl-SI"/>
        </w:rPr>
      </w:pPr>
    </w:p>
    <w:p w14:paraId="631BA45B" w14:textId="77777777" w:rsidR="004C79C7" w:rsidRDefault="004C79C7" w:rsidP="004C79C7">
      <w:pPr>
        <w:spacing w:line="260" w:lineRule="exact"/>
        <w:jc w:val="both"/>
        <w:rPr>
          <w:color w:val="000000"/>
          <w:szCs w:val="20"/>
        </w:rPr>
      </w:pPr>
      <w:r>
        <w:rPr>
          <w:color w:val="000000"/>
        </w:rPr>
        <w:t xml:space="preserve">W art. 55 lit. a) wprowadza się następujące zmiany:</w:t>
      </w:r>
    </w:p>
    <w:p w14:paraId="367D21E8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798A9BDE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558A84A4" w14:textId="77777777" w:rsidR="004C79C7" w:rsidRPr="00344821" w:rsidRDefault="004C79C7" w:rsidP="004C79C7">
      <w:pPr>
        <w:spacing w:line="260" w:lineRule="exact"/>
        <w:jc w:val="both"/>
      </w:pPr>
      <w:r>
        <w:rPr>
          <w:color w:val="000000"/>
        </w:rPr>
        <w:t xml:space="preserve">„Udział Republiki Słowenii lub osób prawnych, których właścicielem w 100% lub założycielem jest Republika Słowenii, we własności koncesjonariusza nie może być mniejszy niż 25% +1 akcji w przypadku spółki akcyjnej i nie może być mniejszy niż 51% udziałów w kapitale innego rodzaju spółki, utworzonej na podstawie prawa regulującego spółki.”;</w:t>
      </w:r>
    </w:p>
    <w:p w14:paraId="3E0F5E1F" w14:textId="77777777" w:rsidR="004C79C7" w:rsidRPr="00344821" w:rsidRDefault="004C79C7" w:rsidP="004C79C7">
      <w:pPr>
        <w:spacing w:line="260" w:lineRule="exact"/>
        <w:jc w:val="both"/>
        <w:rPr>
          <w:szCs w:val="20"/>
          <w:lang w:val="sl-SI"/>
        </w:rPr>
      </w:pPr>
    </w:p>
    <w:p w14:paraId="6E9A9D3B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3C8ED5B2" w14:textId="77777777" w:rsidR="004C79C7" w:rsidRDefault="004C79C7" w:rsidP="004C79C7">
      <w:pPr>
        <w:numPr>
          <w:ilvl w:val="0"/>
          <w:numId w:val="1"/>
        </w:numPr>
        <w:spacing w:after="160" w:line="260" w:lineRule="exact"/>
        <w:contextualSpacing/>
        <w:jc w:val="center"/>
      </w:pPr>
      <w:r>
        <w:rPr>
          <w:color w:val="000000"/>
        </w:rPr>
        <w:t xml:space="preserve">Artykuł</w:t>
      </w:r>
    </w:p>
    <w:p w14:paraId="4EA8F1D8" w14:textId="77777777" w:rsidR="004C79C7" w:rsidRDefault="004C79C7" w:rsidP="004C79C7">
      <w:pPr>
        <w:spacing w:line="260" w:lineRule="exact"/>
        <w:jc w:val="center"/>
        <w:rPr>
          <w:color w:val="000000"/>
          <w:szCs w:val="20"/>
          <w:lang w:val="sl-SI" w:eastAsia="sl-SI"/>
        </w:rPr>
      </w:pPr>
    </w:p>
    <w:p w14:paraId="4252BFB0" w14:textId="77777777" w:rsidR="004C79C7" w:rsidRPr="00344821" w:rsidRDefault="004C79C7" w:rsidP="004C79C7">
      <w:pPr>
        <w:spacing w:line="260" w:lineRule="exact"/>
        <w:jc w:val="both"/>
      </w:pPr>
      <w:r>
        <w:rPr>
          <w:color w:val="000000"/>
        </w:rPr>
        <w:t xml:space="preserve">Art. 56 otrzymuje następujące brzmienie:</w:t>
      </w:r>
    </w:p>
    <w:p w14:paraId="7B90A311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76CCC519" w14:textId="77777777" w:rsidR="004C79C7" w:rsidRPr="00344821" w:rsidRDefault="004C79C7" w:rsidP="004C79C7">
      <w:pPr>
        <w:spacing w:line="260" w:lineRule="exact"/>
        <w:jc w:val="both"/>
      </w:pPr>
      <w:r>
        <w:rPr>
          <w:color w:val="000000"/>
        </w:rPr>
        <w:t xml:space="preserve">„Osoba prawna lub fizyczna może nabyć lub zbyć udział ww własności koncesjonariusza wyłącznie za uprzednią zgodą ministra właściwego do spraw finansów, w przeciwnym razie transakcja jest nieważna.</w:t>
      </w:r>
    </w:p>
    <w:p w14:paraId="28B24F16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5B90D456" w14:textId="77777777" w:rsidR="004C79C7" w:rsidRPr="00344821" w:rsidRDefault="004C79C7" w:rsidP="004C79C7">
      <w:pPr>
        <w:spacing w:line="260" w:lineRule="exact"/>
        <w:jc w:val="both"/>
      </w:pPr>
      <w:r>
        <w:rPr>
          <w:color w:val="000000"/>
        </w:rPr>
        <w:t xml:space="preserve">Osoba pragnąca nabyć udział we własności organizatora (dalej: potencjalny nabywca) musi złożyć wniosek o wydanie zgody, o której mowa w ustępie poprzedzającym wraz z:</w:t>
      </w:r>
    </w:p>
    <w:p w14:paraId="5E2EBCCF" w14:textId="77777777" w:rsidR="004C79C7" w:rsidRDefault="004C79C7" w:rsidP="004C79C7">
      <w:pPr>
        <w:tabs>
          <w:tab w:val="left" w:pos="585"/>
        </w:tabs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420E3BAC" w14:textId="61A10D81" w:rsidR="004C79C7" w:rsidRPr="00344821" w:rsidRDefault="004C79C7" w:rsidP="004C79C7">
      <w:pPr>
        <w:tabs>
          <w:tab w:val="left" w:pos="570"/>
        </w:tabs>
        <w:spacing w:line="260" w:lineRule="exact"/>
        <w:jc w:val="both"/>
      </w:pPr>
      <w:r>
        <w:rPr>
          <w:color w:val="000000"/>
        </w:rPr>
        <w:t xml:space="preserve">1.</w:t>
      </w:r>
      <w:r>
        <w:rPr>
          <w:color w:val="000000"/>
        </w:rPr>
        <w:t xml:space="preserve">   </w:t>
      </w:r>
      <w:r>
        <w:rPr>
          <w:color w:val="000000"/>
        </w:rPr>
        <w:t xml:space="preserve">informacjami na temat potencjalnego nabywcy oraz jego aktem założycielskim w przypadku podmiotu prawnego;</w:t>
      </w:r>
    </w:p>
    <w:p w14:paraId="37141398" w14:textId="7A8FF9D5" w:rsidR="004C79C7" w:rsidRPr="00344821" w:rsidRDefault="004C79C7" w:rsidP="004C79C7">
      <w:pPr>
        <w:tabs>
          <w:tab w:val="left" w:pos="570"/>
        </w:tabs>
        <w:spacing w:line="260" w:lineRule="exact"/>
        <w:jc w:val="both"/>
      </w:pPr>
      <w:r>
        <w:rPr>
          <w:color w:val="000000"/>
        </w:rPr>
        <w:t xml:space="preserve">2.</w:t>
      </w:r>
      <w:r>
        <w:rPr>
          <w:color w:val="000000"/>
        </w:rPr>
        <w:t xml:space="preserve">   </w:t>
      </w:r>
      <w:r>
        <w:rPr>
          <w:color w:val="000000"/>
        </w:rPr>
        <w:t xml:space="preserve">wyciągiem z rejestru sądowego lub innego stosownego rejestru publicznego w przypadku zagranicznego podmiotu prawnego;</w:t>
      </w:r>
    </w:p>
    <w:p w14:paraId="18408D75" w14:textId="77777777" w:rsidR="004C79C7" w:rsidRPr="00344821" w:rsidRDefault="004C79C7" w:rsidP="004C79C7">
      <w:pPr>
        <w:tabs>
          <w:tab w:val="left" w:pos="570"/>
        </w:tabs>
        <w:spacing w:line="260" w:lineRule="exact"/>
        <w:jc w:val="both"/>
      </w:pPr>
      <w:r>
        <w:rPr>
          <w:color w:val="000000"/>
        </w:rPr>
        <w:t xml:space="preserve">3.    </w:t>
      </w:r>
      <w:r>
        <w:rPr>
          <w:color w:val="000000"/>
        </w:rPr>
        <w:tab/>
      </w:r>
      <w:r>
        <w:rPr>
          <w:color w:val="000000"/>
        </w:rPr>
        <w:t xml:space="preserve">wyciągiem z księgi akcjonariuszy wskazującym akcjonariuszy, jeżeli osoba prawna jest spółką akcyjną;</w:t>
      </w:r>
    </w:p>
    <w:p w14:paraId="7F7F6FCE" w14:textId="77777777" w:rsidR="004C79C7" w:rsidRPr="00344821" w:rsidRDefault="004C79C7" w:rsidP="004C79C7">
      <w:pPr>
        <w:tabs>
          <w:tab w:val="left" w:pos="570"/>
        </w:tabs>
        <w:spacing w:line="260" w:lineRule="exact"/>
        <w:jc w:val="both"/>
      </w:pPr>
      <w:r>
        <w:rPr>
          <w:color w:val="000000"/>
        </w:rPr>
        <w:t xml:space="preserve">4.      </w:t>
      </w:r>
      <w:r>
        <w:rPr>
          <w:color w:val="000000"/>
        </w:rPr>
        <w:tab/>
      </w:r>
      <w:r>
        <w:rPr>
          <w:color w:val="000000"/>
        </w:rPr>
        <w:t xml:space="preserve">skontrolowanym sprawozdaniem rocznym za ostatnie dwa lata obrachunkowe;</w:t>
      </w:r>
    </w:p>
    <w:p w14:paraId="56F13BC7" w14:textId="77777777" w:rsidR="004C79C7" w:rsidRPr="00344821" w:rsidRDefault="004C79C7" w:rsidP="004C79C7">
      <w:pPr>
        <w:spacing w:line="260" w:lineRule="exact"/>
        <w:ind w:left="567" w:hanging="567"/>
        <w:jc w:val="both"/>
      </w:pPr>
      <w:r>
        <w:rPr>
          <w:color w:val="000000"/>
        </w:rPr>
        <w:t xml:space="preserve">5.    </w:t>
      </w:r>
      <w:r>
        <w:rPr>
          <w:color w:val="000000"/>
        </w:rPr>
        <w:tab/>
      </w:r>
      <w:r>
        <w:rPr>
          <w:color w:val="000000"/>
        </w:rPr>
        <w:t xml:space="preserve">dowodem wypełnienia zobowiązań wynikających z obowiązkowych składek, podatków i innych opłat, zobowiązań koncesyjnych oraz innych zobowiązań w zakresie finansów publicznych w kraju, w którym podmiot prawny ma siedzibę, jeżeli jest podmiotem zagranicznym;</w:t>
      </w:r>
    </w:p>
    <w:p w14:paraId="7F8F2A90" w14:textId="77777777" w:rsidR="004C79C7" w:rsidRPr="00344821" w:rsidRDefault="004C79C7" w:rsidP="004C79C7">
      <w:pPr>
        <w:spacing w:line="260" w:lineRule="exact"/>
        <w:ind w:left="567" w:hanging="567"/>
        <w:jc w:val="both"/>
      </w:pPr>
      <w:r>
        <w:rPr>
          <w:color w:val="000000"/>
        </w:rPr>
        <w:t xml:space="preserve">6.     </w:t>
      </w:r>
      <w:r>
        <w:rPr>
          <w:color w:val="000000"/>
        </w:rPr>
        <w:tab/>
      </w:r>
      <w:r>
        <w:rPr>
          <w:color w:val="000000"/>
        </w:rPr>
        <w:t xml:space="preserve">wykazem osób bezpośrednio lub pośrednio związanych z potencjalnym nabywcą wraz z opisem charakteru takiego związku;</w:t>
      </w:r>
    </w:p>
    <w:p w14:paraId="3260DE62" w14:textId="77777777" w:rsidR="004C79C7" w:rsidRPr="00344821" w:rsidRDefault="004C79C7" w:rsidP="004C79C7">
      <w:pPr>
        <w:spacing w:line="260" w:lineRule="exact"/>
        <w:jc w:val="both"/>
      </w:pPr>
      <w:r>
        <w:rPr>
          <w:color w:val="000000"/>
        </w:rPr>
        <w:t xml:space="preserve">7.</w:t>
      </w:r>
      <w:r>
        <w:rPr>
          <w:color w:val="000000"/>
        </w:rPr>
        <w:t xml:space="preserve">       </w:t>
      </w:r>
      <w:r>
        <w:rPr>
          <w:color w:val="000000"/>
        </w:rPr>
        <w:t xml:space="preserve">szczegółowy opis planowanej transakcji prawnej;</w:t>
      </w:r>
    </w:p>
    <w:p w14:paraId="49402A0C" w14:textId="77777777" w:rsidR="004C79C7" w:rsidRPr="00344821" w:rsidRDefault="004C79C7" w:rsidP="004C79C7">
      <w:pPr>
        <w:spacing w:line="260" w:lineRule="exact"/>
        <w:jc w:val="both"/>
      </w:pPr>
      <w:r>
        <w:rPr>
          <w:color w:val="000000"/>
        </w:rPr>
        <w:t xml:space="preserve">8.</w:t>
      </w:r>
      <w:r>
        <w:rPr>
          <w:color w:val="000000"/>
        </w:rPr>
        <w:t xml:space="preserve">       </w:t>
      </w:r>
      <w:r>
        <w:rPr>
          <w:color w:val="000000"/>
        </w:rPr>
        <w:t xml:space="preserve">szczegółowym wyjaśnieniem przyczyn nabycia lub zbycia udziałów;</w:t>
      </w:r>
    </w:p>
    <w:p w14:paraId="3D99DD09" w14:textId="77777777" w:rsidR="004C79C7" w:rsidRPr="00D54A16" w:rsidRDefault="004C79C7" w:rsidP="004C79C7">
      <w:pPr>
        <w:spacing w:line="260" w:lineRule="exact"/>
        <w:jc w:val="both"/>
      </w:pPr>
      <w:r>
        <w:rPr>
          <w:color w:val="000000"/>
        </w:rPr>
        <w:t xml:space="preserve">9.</w:t>
      </w:r>
      <w:r>
        <w:rPr>
          <w:color w:val="000000"/>
        </w:rPr>
        <w:t xml:space="preserve">       </w:t>
      </w:r>
      <w:r>
        <w:rPr>
          <w:color w:val="000000"/>
        </w:rPr>
        <w:t xml:space="preserve">szczegółowe wyjaśnienie intencji i celów rozwojowych potencjalnego nabywcy;</w:t>
      </w:r>
    </w:p>
    <w:p w14:paraId="52C17178" w14:textId="77777777" w:rsidR="004C79C7" w:rsidRPr="00344821" w:rsidRDefault="004C79C7" w:rsidP="004C79C7">
      <w:pPr>
        <w:spacing w:line="260" w:lineRule="exact"/>
        <w:jc w:val="both"/>
      </w:pPr>
      <w:r>
        <w:rPr>
          <w:color w:val="000000"/>
        </w:rPr>
        <w:t xml:space="preserve">10.</w:t>
      </w:r>
      <w:r>
        <w:rPr>
          <w:color w:val="000000"/>
        </w:rPr>
        <w:t xml:space="preserve">     </w:t>
      </w:r>
      <w:r>
        <w:rPr>
          <w:color w:val="000000"/>
        </w:rPr>
        <w:t xml:space="preserve">oceną wpływu nabycia udziałów we własności na przyszłe działania organizatora;</w:t>
      </w:r>
    </w:p>
    <w:p w14:paraId="622AE235" w14:textId="77777777" w:rsidR="004C79C7" w:rsidRPr="007E79AA" w:rsidRDefault="004C79C7" w:rsidP="004C79C7">
      <w:pPr>
        <w:spacing w:line="260" w:lineRule="exact"/>
        <w:ind w:left="567" w:hanging="567"/>
        <w:jc w:val="both"/>
      </w:pPr>
      <w:r>
        <w:rPr>
          <w:color w:val="000000"/>
        </w:rPr>
        <w:t xml:space="preserve">11.</w:t>
      </w:r>
      <w:r>
        <w:rPr>
          <w:color w:val="000000"/>
        </w:rPr>
        <w:t xml:space="preserve">    </w:t>
      </w:r>
      <w:r>
        <w:rPr>
          <w:color w:val="000000"/>
        </w:rPr>
        <w:t xml:space="preserve">innymi dokumentami, które potencjalny nabywca uważa za istotne dla oceny jego przydatności i wpływu nabycia udziałów we własności na przyszłą działalność organizatora i rozwój działalności w zakresie gier losowych.</w:t>
      </w:r>
    </w:p>
    <w:p w14:paraId="2234EE63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63AA0B5A" w14:textId="77777777" w:rsidR="004C79C7" w:rsidRPr="00344821" w:rsidRDefault="004C79C7" w:rsidP="004C79C7">
      <w:pPr>
        <w:spacing w:line="260" w:lineRule="exact"/>
        <w:jc w:val="both"/>
      </w:pPr>
      <w:r>
        <w:rPr>
          <w:color w:val="000000"/>
        </w:rPr>
        <w:t xml:space="preserve">Minister właściwy do spraw finansów podejmuje decyzję w sprawie wniosku o wydanie zgody, o której mowa w akapicie pierwszym niniejszego artykułu, w terminie dwóch miesięcy od złożenia kompletnego wniosku oraz pełnej dokumentacji, o której mowa w poprzednim akapicie, w przeciwnym razie uznaje się, że zgoda została udzielona.</w:t>
      </w:r>
    </w:p>
    <w:p w14:paraId="0D826F2A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5FEF4E36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7A98510B" w14:textId="77777777" w:rsidR="004C79C7" w:rsidRDefault="004C79C7" w:rsidP="004C79C7">
      <w:pPr>
        <w:numPr>
          <w:ilvl w:val="0"/>
          <w:numId w:val="1"/>
        </w:numPr>
        <w:spacing w:after="160" w:line="260" w:lineRule="exact"/>
        <w:contextualSpacing/>
        <w:jc w:val="center"/>
      </w:pPr>
      <w:r>
        <w:rPr>
          <w:color w:val="000000"/>
        </w:rPr>
        <w:t xml:space="preserve">Artykuł</w:t>
      </w:r>
    </w:p>
    <w:p w14:paraId="406A149F" w14:textId="77777777" w:rsidR="004C79C7" w:rsidRDefault="004C79C7" w:rsidP="004C79C7">
      <w:pPr>
        <w:spacing w:line="260" w:lineRule="exact"/>
        <w:jc w:val="center"/>
        <w:rPr>
          <w:color w:val="000000"/>
          <w:szCs w:val="20"/>
          <w:lang w:val="sl-SI" w:eastAsia="sl-SI"/>
        </w:rPr>
      </w:pPr>
    </w:p>
    <w:p w14:paraId="40A5FAE4" w14:textId="77777777" w:rsidR="004C79C7" w:rsidRPr="000A6261" w:rsidRDefault="004C79C7" w:rsidP="004C79C7">
      <w:pPr>
        <w:spacing w:line="260" w:lineRule="exact"/>
        <w:jc w:val="both"/>
      </w:pPr>
      <w:r>
        <w:rPr>
          <w:color w:val="000000"/>
        </w:rPr>
        <w:t xml:space="preserve">W art. 58 akapit pierwszy i drugi kwotę „416.000 EUR” zastępuje się kwotą „500.000 EUR”.</w:t>
      </w:r>
    </w:p>
    <w:p w14:paraId="3A96E295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497F3B3B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31101CC1" w14:textId="77777777" w:rsidR="004C79C7" w:rsidRDefault="004C79C7" w:rsidP="004C79C7">
      <w:pPr>
        <w:numPr>
          <w:ilvl w:val="0"/>
          <w:numId w:val="1"/>
        </w:numPr>
        <w:spacing w:after="160" w:line="260" w:lineRule="exact"/>
        <w:contextualSpacing/>
        <w:jc w:val="center"/>
      </w:pPr>
      <w:r>
        <w:rPr>
          <w:color w:val="000000"/>
        </w:rPr>
        <w:t xml:space="preserve">Artykuł</w:t>
      </w:r>
      <w:r>
        <w:rPr>
          <w:color w:val="000000"/>
        </w:rPr>
        <w:t xml:space="preserve"> </w:t>
      </w:r>
    </w:p>
    <w:p w14:paraId="522BD52E" w14:textId="77777777" w:rsidR="004C79C7" w:rsidRDefault="004C79C7" w:rsidP="004C79C7">
      <w:pPr>
        <w:spacing w:line="260" w:lineRule="exact"/>
        <w:jc w:val="center"/>
        <w:rPr>
          <w:color w:val="000000"/>
          <w:szCs w:val="20"/>
          <w:lang w:val="sl-SI" w:eastAsia="sl-SI"/>
        </w:rPr>
      </w:pPr>
    </w:p>
    <w:p w14:paraId="769E20F8" w14:textId="77777777" w:rsidR="004C79C7" w:rsidRDefault="004C79C7" w:rsidP="004C79C7">
      <w:pPr>
        <w:spacing w:line="260" w:lineRule="exact"/>
        <w:jc w:val="both"/>
      </w:pPr>
      <w:r>
        <w:rPr>
          <w:color w:val="000000"/>
        </w:rPr>
        <w:t xml:space="preserve">Skreśla się art. 61 i 62.</w:t>
      </w:r>
    </w:p>
    <w:p w14:paraId="2B63D370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2FB34794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0BCDD515" w14:textId="77777777" w:rsidR="004C79C7" w:rsidRDefault="004C79C7" w:rsidP="004C79C7">
      <w:pPr>
        <w:numPr>
          <w:ilvl w:val="0"/>
          <w:numId w:val="1"/>
        </w:numPr>
        <w:spacing w:after="160" w:line="260" w:lineRule="exact"/>
        <w:contextualSpacing/>
        <w:jc w:val="center"/>
      </w:pPr>
      <w:r>
        <w:rPr>
          <w:color w:val="000000"/>
        </w:rPr>
        <w:t xml:space="preserve">Artykuł</w:t>
      </w:r>
    </w:p>
    <w:p w14:paraId="727431B6" w14:textId="77777777" w:rsidR="004C79C7" w:rsidRDefault="004C79C7" w:rsidP="004C79C7">
      <w:pPr>
        <w:spacing w:line="260" w:lineRule="exact"/>
        <w:jc w:val="center"/>
        <w:rPr>
          <w:color w:val="000000"/>
          <w:szCs w:val="20"/>
          <w:lang w:val="sl-SI" w:eastAsia="sl-SI"/>
        </w:rPr>
      </w:pPr>
    </w:p>
    <w:p w14:paraId="6EA3FDF6" w14:textId="77777777" w:rsidR="004C79C7" w:rsidRPr="00344821" w:rsidRDefault="004C79C7" w:rsidP="004C79C7">
      <w:pPr>
        <w:spacing w:line="260" w:lineRule="exact"/>
        <w:jc w:val="both"/>
      </w:pPr>
      <w:r>
        <w:rPr>
          <w:color w:val="000000"/>
        </w:rPr>
        <w:t xml:space="preserve">Art. 63 otrzymuje następujące brzmienie:</w:t>
      </w:r>
    </w:p>
    <w:p w14:paraId="2452C778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16BB1F3D" w14:textId="77777777" w:rsidR="004C79C7" w:rsidRPr="00344821" w:rsidRDefault="004C79C7" w:rsidP="004C79C7">
      <w:pPr>
        <w:spacing w:line="288" w:lineRule="auto"/>
        <w:jc w:val="both"/>
      </w:pPr>
      <w:r>
        <w:t xml:space="preserve">„Koncesja na organizację specjalnych gier losowych udzielana jest w drodze decyzji władz na podstawie przetargu publicznego ogłoszonego przez ministerstwo właściwe do spraw finansów, a umowa koncesyjna z organizatorem zawierana jest przez ministra właściwego do spraw finansów w terminie 45 dni od udzielenia koncesji.</w:t>
      </w:r>
    </w:p>
    <w:p w14:paraId="23AA1611" w14:textId="77777777" w:rsidR="004C79C7" w:rsidRDefault="004C79C7" w:rsidP="004C79C7">
      <w:pPr>
        <w:spacing w:line="288" w:lineRule="auto"/>
        <w:jc w:val="both"/>
        <w:rPr>
          <w:szCs w:val="20"/>
          <w:lang w:val="sl-SI"/>
        </w:rPr>
      </w:pPr>
    </w:p>
    <w:p w14:paraId="4F1D58C6" w14:textId="77777777" w:rsidR="004C79C7" w:rsidRPr="00344821" w:rsidRDefault="004C79C7" w:rsidP="004C79C7">
      <w:pPr>
        <w:spacing w:after="160" w:line="256" w:lineRule="auto"/>
        <w:jc w:val="both"/>
      </w:pPr>
      <w:r>
        <w:t xml:space="preserve">Władze podejmują decyzję o udzieleniu koncesji nie później niż cztery miesiące po zakończeniu procedury przetargowej, o której mowa w poprzednim ustępie.</w:t>
      </w:r>
    </w:p>
    <w:p w14:paraId="33E39286" w14:textId="77777777" w:rsidR="004C79C7" w:rsidRDefault="004C79C7" w:rsidP="004C79C7">
      <w:pPr>
        <w:spacing w:line="260" w:lineRule="exact"/>
        <w:jc w:val="both"/>
        <w:rPr>
          <w:szCs w:val="20"/>
          <w:rFonts w:eastAsia="Calibri"/>
        </w:rPr>
      </w:pPr>
      <w:r>
        <w:t xml:space="preserve">Koncesja na organizację specjalnych gier losowych udzielana jest na okres co najmniej trzech do pięciu lat i może zostać przedłużona po upływie tego okresu.</w:t>
      </w:r>
      <w:r>
        <w:t xml:space="preserve"> </w:t>
      </w:r>
    </w:p>
    <w:p w14:paraId="3C78FC6A" w14:textId="77777777" w:rsidR="004C79C7" w:rsidRPr="008B7803" w:rsidRDefault="004C79C7" w:rsidP="004C79C7">
      <w:pPr>
        <w:spacing w:line="260" w:lineRule="exact"/>
        <w:jc w:val="both"/>
        <w:rPr>
          <w:rFonts w:eastAsia="Calibri"/>
          <w:szCs w:val="20"/>
          <w:lang w:val="sl-SI"/>
        </w:rPr>
      </w:pPr>
    </w:p>
    <w:p w14:paraId="08785144" w14:textId="77777777" w:rsidR="004C79C7" w:rsidRDefault="004C79C7" w:rsidP="004C79C7">
      <w:pPr>
        <w:spacing w:line="260" w:lineRule="exact"/>
        <w:jc w:val="both"/>
        <w:rPr>
          <w:szCs w:val="20"/>
          <w:rFonts w:eastAsia="Calibri"/>
        </w:rPr>
      </w:pPr>
      <w:r>
        <w:t xml:space="preserve">Koncesja może zostać przedłużona kilkakrotnie, każdorazowo na okres co najmniej trzech, a maksymalnie pięciu lat.</w:t>
      </w:r>
    </w:p>
    <w:p w14:paraId="0AD2609E" w14:textId="77777777" w:rsidR="004C79C7" w:rsidRDefault="004C79C7" w:rsidP="004C79C7">
      <w:pPr>
        <w:spacing w:line="260" w:lineRule="exact"/>
        <w:jc w:val="both"/>
        <w:rPr>
          <w:rFonts w:eastAsia="Calibri"/>
          <w:szCs w:val="20"/>
          <w:lang w:val="sl-SI"/>
        </w:rPr>
      </w:pPr>
    </w:p>
    <w:p w14:paraId="43D148BE" w14:textId="77777777" w:rsidR="004C79C7" w:rsidRPr="008B7803" w:rsidRDefault="004C79C7" w:rsidP="004C79C7">
      <w:pPr>
        <w:spacing w:line="260" w:lineRule="exact"/>
        <w:jc w:val="both"/>
      </w:pPr>
      <w:r>
        <w:t xml:space="preserve">Ministerstwo właściwe do spraw finansów ogłasza przetarg publiczny na udzielenie koncesji, o której mowa w niniejszym artykule co najmniej trzy razy w roku.”;</w:t>
      </w:r>
    </w:p>
    <w:p w14:paraId="4EE07578" w14:textId="77777777" w:rsidR="004C79C7" w:rsidRDefault="004C79C7" w:rsidP="004C79C7">
      <w:pPr>
        <w:spacing w:line="260" w:lineRule="exact"/>
        <w:jc w:val="both"/>
        <w:rPr>
          <w:rFonts w:eastAsia="Calibri"/>
          <w:szCs w:val="20"/>
          <w:lang w:val="sl-SI"/>
        </w:rPr>
      </w:pPr>
    </w:p>
    <w:p w14:paraId="14074B45" w14:textId="77777777" w:rsidR="004C79C7" w:rsidRDefault="004C79C7" w:rsidP="004C79C7">
      <w:pPr>
        <w:spacing w:line="260" w:lineRule="exact"/>
        <w:jc w:val="both"/>
        <w:rPr>
          <w:rFonts w:eastAsia="Calibri"/>
          <w:color w:val="000000"/>
          <w:szCs w:val="20"/>
          <w:lang w:val="sl-SI" w:eastAsia="sl-SI"/>
        </w:rPr>
      </w:pPr>
    </w:p>
    <w:p w14:paraId="76DF6543" w14:textId="77777777" w:rsidR="004C79C7" w:rsidRDefault="004C79C7" w:rsidP="004C79C7">
      <w:pPr>
        <w:numPr>
          <w:ilvl w:val="0"/>
          <w:numId w:val="1"/>
        </w:numPr>
        <w:spacing w:after="160" w:line="260" w:lineRule="exact"/>
        <w:contextualSpacing/>
        <w:jc w:val="center"/>
      </w:pPr>
      <w:r>
        <w:rPr>
          <w:color w:val="000000"/>
        </w:rPr>
        <w:t xml:space="preserve">Artykuł</w:t>
      </w:r>
      <w:r>
        <w:rPr>
          <w:color w:val="000000"/>
        </w:rPr>
        <w:t xml:space="preserve"> </w:t>
      </w:r>
    </w:p>
    <w:p w14:paraId="733CBB51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7BEAF58D" w14:textId="77777777" w:rsidR="004C79C7" w:rsidRPr="00344821" w:rsidRDefault="004C79C7" w:rsidP="004C79C7">
      <w:pPr>
        <w:spacing w:line="260" w:lineRule="exact"/>
        <w:jc w:val="both"/>
      </w:pPr>
      <w:r>
        <w:rPr>
          <w:color w:val="000000"/>
        </w:rPr>
        <w:t xml:space="preserve">W art. 64 słowa „ograniczony publiczny” zastępuje się słowami „komercyjny”.</w:t>
      </w:r>
    </w:p>
    <w:p w14:paraId="7FDB2E69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16906CA8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3DA51BE8" w14:textId="77777777" w:rsidR="004C79C7" w:rsidRDefault="004C79C7" w:rsidP="004C79C7">
      <w:pPr>
        <w:numPr>
          <w:ilvl w:val="0"/>
          <w:numId w:val="1"/>
        </w:numPr>
        <w:spacing w:after="160" w:line="260" w:lineRule="exact"/>
        <w:contextualSpacing/>
        <w:jc w:val="center"/>
      </w:pPr>
      <w:r>
        <w:rPr>
          <w:color w:val="000000"/>
        </w:rPr>
        <w:t xml:space="preserve">Artykuł</w:t>
      </w:r>
    </w:p>
    <w:p w14:paraId="022C79F0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7F4E99D1" w14:textId="77777777" w:rsidR="004C79C7" w:rsidRPr="00814718" w:rsidRDefault="004C79C7" w:rsidP="004C79C7">
      <w:pPr>
        <w:spacing w:line="260" w:lineRule="exact"/>
        <w:jc w:val="both"/>
      </w:pPr>
      <w:r>
        <w:rPr>
          <w:color w:val="000000"/>
        </w:rPr>
        <w:t xml:space="preserve">Skreśla się art. 65.</w:t>
      </w:r>
    </w:p>
    <w:p w14:paraId="056FD886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2ED23EF5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52C61245" w14:textId="77777777" w:rsidR="004C79C7" w:rsidRDefault="004C79C7" w:rsidP="004C79C7">
      <w:pPr>
        <w:numPr>
          <w:ilvl w:val="0"/>
          <w:numId w:val="1"/>
        </w:numPr>
        <w:spacing w:after="160" w:line="260" w:lineRule="exact"/>
        <w:contextualSpacing/>
        <w:jc w:val="center"/>
      </w:pPr>
      <w:r>
        <w:rPr>
          <w:color w:val="000000"/>
        </w:rPr>
        <w:t xml:space="preserve">Artykuł</w:t>
      </w:r>
    </w:p>
    <w:p w14:paraId="13B7D608" w14:textId="77777777" w:rsidR="004C79C7" w:rsidRDefault="004C79C7" w:rsidP="004C79C7">
      <w:pPr>
        <w:spacing w:line="260" w:lineRule="exact"/>
        <w:jc w:val="center"/>
        <w:rPr>
          <w:color w:val="000000"/>
          <w:szCs w:val="20"/>
          <w:lang w:val="sl-SI" w:eastAsia="sl-SI"/>
        </w:rPr>
      </w:pPr>
    </w:p>
    <w:p w14:paraId="0E9AB924" w14:textId="77777777" w:rsidR="004C79C7" w:rsidRPr="00344821" w:rsidRDefault="004C79C7" w:rsidP="004C79C7">
      <w:pPr>
        <w:spacing w:line="260" w:lineRule="exact"/>
        <w:jc w:val="both"/>
      </w:pPr>
      <w:r>
        <w:rPr>
          <w:color w:val="000000"/>
        </w:rPr>
        <w:t xml:space="preserve">W art. 67 akapit pierwszy tiret pierwsze słowa „ograniczony publiczny” zastępuje się słowami „komercyjny”.</w:t>
      </w:r>
    </w:p>
    <w:p w14:paraId="60BD5173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59EA8B88" w14:textId="77777777" w:rsidR="004C79C7" w:rsidRPr="00344821" w:rsidRDefault="004C79C7" w:rsidP="004C79C7">
      <w:pPr>
        <w:spacing w:line="260" w:lineRule="exact"/>
        <w:jc w:val="both"/>
      </w:pPr>
      <w:r>
        <w:rPr>
          <w:color w:val="000000"/>
        </w:rPr>
        <w:t xml:space="preserve">W tiret trzecim słowa „ograniczony publiczny” zastępuje się słowami „lub komercyjne porozumienie społeczne”.</w:t>
      </w:r>
    </w:p>
    <w:p w14:paraId="15F7C9AF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5E00F9EA" w14:textId="77777777" w:rsidR="004C79C7" w:rsidRPr="00344821" w:rsidRDefault="004C79C7" w:rsidP="004C79C7">
      <w:pPr>
        <w:spacing w:line="260" w:lineRule="exact"/>
        <w:jc w:val="both"/>
      </w:pPr>
      <w:r>
        <w:rPr>
          <w:color w:val="000000"/>
        </w:rPr>
        <w:t xml:space="preserve">W tiret czwartym i piątym słowo „ograniczony publiczny” zastępuje się słowem „komercyjny”.</w:t>
      </w:r>
    </w:p>
    <w:p w14:paraId="668080D0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6ADAA099" w14:textId="77777777" w:rsidR="004C79C7" w:rsidRPr="00344821" w:rsidRDefault="004C79C7" w:rsidP="004C79C7">
      <w:pPr>
        <w:spacing w:line="260" w:lineRule="exact"/>
        <w:jc w:val="both"/>
        <w:rPr>
          <w:lang w:val="it-IT"/>
        </w:rPr>
      </w:pPr>
    </w:p>
    <w:p w14:paraId="60500325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78957C21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19C7E817" w14:textId="77777777" w:rsidR="004C79C7" w:rsidRDefault="004C79C7" w:rsidP="004C79C7">
      <w:pPr>
        <w:numPr>
          <w:ilvl w:val="0"/>
          <w:numId w:val="1"/>
        </w:numPr>
        <w:spacing w:after="160" w:line="260" w:lineRule="exact"/>
        <w:contextualSpacing/>
        <w:jc w:val="center"/>
      </w:pPr>
      <w:r>
        <w:rPr>
          <w:color w:val="000000"/>
        </w:rPr>
        <w:t xml:space="preserve">Artykuł</w:t>
      </w:r>
    </w:p>
    <w:p w14:paraId="251F75A0" w14:textId="77777777" w:rsidR="004C79C7" w:rsidRDefault="004C79C7" w:rsidP="004C79C7">
      <w:pPr>
        <w:spacing w:line="260" w:lineRule="exact"/>
        <w:jc w:val="center"/>
        <w:rPr>
          <w:color w:val="000000"/>
          <w:szCs w:val="20"/>
          <w:lang w:val="sl-SI" w:eastAsia="sl-SI"/>
        </w:rPr>
      </w:pPr>
    </w:p>
    <w:p w14:paraId="42F0489A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171E0EBE" w14:textId="77777777" w:rsidR="004C79C7" w:rsidRPr="00344821" w:rsidRDefault="004C79C7" w:rsidP="004C79C7">
      <w:pPr>
        <w:spacing w:line="260" w:lineRule="exact"/>
        <w:jc w:val="both"/>
      </w:pPr>
      <w:r>
        <w:rPr>
          <w:color w:val="000000"/>
        </w:rPr>
        <w:t xml:space="preserve">W art. 72 akapit pierwszy tiret szóste otrzymuje następujące brzmienie:</w:t>
      </w:r>
    </w:p>
    <w:p w14:paraId="77285DD8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62A52AF7" w14:textId="77777777" w:rsidR="004C79C7" w:rsidRPr="00344821" w:rsidRDefault="004C79C7" w:rsidP="004C79C7">
      <w:pPr>
        <w:spacing w:line="260" w:lineRule="exact"/>
        <w:jc w:val="both"/>
      </w:pPr>
      <w:r>
        <w:rPr>
          <w:color w:val="000000"/>
        </w:rPr>
        <w:t xml:space="preserve">„- koncesjonariusz naruszy niniejszą ustawę oraz przyjęte na jej podstawie zasady specjalnych gier losowych, co zostało ustalone na mocy decyzji lub innego aktu organu nadzorczego, i koncesjonariusz nie usunie tych naruszeń w terminie określonym w decyzji lub innym akcie organu nadzorczego nakazującym usunięcie naruszenia lub stwierdzone zostanie naruszenie o takim charakterze, że nie jego usunięcie za pomocą innych środków kontroli nie będzie możliwe,”.</w:t>
      </w:r>
    </w:p>
    <w:p w14:paraId="756E3D8A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213BC1FC" w14:textId="77777777" w:rsidR="004C79C7" w:rsidRPr="00344821" w:rsidRDefault="004C79C7" w:rsidP="004C79C7">
      <w:pPr>
        <w:spacing w:line="260" w:lineRule="exact"/>
        <w:jc w:val="both"/>
      </w:pPr>
      <w:r>
        <w:rPr>
          <w:color w:val="000000"/>
        </w:rPr>
        <w:t xml:space="preserve">Tiret ósme otrzymuje następujące brzmienie:</w:t>
      </w:r>
    </w:p>
    <w:p w14:paraId="0C8D94ED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2E96FA4D" w14:textId="77777777" w:rsidR="004C79C7" w:rsidRPr="002D006E" w:rsidRDefault="004C79C7" w:rsidP="004C79C7">
      <w:pPr>
        <w:spacing w:line="260" w:lineRule="exact"/>
        <w:jc w:val="both"/>
        <w:rPr>
          <w:color w:val="000000"/>
          <w:szCs w:val="20"/>
        </w:rPr>
      </w:pPr>
      <w:r>
        <w:t xml:space="preserve">„-</w:t>
      </w:r>
      <w:bookmarkStart w:id="2" w:name="_Hlk62803003"/>
      <w:r>
        <w:t xml:space="preserve"> koncesjonariusz nie wypełni zobowiązań wynikających z obowiązkowych składek, podatków i innych opłat we wskazanym terminie</w:t>
      </w:r>
      <w:bookmarkEnd w:id="2"/>
      <w:r>
        <w:t xml:space="preserve">,”.</w:t>
      </w:r>
    </w:p>
    <w:p w14:paraId="710D2A45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211B9227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39C2AA06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7C01896F" w14:textId="77777777" w:rsidR="004C79C7" w:rsidRDefault="004C79C7" w:rsidP="004C79C7">
      <w:pPr>
        <w:numPr>
          <w:ilvl w:val="0"/>
          <w:numId w:val="1"/>
        </w:numPr>
        <w:spacing w:after="160" w:line="260" w:lineRule="exact"/>
        <w:contextualSpacing/>
        <w:jc w:val="center"/>
      </w:pPr>
      <w:r>
        <w:rPr>
          <w:color w:val="000000"/>
        </w:rPr>
        <w:t xml:space="preserve">Artykuł</w:t>
      </w:r>
    </w:p>
    <w:p w14:paraId="62025EAF" w14:textId="77777777" w:rsidR="004C79C7" w:rsidRDefault="004C79C7" w:rsidP="004C79C7">
      <w:pPr>
        <w:spacing w:line="260" w:lineRule="exact"/>
        <w:jc w:val="center"/>
        <w:rPr>
          <w:color w:val="000000"/>
          <w:szCs w:val="20"/>
          <w:lang w:val="sl-SI" w:eastAsia="sl-SI"/>
        </w:rPr>
      </w:pPr>
    </w:p>
    <w:p w14:paraId="0FF7470E" w14:textId="77777777" w:rsidR="004C79C7" w:rsidRDefault="004C79C7" w:rsidP="004C79C7">
      <w:pPr>
        <w:spacing w:line="260" w:lineRule="exact"/>
        <w:jc w:val="both"/>
        <w:rPr>
          <w:color w:val="000000"/>
          <w:szCs w:val="20"/>
        </w:rPr>
      </w:pPr>
      <w:r>
        <w:rPr>
          <w:color w:val="000000"/>
        </w:rPr>
        <w:t xml:space="preserve">W art. 75 skreśla się akapit trzeci.</w:t>
      </w:r>
    </w:p>
    <w:p w14:paraId="1C6D91A5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32792B34" w14:textId="77777777" w:rsidR="004C79C7" w:rsidRPr="00344821" w:rsidRDefault="004C79C7" w:rsidP="004C79C7">
      <w:pPr>
        <w:spacing w:line="260" w:lineRule="exact"/>
        <w:jc w:val="both"/>
      </w:pPr>
      <w:r>
        <w:rPr>
          <w:color w:val="000000"/>
        </w:rPr>
        <w:t xml:space="preserve">Obecny akapit czwarty staje się akapitem trzecim.</w:t>
      </w:r>
      <w:r>
        <w:rPr>
          <w:color w:val="000000"/>
        </w:rPr>
        <w:t xml:space="preserve"> </w:t>
      </w:r>
    </w:p>
    <w:p w14:paraId="6D7B2F92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29DCF165" w14:textId="77777777" w:rsidR="004C79C7" w:rsidRPr="00344821" w:rsidRDefault="004C79C7" w:rsidP="004C79C7">
      <w:pPr>
        <w:spacing w:line="260" w:lineRule="exact"/>
        <w:jc w:val="both"/>
      </w:pPr>
      <w:r>
        <w:rPr>
          <w:color w:val="000000"/>
        </w:rPr>
        <w:t xml:space="preserve">W obecnym akapicie piątym, który staje się akapitem czwartym, słowa „w stawce 5% od podstawy” zastępuje się słowami „przy stawce ustalonej przez władze w decyzji o przyznaniu koncesji i nie mogą być niższe niż 5% podstawy”.</w:t>
      </w:r>
    </w:p>
    <w:p w14:paraId="1C258530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66733F94" w14:textId="77777777" w:rsidR="004C79C7" w:rsidRPr="00344821" w:rsidRDefault="004C79C7" w:rsidP="004C79C7">
      <w:pPr>
        <w:spacing w:line="260" w:lineRule="exact"/>
        <w:jc w:val="both"/>
      </w:pPr>
      <w:r>
        <w:rPr>
          <w:color w:val="000000"/>
        </w:rPr>
        <w:t xml:space="preserve">W obecnym akapicie szóstym, który staje się akapitem piątym, wprowadza się następujące zmiany:</w:t>
      </w:r>
    </w:p>
    <w:p w14:paraId="6E5AF2FE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3228FF7F" w14:textId="77777777" w:rsidR="004C79C7" w:rsidRDefault="004C79C7" w:rsidP="004C79C7">
      <w:pPr>
        <w:spacing w:line="260" w:lineRule="exact"/>
        <w:jc w:val="both"/>
        <w:rPr>
          <w:color w:val="000000"/>
          <w:szCs w:val="20"/>
        </w:rPr>
      </w:pPr>
      <w:r>
        <w:rPr>
          <w:color w:val="000000"/>
        </w:rPr>
        <w:t xml:space="preserve">„Koncesjonariusz musi obliczyć i wnieść opłatę koncesyjną w ciągu pięciu dni roboczych od końca miesiąca za poprzedni miesiąc.”;</w:t>
      </w:r>
    </w:p>
    <w:p w14:paraId="69DE837A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1866BF15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38BD415A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4F80E06D" w14:textId="77777777" w:rsidR="004C79C7" w:rsidRPr="00344821" w:rsidRDefault="004C79C7" w:rsidP="004C79C7">
      <w:pPr>
        <w:numPr>
          <w:ilvl w:val="0"/>
          <w:numId w:val="1"/>
        </w:numPr>
        <w:spacing w:line="260" w:lineRule="exact"/>
        <w:jc w:val="center"/>
      </w:pPr>
      <w:r>
        <w:t xml:space="preserve">Artykuł</w:t>
      </w:r>
      <w:r>
        <w:t xml:space="preserve"> </w:t>
      </w:r>
    </w:p>
    <w:p w14:paraId="1E2EA16C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7DF36E51" w14:textId="77777777" w:rsidR="004C79C7" w:rsidRDefault="004C79C7" w:rsidP="004C79C7">
      <w:pPr>
        <w:spacing w:line="260" w:lineRule="exact"/>
        <w:jc w:val="both"/>
        <w:rPr>
          <w:color w:val="000000"/>
          <w:szCs w:val="20"/>
        </w:rPr>
      </w:pPr>
      <w:r>
        <w:rPr>
          <w:color w:val="000000"/>
        </w:rPr>
        <w:t xml:space="preserve">W art. 85 lit. a) wprowadza się następujące zmiany:</w:t>
      </w:r>
    </w:p>
    <w:p w14:paraId="7EDC2191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5E00B986" w14:textId="77777777" w:rsidR="004C79C7" w:rsidRDefault="004C79C7" w:rsidP="004C79C7">
      <w:pPr>
        <w:spacing w:line="260" w:lineRule="exact"/>
        <w:jc w:val="both"/>
        <w:rPr>
          <w:color w:val="000000"/>
          <w:szCs w:val="20"/>
        </w:rPr>
      </w:pPr>
      <w:r>
        <w:rPr>
          <w:color w:val="000000"/>
        </w:rPr>
        <w:t xml:space="preserve">„Menedżerowie kasyn, krupierzy, menedżerowie gier, osoby sprawujące kontrolę wewnętrzną w kasynie oraz szefowie i asystenci kasjerów muszą spełniać następujące warunki, aby móc świadczyć pacę przy grach losowych:</w:t>
      </w:r>
    </w:p>
    <w:p w14:paraId="5CDA41A3" w14:textId="77777777" w:rsidR="004C79C7" w:rsidRPr="004F17D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3C150300" w14:textId="77777777" w:rsidR="004C79C7" w:rsidRPr="004F17D7" w:rsidRDefault="004C79C7" w:rsidP="004C79C7">
      <w:pPr>
        <w:spacing w:line="260" w:lineRule="exact"/>
        <w:ind w:left="720" w:hanging="720"/>
        <w:jc w:val="both"/>
        <w:rPr>
          <w:color w:val="000000"/>
          <w:szCs w:val="20"/>
        </w:rPr>
      </w:pPr>
      <w:r>
        <w:rPr>
          <w:color w:val="000000"/>
        </w:rPr>
        <w:t xml:space="preserve">-</w:t>
      </w:r>
      <w:r>
        <w:rPr>
          <w:color w:val="000000"/>
        </w:rPr>
        <w:tab/>
      </w:r>
      <w:r>
        <w:rPr>
          <w:color w:val="000000"/>
        </w:rPr>
        <w:t xml:space="preserve">muszą posiadać wymagane wykształcenie oraz spełniać inne warunki i wymogi dotyczące stanowiska określonego przez koncesjonariusza w drodze aktu ogólnego;</w:t>
      </w:r>
    </w:p>
    <w:p w14:paraId="0D20E95A" w14:textId="77777777" w:rsidR="004C79C7" w:rsidRDefault="004C79C7" w:rsidP="004C79C7">
      <w:pPr>
        <w:spacing w:line="260" w:lineRule="exact"/>
        <w:ind w:left="720" w:hanging="720"/>
        <w:jc w:val="both"/>
        <w:rPr>
          <w:color w:val="000000"/>
          <w:szCs w:val="20"/>
        </w:rPr>
      </w:pPr>
      <w:r>
        <w:rPr>
          <w:color w:val="000000"/>
        </w:rPr>
        <w:t xml:space="preserve">-</w:t>
      </w:r>
      <w:r>
        <w:rPr>
          <w:color w:val="000000"/>
        </w:rPr>
        <w:tab/>
      </w:r>
      <w:r>
        <w:rPr>
          <w:color w:val="000000"/>
        </w:rPr>
        <w:t xml:space="preserve">nie mogą być osobami skazanymi na karę pozbawienia wolności za przestępstwo przeciwko życiu i zdrowiu ludzkiemu, mieniu, gospodarce, czynnościom prawnym, obowiązkowi urzędowemu, władzy publicznej ani porządkowi publicznemu i pokojowi.”.</w:t>
      </w:r>
    </w:p>
    <w:p w14:paraId="42A4C6B6" w14:textId="77777777" w:rsidR="004C79C7" w:rsidRDefault="004C79C7" w:rsidP="004C79C7">
      <w:pPr>
        <w:spacing w:line="260" w:lineRule="exact"/>
        <w:ind w:left="720" w:hanging="720"/>
        <w:jc w:val="both"/>
        <w:rPr>
          <w:color w:val="000000"/>
          <w:szCs w:val="20"/>
          <w:lang w:val="sl-SI" w:eastAsia="sl-SI"/>
        </w:rPr>
      </w:pPr>
    </w:p>
    <w:p w14:paraId="4668039E" w14:textId="77777777" w:rsidR="004C79C7" w:rsidRDefault="004C79C7" w:rsidP="004C79C7">
      <w:pPr>
        <w:spacing w:line="260" w:lineRule="exact"/>
        <w:ind w:left="720" w:hanging="720"/>
        <w:jc w:val="both"/>
        <w:rPr>
          <w:color w:val="000000"/>
          <w:szCs w:val="20"/>
          <w:lang w:val="sl-SI" w:eastAsia="sl-SI"/>
        </w:rPr>
      </w:pPr>
    </w:p>
    <w:p w14:paraId="1F5F9386" w14:textId="77777777" w:rsidR="004C79C7" w:rsidRDefault="004C79C7" w:rsidP="004C79C7">
      <w:pPr>
        <w:pStyle w:val="Odstavekseznama"/>
        <w:numPr>
          <w:ilvl w:val="0"/>
          <w:numId w:val="1"/>
        </w:numPr>
        <w:spacing w:line="260" w:lineRule="exact"/>
        <w:jc w:val="center"/>
        <w:rPr>
          <w:color w:val="000000"/>
          <w:szCs w:val="20"/>
        </w:rPr>
      </w:pPr>
      <w:r>
        <w:rPr>
          <w:color w:val="000000"/>
        </w:rPr>
        <w:t xml:space="preserve">Artykuł</w:t>
      </w:r>
    </w:p>
    <w:p w14:paraId="30AB4E54" w14:textId="77777777" w:rsidR="004C79C7" w:rsidRDefault="004C79C7" w:rsidP="004C79C7">
      <w:pPr>
        <w:spacing w:line="260" w:lineRule="exact"/>
        <w:jc w:val="center"/>
        <w:rPr>
          <w:color w:val="000000"/>
          <w:szCs w:val="20"/>
          <w:lang w:val="sl-SI" w:eastAsia="sl-SI"/>
        </w:rPr>
      </w:pPr>
    </w:p>
    <w:p w14:paraId="36E8AD68" w14:textId="77777777" w:rsidR="004C79C7" w:rsidRPr="0013410E" w:rsidRDefault="004C79C7" w:rsidP="004C79C7">
      <w:pPr>
        <w:spacing w:line="260" w:lineRule="exact"/>
        <w:jc w:val="both"/>
        <w:rPr>
          <w:color w:val="000000"/>
          <w:szCs w:val="20"/>
        </w:rPr>
      </w:pPr>
      <w:r>
        <w:rPr>
          <w:color w:val="000000"/>
        </w:rPr>
        <w:t xml:space="preserve">Skreśla się art. 85 lit. b).</w:t>
      </w:r>
    </w:p>
    <w:p w14:paraId="17512DCC" w14:textId="77777777" w:rsidR="004C79C7" w:rsidRDefault="004C79C7" w:rsidP="004C79C7">
      <w:pPr>
        <w:spacing w:line="260" w:lineRule="exact"/>
        <w:ind w:left="720" w:hanging="720"/>
        <w:jc w:val="both"/>
        <w:rPr>
          <w:color w:val="000000"/>
          <w:szCs w:val="20"/>
          <w:lang w:val="sl-SI" w:eastAsia="sl-SI"/>
        </w:rPr>
      </w:pPr>
    </w:p>
    <w:p w14:paraId="2056BBBC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3A6CDFDB" w14:textId="77777777" w:rsidR="004C79C7" w:rsidRDefault="004C79C7" w:rsidP="004C79C7">
      <w:pPr>
        <w:numPr>
          <w:ilvl w:val="0"/>
          <w:numId w:val="1"/>
        </w:numPr>
        <w:spacing w:after="160" w:line="260" w:lineRule="exact"/>
        <w:contextualSpacing/>
        <w:jc w:val="center"/>
      </w:pPr>
      <w:r>
        <w:rPr>
          <w:color w:val="000000"/>
        </w:rPr>
        <w:t xml:space="preserve">Artykuł</w:t>
      </w:r>
    </w:p>
    <w:p w14:paraId="7DD4B61D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645B6367" w14:textId="77777777" w:rsidR="004C79C7" w:rsidRPr="00344821" w:rsidRDefault="004C79C7" w:rsidP="004C79C7">
      <w:pPr>
        <w:spacing w:line="260" w:lineRule="exact"/>
        <w:jc w:val="both"/>
      </w:pPr>
      <w:r>
        <w:rPr>
          <w:color w:val="000000"/>
        </w:rPr>
        <w:t xml:space="preserve">W art. 92 w akapicie pierwszym słowa „spółki akcyjnej lub spółki z ograniczoną odpowiedzialnością z siedzibą na terytorium Republiki Słowenii” zastępuje się słowami „spółki z przyznaną koncesją”.</w:t>
      </w:r>
    </w:p>
    <w:p w14:paraId="210163C6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4D5D7859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15DECADF" w14:textId="77777777" w:rsidR="004C79C7" w:rsidRDefault="004C79C7" w:rsidP="004C79C7">
      <w:pPr>
        <w:spacing w:after="160" w:line="256" w:lineRule="auto"/>
        <w:jc w:val="both"/>
        <w:rPr>
          <w:rFonts w:eastAsia="Calibri"/>
          <w:szCs w:val="20"/>
          <w:lang w:val="sl-SI"/>
        </w:rPr>
      </w:pPr>
    </w:p>
    <w:p w14:paraId="1F198D01" w14:textId="77777777" w:rsidR="004C79C7" w:rsidRDefault="004C79C7" w:rsidP="004C79C7">
      <w:pPr>
        <w:numPr>
          <w:ilvl w:val="0"/>
          <w:numId w:val="1"/>
        </w:numPr>
        <w:spacing w:after="160" w:line="256" w:lineRule="auto"/>
        <w:contextualSpacing/>
        <w:jc w:val="center"/>
      </w:pPr>
      <w:r>
        <w:t xml:space="preserve">Artykuł</w:t>
      </w:r>
    </w:p>
    <w:p w14:paraId="3243177C" w14:textId="77777777" w:rsidR="004C79C7" w:rsidRDefault="004C79C7" w:rsidP="004C79C7">
      <w:pPr>
        <w:spacing w:after="160" w:line="256" w:lineRule="auto"/>
        <w:jc w:val="center"/>
        <w:rPr>
          <w:rFonts w:eastAsia="Calibri"/>
          <w:szCs w:val="20"/>
          <w:lang w:val="sl-SI"/>
        </w:rPr>
      </w:pPr>
    </w:p>
    <w:p w14:paraId="52E8CBC2" w14:textId="77777777" w:rsidR="004C79C7" w:rsidRPr="000A6261" w:rsidRDefault="004C79C7" w:rsidP="004C79C7">
      <w:pPr>
        <w:spacing w:after="160" w:line="256" w:lineRule="auto"/>
        <w:jc w:val="both"/>
      </w:pPr>
      <w:r>
        <w:t xml:space="preserve">W art. 94 w akapicie pierwszym i drugim kwotę „208.000 EUR” zastępuje się kwotą „250.000 EUR”.</w:t>
      </w:r>
    </w:p>
    <w:p w14:paraId="47DDB7E7" w14:textId="77777777" w:rsidR="004C79C7" w:rsidRDefault="004C79C7" w:rsidP="004C79C7">
      <w:pPr>
        <w:spacing w:after="160" w:line="256" w:lineRule="auto"/>
        <w:jc w:val="both"/>
        <w:rPr>
          <w:rFonts w:eastAsia="Calibri"/>
          <w:szCs w:val="20"/>
          <w:lang w:val="sl-SI"/>
        </w:rPr>
      </w:pPr>
    </w:p>
    <w:p w14:paraId="1FE4FE60" w14:textId="77777777" w:rsidR="004C79C7" w:rsidRDefault="004C79C7" w:rsidP="004C79C7">
      <w:pPr>
        <w:numPr>
          <w:ilvl w:val="0"/>
          <w:numId w:val="1"/>
        </w:numPr>
        <w:spacing w:after="160" w:line="256" w:lineRule="auto"/>
        <w:contextualSpacing/>
        <w:jc w:val="center"/>
      </w:pPr>
      <w:r>
        <w:t xml:space="preserve">Artykuł</w:t>
      </w:r>
    </w:p>
    <w:p w14:paraId="2EFF5A1B" w14:textId="77777777" w:rsidR="004C79C7" w:rsidRDefault="004C79C7" w:rsidP="004C79C7">
      <w:pPr>
        <w:spacing w:after="160" w:line="256" w:lineRule="auto"/>
        <w:jc w:val="both"/>
        <w:rPr>
          <w:rFonts w:eastAsia="Calibri"/>
          <w:szCs w:val="20"/>
          <w:lang w:val="sl-SI"/>
        </w:rPr>
      </w:pPr>
    </w:p>
    <w:p w14:paraId="15307E40" w14:textId="77777777" w:rsidR="004C79C7" w:rsidRPr="00344821" w:rsidRDefault="004C79C7" w:rsidP="004C79C7">
      <w:pPr>
        <w:spacing w:after="160" w:line="256" w:lineRule="auto"/>
        <w:jc w:val="both"/>
      </w:pPr>
      <w:r>
        <w:t xml:space="preserve">W art. 97 w akapicie pierwszym liczbę „50” zastępuje się liczbą „100”.</w:t>
      </w:r>
    </w:p>
    <w:p w14:paraId="006818D2" w14:textId="77777777" w:rsidR="004C79C7" w:rsidRDefault="004C79C7" w:rsidP="004C79C7">
      <w:pPr>
        <w:spacing w:after="160" w:line="256" w:lineRule="auto"/>
        <w:jc w:val="both"/>
        <w:rPr>
          <w:rFonts w:eastAsia="Calibri"/>
          <w:szCs w:val="20"/>
          <w:lang w:val="sl-SI"/>
        </w:rPr>
      </w:pPr>
    </w:p>
    <w:p w14:paraId="348CF347" w14:textId="77777777" w:rsidR="004C79C7" w:rsidRDefault="004C79C7" w:rsidP="004C79C7">
      <w:pPr>
        <w:numPr>
          <w:ilvl w:val="0"/>
          <w:numId w:val="1"/>
        </w:numPr>
        <w:spacing w:after="160" w:line="256" w:lineRule="auto"/>
        <w:contextualSpacing/>
        <w:jc w:val="center"/>
      </w:pPr>
      <w:r>
        <w:t xml:space="preserve">Artykuł</w:t>
      </w:r>
    </w:p>
    <w:p w14:paraId="1E5DAD1C" w14:textId="77777777" w:rsidR="004C79C7" w:rsidRPr="00344821" w:rsidRDefault="004C79C7" w:rsidP="004C79C7">
      <w:pPr>
        <w:spacing w:after="160" w:line="256" w:lineRule="auto"/>
        <w:jc w:val="both"/>
      </w:pPr>
      <w:r>
        <w:t xml:space="preserve">W art. 98 skreśla się akapit trzeci.</w:t>
      </w:r>
    </w:p>
    <w:p w14:paraId="0AC6C386" w14:textId="77777777" w:rsidR="004C79C7" w:rsidRPr="00344821" w:rsidRDefault="004C79C7" w:rsidP="004C79C7">
      <w:pPr>
        <w:spacing w:after="160" w:line="256" w:lineRule="auto"/>
        <w:jc w:val="both"/>
      </w:pPr>
      <w:r>
        <w:t xml:space="preserve">W uprzednim akapicie czwartym, który staje się akapitem trzecim, wprowadza się następujące zmiany:</w:t>
      </w:r>
      <w:r>
        <w:t xml:space="preserve"> </w:t>
      </w:r>
    </w:p>
    <w:p w14:paraId="06478F93" w14:textId="77777777" w:rsidR="004C79C7" w:rsidRPr="00344821" w:rsidRDefault="004C79C7" w:rsidP="004C79C7">
      <w:pPr>
        <w:spacing w:after="160" w:line="256" w:lineRule="auto"/>
        <w:jc w:val="both"/>
      </w:pPr>
      <w:r>
        <w:t xml:space="preserve">„Koncesjonariusz oblicza i wnosi opłatę koncesyjną za salon gier losowych według stawki określonej w wysokości określonej przez władze w decyzji o przyznaniu koncesji, przy czym opłata ta nie może być niższa niż 20%, w ciągu pięciu dni roboczych od końca miesiąca za poprzedni miesiąc”.</w:t>
      </w:r>
    </w:p>
    <w:p w14:paraId="025BAE1B" w14:textId="77777777" w:rsidR="004C79C7" w:rsidRDefault="004C79C7" w:rsidP="004C79C7">
      <w:pPr>
        <w:spacing w:after="160" w:line="256" w:lineRule="auto"/>
        <w:jc w:val="both"/>
        <w:rPr>
          <w:szCs w:val="20"/>
          <w:rFonts w:eastAsia="Calibri"/>
        </w:rPr>
      </w:pPr>
      <w:r>
        <w:t xml:space="preserve">W akapicie piątym wprowadza się następujące zmiany:</w:t>
      </w:r>
    </w:p>
    <w:p w14:paraId="12330206" w14:textId="77777777" w:rsidR="004C79C7" w:rsidRDefault="004C79C7" w:rsidP="004C79C7">
      <w:pPr>
        <w:spacing w:after="160" w:line="256" w:lineRule="auto"/>
        <w:jc w:val="both"/>
        <w:rPr>
          <w:szCs w:val="20"/>
          <w:rFonts w:eastAsia="Calibri"/>
        </w:rPr>
      </w:pPr>
      <w:r>
        <w:t xml:space="preserve">„Koncesjonariusz musi obliczyć i wnieść opłatę koncesyjną w ciągu pięciu dni roboczych od końca miesiąca za poprzedni miesiąc.”;</w:t>
      </w:r>
      <w:r>
        <w:t xml:space="preserve"> </w:t>
      </w:r>
    </w:p>
    <w:p w14:paraId="49E16D35" w14:textId="77777777" w:rsidR="004C79C7" w:rsidRDefault="004C79C7" w:rsidP="004C79C7">
      <w:pPr>
        <w:spacing w:after="160" w:line="256" w:lineRule="auto"/>
        <w:jc w:val="both"/>
        <w:rPr>
          <w:rFonts w:eastAsia="Calibri"/>
          <w:szCs w:val="20"/>
          <w:lang w:val="sl-SI"/>
        </w:rPr>
      </w:pPr>
    </w:p>
    <w:p w14:paraId="6827709B" w14:textId="77777777" w:rsidR="004C79C7" w:rsidRDefault="004C79C7" w:rsidP="004C79C7">
      <w:pPr>
        <w:numPr>
          <w:ilvl w:val="0"/>
          <w:numId w:val="1"/>
        </w:numPr>
        <w:spacing w:after="160" w:line="256" w:lineRule="auto"/>
        <w:contextualSpacing/>
        <w:jc w:val="center"/>
      </w:pPr>
      <w:r>
        <w:t xml:space="preserve">Artykuł</w:t>
      </w:r>
    </w:p>
    <w:p w14:paraId="4C17C8CB" w14:textId="77777777" w:rsidR="004C79C7" w:rsidRDefault="004C79C7" w:rsidP="004C79C7">
      <w:pPr>
        <w:spacing w:after="160" w:line="256" w:lineRule="auto"/>
        <w:jc w:val="both"/>
        <w:rPr>
          <w:rFonts w:eastAsia="Calibri"/>
          <w:szCs w:val="20"/>
          <w:lang w:val="sl-SI"/>
        </w:rPr>
      </w:pPr>
    </w:p>
    <w:p w14:paraId="477EEF75" w14:textId="77777777" w:rsidR="004C79C7" w:rsidRPr="00344821" w:rsidRDefault="004C79C7" w:rsidP="004C79C7">
      <w:pPr>
        <w:spacing w:after="160" w:line="256" w:lineRule="auto"/>
        <w:jc w:val="both"/>
      </w:pPr>
      <w:r>
        <w:t xml:space="preserve">W art. 107 akapit pierwszy otrzymuje następujące brzmienie:</w:t>
      </w:r>
    </w:p>
    <w:p w14:paraId="6BB541EE" w14:textId="77777777" w:rsidR="004C79C7" w:rsidRPr="00344821" w:rsidRDefault="004C79C7" w:rsidP="004C79C7">
      <w:pPr>
        <w:spacing w:after="160" w:line="256" w:lineRule="auto"/>
        <w:jc w:val="both"/>
      </w:pPr>
      <w:r>
        <w:t xml:space="preserve">„Organizacja gier losowych jest nadzorowana przez Administrację Finansową Republiki Słowenii (zwaną dalej organem nadzorczym) na podstawie przepisów niniejszej ustawy i wydanych na jej podstawie przepisów”.</w:t>
      </w:r>
    </w:p>
    <w:p w14:paraId="23AF2CEA" w14:textId="77777777" w:rsidR="004C79C7" w:rsidRDefault="004C79C7" w:rsidP="004C79C7">
      <w:pPr>
        <w:spacing w:after="160" w:line="256" w:lineRule="auto"/>
        <w:jc w:val="both"/>
        <w:rPr>
          <w:rFonts w:eastAsia="Calibri"/>
          <w:szCs w:val="20"/>
          <w:lang w:val="sl-SI"/>
        </w:rPr>
      </w:pPr>
    </w:p>
    <w:p w14:paraId="125AE4C1" w14:textId="77777777" w:rsidR="004C79C7" w:rsidRDefault="004C79C7" w:rsidP="004C79C7">
      <w:pPr>
        <w:numPr>
          <w:ilvl w:val="0"/>
          <w:numId w:val="1"/>
        </w:numPr>
        <w:spacing w:after="160" w:line="256" w:lineRule="auto"/>
        <w:contextualSpacing/>
        <w:jc w:val="center"/>
      </w:pPr>
      <w:r>
        <w:t xml:space="preserve">Artykuł</w:t>
      </w:r>
    </w:p>
    <w:p w14:paraId="44066820" w14:textId="77777777" w:rsidR="004C79C7" w:rsidRDefault="004C79C7" w:rsidP="004C79C7">
      <w:pPr>
        <w:spacing w:after="160" w:line="256" w:lineRule="auto"/>
        <w:jc w:val="both"/>
        <w:rPr>
          <w:szCs w:val="20"/>
        </w:rPr>
      </w:pPr>
    </w:p>
    <w:p w14:paraId="44D56D50" w14:textId="77777777" w:rsidR="004C79C7" w:rsidRPr="00344821" w:rsidRDefault="004C79C7" w:rsidP="004C79C7">
      <w:pPr>
        <w:spacing w:after="160" w:line="256" w:lineRule="auto"/>
        <w:jc w:val="both"/>
      </w:pPr>
      <w:r>
        <w:t xml:space="preserve">W art. 108 akapit pierwszy zdanie wprowadzające po słowach „zadania organu nadzorczego” dodaje się słowa „przede wszystkim”.</w:t>
      </w:r>
    </w:p>
    <w:p w14:paraId="4ACF8029" w14:textId="77777777" w:rsidR="004C79C7" w:rsidRDefault="004C79C7" w:rsidP="004C79C7">
      <w:pPr>
        <w:spacing w:after="160" w:line="256" w:lineRule="auto"/>
        <w:jc w:val="both"/>
        <w:rPr>
          <w:rFonts w:eastAsia="Calibri"/>
          <w:szCs w:val="20"/>
          <w:lang w:val="sl-SI"/>
        </w:rPr>
      </w:pPr>
    </w:p>
    <w:p w14:paraId="15748687" w14:textId="77777777" w:rsidR="004C79C7" w:rsidRDefault="004C79C7" w:rsidP="004C79C7">
      <w:pPr>
        <w:numPr>
          <w:ilvl w:val="0"/>
          <w:numId w:val="1"/>
        </w:numPr>
        <w:spacing w:after="160" w:line="256" w:lineRule="auto"/>
        <w:contextualSpacing/>
        <w:jc w:val="center"/>
      </w:pPr>
      <w:r>
        <w:t xml:space="preserve">Artykuł</w:t>
      </w:r>
    </w:p>
    <w:p w14:paraId="3259B685" w14:textId="77777777" w:rsidR="004C79C7" w:rsidRDefault="004C79C7" w:rsidP="004C79C7">
      <w:pPr>
        <w:spacing w:after="160" w:line="256" w:lineRule="auto"/>
        <w:jc w:val="both"/>
        <w:rPr>
          <w:szCs w:val="20"/>
        </w:rPr>
      </w:pPr>
    </w:p>
    <w:p w14:paraId="36BBDF1D" w14:textId="77777777" w:rsidR="004C79C7" w:rsidRDefault="004C79C7" w:rsidP="004C79C7">
      <w:pPr>
        <w:spacing w:after="160" w:line="256" w:lineRule="auto"/>
        <w:jc w:val="both"/>
      </w:pPr>
      <w:r>
        <w:t xml:space="preserve">W art. 110 akapit pierwszy, po słowach „organizuje grę losową” dodaje się przecinek i słowa „jeżeli podmiot prawny jest uważany za średnie lub duże przedsiębiorstwo zgodnie z prawem właściwym dla spółek, od 100.000 EUR do 500.000 EUR”.</w:t>
      </w:r>
    </w:p>
    <w:p w14:paraId="606B2A5C" w14:textId="77777777" w:rsidR="004C79C7" w:rsidRDefault="004C79C7" w:rsidP="004C79C7">
      <w:pPr>
        <w:spacing w:after="160" w:line="256" w:lineRule="auto"/>
        <w:jc w:val="both"/>
        <w:rPr>
          <w:rFonts w:eastAsia="Calibri"/>
          <w:szCs w:val="20"/>
          <w:lang w:val="sl-SI"/>
        </w:rPr>
      </w:pPr>
    </w:p>
    <w:p w14:paraId="0A44E890" w14:textId="77777777" w:rsidR="004C79C7" w:rsidRDefault="004C79C7" w:rsidP="004C79C7">
      <w:pPr>
        <w:numPr>
          <w:ilvl w:val="0"/>
          <w:numId w:val="1"/>
        </w:numPr>
        <w:spacing w:after="160" w:line="256" w:lineRule="auto"/>
        <w:contextualSpacing/>
        <w:jc w:val="center"/>
      </w:pPr>
      <w:r>
        <w:t xml:space="preserve">Artykuł</w:t>
      </w:r>
    </w:p>
    <w:p w14:paraId="109A8753" w14:textId="77777777" w:rsidR="004C79C7" w:rsidRDefault="004C79C7" w:rsidP="004C79C7">
      <w:pPr>
        <w:spacing w:after="160" w:line="256" w:lineRule="auto"/>
        <w:jc w:val="both"/>
        <w:rPr>
          <w:szCs w:val="20"/>
        </w:rPr>
      </w:pPr>
    </w:p>
    <w:p w14:paraId="134638AC" w14:textId="77777777" w:rsidR="004C79C7" w:rsidRDefault="004C79C7" w:rsidP="004C79C7">
      <w:pPr>
        <w:spacing w:after="160" w:line="256" w:lineRule="auto"/>
        <w:jc w:val="both"/>
      </w:pPr>
      <w:r>
        <w:t xml:space="preserve">W art. 111 zdanie wprowadzające akapitu pierwszego po słowach „osobę prawną” dodaje się przecinek i słowa „oraz grzywną w wysokości 15.000-120.000 EUR - osobę prawną, jeżeli zgodnie z prawem regulującym spółki będzie ona uznana za średnią lub dużą spółkę”.</w:t>
      </w:r>
    </w:p>
    <w:p w14:paraId="07F8D6D6" w14:textId="77777777" w:rsidR="004C79C7" w:rsidRDefault="004C79C7" w:rsidP="004C79C7">
      <w:pPr>
        <w:spacing w:after="160" w:line="256" w:lineRule="auto"/>
        <w:jc w:val="both"/>
        <w:rPr>
          <w:szCs w:val="20"/>
        </w:rPr>
      </w:pPr>
    </w:p>
    <w:p w14:paraId="705673A1" w14:textId="77777777" w:rsidR="004C79C7" w:rsidRDefault="004C79C7" w:rsidP="004C79C7">
      <w:pPr>
        <w:numPr>
          <w:ilvl w:val="0"/>
          <w:numId w:val="1"/>
        </w:numPr>
        <w:spacing w:after="160" w:line="256" w:lineRule="auto"/>
        <w:contextualSpacing/>
        <w:jc w:val="center"/>
      </w:pPr>
      <w:r>
        <w:t xml:space="preserve">Artykuł</w:t>
      </w:r>
    </w:p>
    <w:p w14:paraId="3F9EE7EA" w14:textId="77777777" w:rsidR="004C79C7" w:rsidRDefault="004C79C7" w:rsidP="004C79C7">
      <w:pPr>
        <w:spacing w:after="160" w:line="256" w:lineRule="auto"/>
        <w:jc w:val="both"/>
        <w:rPr>
          <w:rFonts w:eastAsia="Calibri"/>
          <w:szCs w:val="20"/>
          <w:lang w:val="sl-SI"/>
        </w:rPr>
      </w:pPr>
    </w:p>
    <w:p w14:paraId="4E33E2BC" w14:textId="77777777" w:rsidR="004C79C7" w:rsidRDefault="004C79C7" w:rsidP="004C79C7">
      <w:pPr>
        <w:spacing w:after="160" w:line="256" w:lineRule="auto"/>
        <w:jc w:val="both"/>
        <w:rPr>
          <w:szCs w:val="20"/>
          <w:rFonts w:eastAsia="Calibri"/>
        </w:rPr>
      </w:pPr>
      <w:r>
        <w:t xml:space="preserve">W art. 112 zdanie wprowadzające akapitu pierwszego po słowach „osobę prawną” dodaje się przecinek i słowa „oraz grzywną w wysokości 15.000-120.000 EUR - osobę prawną, jeżeli zgodnie z prawem regulującym spółki będzie ona uznana za średnią lub dużą spółkę”.</w:t>
      </w:r>
    </w:p>
    <w:p w14:paraId="378E2143" w14:textId="77777777" w:rsidR="004C79C7" w:rsidRPr="007D60E5" w:rsidRDefault="004C79C7" w:rsidP="004C79C7">
      <w:pPr>
        <w:spacing w:after="160" w:line="256" w:lineRule="auto"/>
        <w:jc w:val="both"/>
        <w:rPr>
          <w:szCs w:val="20"/>
          <w:rFonts w:eastAsia="Calibri"/>
        </w:rPr>
      </w:pPr>
      <w:r>
        <w:t xml:space="preserve">Pkt 2 otrzymuje następujące brzmienie:</w:t>
      </w:r>
    </w:p>
    <w:p w14:paraId="629ECE72" w14:textId="77777777" w:rsidR="004C79C7" w:rsidRPr="007D60E5" w:rsidRDefault="004C79C7" w:rsidP="004C79C7">
      <w:pPr>
        <w:spacing w:after="160" w:line="256" w:lineRule="auto"/>
        <w:jc w:val="both"/>
        <w:rPr>
          <w:szCs w:val="20"/>
          <w:rFonts w:eastAsia="Calibri"/>
        </w:rPr>
      </w:pPr>
      <w:r>
        <w:t xml:space="preserve">„2. nie łączy systemu informatycznego, w którym organizuje zakłady wzajemne online lub gry losowe online, z systemem informatycznym organu nadzorczego i nie zapewni organowi nadzorczemu dostępu do odczytu programów, danych i zapisów systemowych (art. 3 lit. a) akapit drugi);”.</w:t>
      </w:r>
    </w:p>
    <w:p w14:paraId="0162D3B8" w14:textId="77777777" w:rsidR="004C79C7" w:rsidRPr="007D60E5" w:rsidRDefault="004C79C7" w:rsidP="004C79C7">
      <w:pPr>
        <w:spacing w:after="160" w:line="256" w:lineRule="auto"/>
        <w:jc w:val="both"/>
        <w:rPr>
          <w:szCs w:val="20"/>
          <w:rFonts w:eastAsia="Calibri"/>
        </w:rPr>
      </w:pPr>
      <w:r>
        <w:t xml:space="preserve">Pkt 3 otrzymuje następujące brzmienie:</w:t>
      </w:r>
    </w:p>
    <w:p w14:paraId="4760E753" w14:textId="77777777" w:rsidR="004C79C7" w:rsidRDefault="004C79C7" w:rsidP="004C79C7">
      <w:pPr>
        <w:spacing w:after="160" w:line="256" w:lineRule="auto"/>
        <w:jc w:val="both"/>
        <w:rPr>
          <w:szCs w:val="20"/>
          <w:rFonts w:eastAsia="Calibri"/>
        </w:rPr>
      </w:pPr>
      <w:r>
        <w:t xml:space="preserve">Umożliwia uczestnictwo w zakładach wzajemnych online lub grach losowych online osobom poniżej 18 roku życia (art. 3 lit. a) akapit czwarty);</w:t>
      </w:r>
    </w:p>
    <w:p w14:paraId="6B973ECE" w14:textId="77777777" w:rsidR="004C79C7" w:rsidRPr="00011B6B" w:rsidRDefault="004C79C7" w:rsidP="004C79C7">
      <w:pPr>
        <w:spacing w:after="160" w:line="256" w:lineRule="auto"/>
        <w:jc w:val="both"/>
        <w:rPr>
          <w:szCs w:val="20"/>
          <w:rFonts w:eastAsia="Calibri"/>
        </w:rPr>
      </w:pPr>
      <w:r>
        <w:t xml:space="preserve">Dodaje się pkt 5a w brzmieniu:</w:t>
      </w:r>
    </w:p>
    <w:p w14:paraId="24516078" w14:textId="77777777" w:rsidR="004C79C7" w:rsidRDefault="004C79C7" w:rsidP="004C79C7">
      <w:pPr>
        <w:spacing w:after="160" w:line="256" w:lineRule="auto"/>
        <w:jc w:val="both"/>
        <w:rPr>
          <w:szCs w:val="20"/>
          <w:rFonts w:eastAsia="Calibri"/>
        </w:rPr>
      </w:pPr>
      <w:r>
        <w:t xml:space="preserve">„5.a nie umieści znaku ostrzegawczego na pierwszej stronie usługi online:</w:t>
      </w:r>
      <w:r>
        <w:t xml:space="preserve"> </w:t>
      </w:r>
      <w:r>
        <w:t xml:space="preserve">Gry losowe lub zakłady wzajemne są dozwolone wyłącznie dla osób powyżej 18 roku życia.</w:t>
      </w:r>
      <w:r>
        <w:t xml:space="preserve"> </w:t>
      </w:r>
      <w:r>
        <w:t xml:space="preserve">Gry losowe mogą być uzależniające.” lub jeżeli oświadczenie nie obejmuje co najmniej 5% wielkości pierwszej strony usługi online (art. 52 akapit piąty);”.</w:t>
      </w:r>
    </w:p>
    <w:p w14:paraId="60EEAA57" w14:textId="77777777" w:rsidR="004C79C7" w:rsidRPr="00DB5611" w:rsidRDefault="004C79C7" w:rsidP="004C79C7">
      <w:pPr>
        <w:spacing w:after="160" w:line="256" w:lineRule="auto"/>
        <w:jc w:val="both"/>
        <w:rPr>
          <w:szCs w:val="20"/>
          <w:rFonts w:eastAsia="Calibri"/>
        </w:rPr>
      </w:pPr>
      <w:r>
        <w:t xml:space="preserve">Pkt 14 otrzymuje następujące brzmienie:</w:t>
      </w:r>
    </w:p>
    <w:p w14:paraId="3F09C823" w14:textId="77777777" w:rsidR="004C79C7" w:rsidRDefault="004C79C7" w:rsidP="004C79C7">
      <w:pPr>
        <w:spacing w:after="160" w:line="256" w:lineRule="auto"/>
        <w:jc w:val="both"/>
        <w:rPr>
          <w:szCs w:val="20"/>
          <w:rFonts w:eastAsia="Calibri"/>
        </w:rPr>
      </w:pPr>
      <w:r>
        <w:t xml:space="preserve">„14. umożliwia osobom poniżej 18 roku życia udział w zakładach wzajemnych lub wizytę w kasynie lub salonie gier (art. 52 lit. a) akapit trzeci i art. 83);”.</w:t>
      </w:r>
    </w:p>
    <w:p w14:paraId="754FBC35" w14:textId="77777777" w:rsidR="004C79C7" w:rsidRDefault="004C79C7" w:rsidP="004C79C7">
      <w:pPr>
        <w:spacing w:after="160" w:line="256" w:lineRule="auto"/>
        <w:jc w:val="both"/>
        <w:rPr>
          <w:rFonts w:eastAsia="Calibri"/>
          <w:szCs w:val="20"/>
          <w:lang w:val="sl-SI"/>
        </w:rPr>
      </w:pPr>
    </w:p>
    <w:p w14:paraId="0EF420C3" w14:textId="77777777" w:rsidR="004C79C7" w:rsidRDefault="004C79C7" w:rsidP="004C79C7">
      <w:pPr>
        <w:spacing w:after="160" w:line="256" w:lineRule="auto"/>
        <w:jc w:val="both"/>
        <w:rPr>
          <w:rFonts w:eastAsia="Calibri"/>
          <w:szCs w:val="20"/>
          <w:lang w:val="sl-SI"/>
        </w:rPr>
      </w:pPr>
    </w:p>
    <w:p w14:paraId="469994B5" w14:textId="77777777" w:rsidR="004C79C7" w:rsidRDefault="004C79C7" w:rsidP="004C79C7">
      <w:pPr>
        <w:numPr>
          <w:ilvl w:val="0"/>
          <w:numId w:val="1"/>
        </w:numPr>
        <w:spacing w:after="160" w:line="256" w:lineRule="auto"/>
        <w:contextualSpacing/>
        <w:jc w:val="center"/>
      </w:pPr>
      <w:r>
        <w:t xml:space="preserve">Artykuł</w:t>
      </w:r>
    </w:p>
    <w:p w14:paraId="0CEAC29E" w14:textId="77777777" w:rsidR="004C79C7" w:rsidRDefault="004C79C7" w:rsidP="004C79C7">
      <w:pPr>
        <w:spacing w:after="160" w:line="256" w:lineRule="auto"/>
        <w:jc w:val="both"/>
        <w:rPr>
          <w:szCs w:val="20"/>
        </w:rPr>
      </w:pPr>
    </w:p>
    <w:p w14:paraId="2538D93A" w14:textId="77777777" w:rsidR="004C79C7" w:rsidRDefault="004C79C7" w:rsidP="004C79C7">
      <w:pPr>
        <w:spacing w:after="160" w:line="256" w:lineRule="auto"/>
        <w:jc w:val="both"/>
        <w:rPr>
          <w:szCs w:val="20"/>
          <w:rFonts w:eastAsia="Calibri"/>
        </w:rPr>
      </w:pPr>
      <w:r>
        <w:t xml:space="preserve">W art. 113 akapit pierwszy zdanie wprowadzające po słowach „osoba prawna” dodaje się przecinek i słowa „grzywną w wysokości od 4.000 EUR do 30.000 EUR - osobę prawną, jeżeli zgodnie z prawem regulującym spółki będzie ona uznana za średnią lub dużą spółkę”.</w:t>
      </w:r>
    </w:p>
    <w:p w14:paraId="10F257E5" w14:textId="77777777" w:rsidR="004C79C7" w:rsidRDefault="004C79C7" w:rsidP="004C79C7">
      <w:pPr>
        <w:spacing w:after="160" w:line="256" w:lineRule="auto"/>
        <w:jc w:val="both"/>
        <w:rPr>
          <w:szCs w:val="20"/>
          <w:rFonts w:eastAsia="Calibri"/>
        </w:rPr>
      </w:pPr>
      <w:r>
        <w:t xml:space="preserve">Skreśla się pkt 21.</w:t>
      </w:r>
      <w:r>
        <w:t xml:space="preserve"> </w:t>
      </w:r>
    </w:p>
    <w:p w14:paraId="3C22AD28" w14:textId="77777777" w:rsidR="004C79C7" w:rsidRDefault="004C79C7" w:rsidP="004C79C7">
      <w:pPr>
        <w:spacing w:after="160" w:line="256" w:lineRule="auto"/>
        <w:jc w:val="both"/>
        <w:rPr>
          <w:szCs w:val="20"/>
          <w:rFonts w:eastAsia="Calibri"/>
        </w:rPr>
      </w:pPr>
      <w:r>
        <w:t xml:space="preserve">Obecne punkty 22-27 otrzymują numerację pkt 21-26.</w:t>
      </w:r>
    </w:p>
    <w:p w14:paraId="19599D84" w14:textId="77777777" w:rsidR="004C79C7" w:rsidRPr="00002DA8" w:rsidRDefault="004C79C7" w:rsidP="004C79C7">
      <w:pPr>
        <w:spacing w:after="160" w:line="256" w:lineRule="auto"/>
        <w:jc w:val="both"/>
        <w:rPr>
          <w:lang w:val="it-IT"/>
        </w:rPr>
      </w:pPr>
    </w:p>
    <w:p w14:paraId="1DFC9D75" w14:textId="77777777" w:rsidR="004C79C7" w:rsidRDefault="004C79C7" w:rsidP="004C79C7">
      <w:pPr>
        <w:spacing w:after="160" w:line="256" w:lineRule="auto"/>
        <w:jc w:val="both"/>
        <w:rPr>
          <w:rFonts w:eastAsia="Calibri"/>
          <w:szCs w:val="20"/>
          <w:lang w:val="sl-SI"/>
        </w:rPr>
      </w:pPr>
    </w:p>
    <w:p w14:paraId="7F31566F" w14:textId="77777777" w:rsidR="004C79C7" w:rsidRDefault="004C79C7" w:rsidP="004C79C7">
      <w:pPr>
        <w:numPr>
          <w:ilvl w:val="0"/>
          <w:numId w:val="1"/>
        </w:numPr>
        <w:spacing w:after="160" w:line="256" w:lineRule="auto"/>
        <w:contextualSpacing/>
        <w:jc w:val="center"/>
      </w:pPr>
      <w:r>
        <w:t xml:space="preserve">Artykuł</w:t>
      </w:r>
    </w:p>
    <w:p w14:paraId="22CDE4BA" w14:textId="77777777" w:rsidR="004C79C7" w:rsidRDefault="004C79C7" w:rsidP="004C79C7">
      <w:pPr>
        <w:spacing w:after="160" w:line="256" w:lineRule="auto"/>
        <w:jc w:val="both"/>
        <w:rPr>
          <w:rFonts w:eastAsia="Calibri"/>
          <w:szCs w:val="20"/>
          <w:lang w:val="sl-SI"/>
        </w:rPr>
      </w:pPr>
    </w:p>
    <w:p w14:paraId="4FCC658C" w14:textId="77777777" w:rsidR="004C79C7" w:rsidRPr="00304712" w:rsidRDefault="004C79C7" w:rsidP="004C79C7">
      <w:pPr>
        <w:spacing w:after="160" w:line="256" w:lineRule="auto"/>
        <w:jc w:val="both"/>
      </w:pPr>
      <w:r>
        <w:t xml:space="preserve">W art. 114 zdanie wprowadzające akapitu pierwszego po słowach „osoba prawna” dodaje się przecinek i słowa „grzywną w wysokości 3000 EUR - osobę prawną, jeżeli zgodnie z prawem regulującym spółki będzie ona uznana za średnią lub dużą spółkę”.</w:t>
      </w:r>
    </w:p>
    <w:p w14:paraId="6F608B9D" w14:textId="77777777" w:rsidR="004C79C7" w:rsidRDefault="004C79C7" w:rsidP="004C79C7">
      <w:pPr>
        <w:spacing w:after="160" w:line="256" w:lineRule="auto"/>
        <w:jc w:val="both"/>
        <w:rPr>
          <w:rFonts w:eastAsia="Calibri"/>
          <w:szCs w:val="20"/>
          <w:lang w:val="sl-SI"/>
        </w:rPr>
      </w:pPr>
    </w:p>
    <w:p w14:paraId="65D90B7B" w14:textId="77777777" w:rsidR="004C79C7" w:rsidRDefault="004C79C7" w:rsidP="004C79C7">
      <w:pPr>
        <w:numPr>
          <w:ilvl w:val="0"/>
          <w:numId w:val="1"/>
        </w:numPr>
        <w:spacing w:after="160" w:line="256" w:lineRule="auto"/>
        <w:contextualSpacing/>
        <w:jc w:val="center"/>
      </w:pPr>
      <w:r>
        <w:t xml:space="preserve">Artykuł</w:t>
      </w:r>
    </w:p>
    <w:p w14:paraId="529A5ADA" w14:textId="77777777" w:rsidR="004C79C7" w:rsidRDefault="004C79C7" w:rsidP="004C79C7">
      <w:pPr>
        <w:spacing w:after="160" w:line="256" w:lineRule="auto"/>
        <w:jc w:val="both"/>
        <w:rPr>
          <w:szCs w:val="20"/>
        </w:rPr>
      </w:pPr>
    </w:p>
    <w:p w14:paraId="069C4FFD" w14:textId="77777777" w:rsidR="004C79C7" w:rsidRDefault="004C79C7" w:rsidP="004C79C7">
      <w:pPr>
        <w:spacing w:after="160" w:line="256" w:lineRule="auto"/>
        <w:jc w:val="both"/>
      </w:pPr>
      <w:r>
        <w:t xml:space="preserve">W art. 115 zdanie wprowadzające akapitu pierwszego po słowach „osoba prawna” dodaje się przecinek i słowa „karą grzywny w wysokości od 2000 EUR do 12000 EUR - osobę prawną, jeżeli zgodnie z prawem regulującym spółki będzie ona uznana za średnią lub dużą spółkę”.</w:t>
      </w:r>
    </w:p>
    <w:p w14:paraId="35B55AE0" w14:textId="77777777" w:rsidR="004C79C7" w:rsidRDefault="004C79C7" w:rsidP="004C79C7">
      <w:pPr>
        <w:spacing w:after="160" w:line="256" w:lineRule="auto"/>
        <w:jc w:val="both"/>
        <w:rPr>
          <w:szCs w:val="20"/>
          <w:rFonts w:eastAsia="Calibri"/>
        </w:rPr>
      </w:pPr>
      <w:r>
        <w:t xml:space="preserve">Skreśla się pkt 13.</w:t>
      </w:r>
      <w:r>
        <w:t xml:space="preserve"> </w:t>
      </w:r>
    </w:p>
    <w:p w14:paraId="096C2589" w14:textId="77777777" w:rsidR="004C79C7" w:rsidRDefault="004C79C7" w:rsidP="004C79C7">
      <w:pPr>
        <w:spacing w:after="160" w:line="256" w:lineRule="auto"/>
        <w:jc w:val="both"/>
        <w:rPr>
          <w:szCs w:val="20"/>
          <w:rFonts w:eastAsia="Calibri"/>
        </w:rPr>
      </w:pPr>
      <w:r>
        <w:t xml:space="preserve">Obecny pkt 14 otrzymuje oznaczenie pkt 13.</w:t>
      </w:r>
    </w:p>
    <w:p w14:paraId="14E8AA4D" w14:textId="77777777" w:rsidR="004C79C7" w:rsidRDefault="004C79C7" w:rsidP="004C79C7">
      <w:pPr>
        <w:spacing w:line="264" w:lineRule="auto"/>
        <w:jc w:val="both"/>
        <w:rPr>
          <w:rFonts w:eastAsia="Calibri"/>
          <w:szCs w:val="20"/>
          <w:lang w:val="sl-SI"/>
        </w:rPr>
      </w:pPr>
    </w:p>
    <w:p w14:paraId="3CDA01EC" w14:textId="77777777" w:rsidR="004C79C7" w:rsidRDefault="004C79C7" w:rsidP="004C79C7">
      <w:pPr>
        <w:spacing w:line="264" w:lineRule="auto"/>
        <w:jc w:val="both"/>
        <w:rPr>
          <w:rFonts w:eastAsia="Calibri"/>
          <w:szCs w:val="20"/>
          <w:lang w:val="sl-SI"/>
        </w:rPr>
      </w:pPr>
    </w:p>
    <w:p w14:paraId="12888C2F" w14:textId="77777777" w:rsidR="004C79C7" w:rsidRDefault="004C79C7" w:rsidP="004C79C7">
      <w:pPr>
        <w:spacing w:line="264" w:lineRule="auto"/>
        <w:jc w:val="both"/>
        <w:rPr>
          <w:rFonts w:eastAsia="Calibri"/>
          <w:szCs w:val="20"/>
          <w:lang w:val="sl-SI"/>
        </w:rPr>
      </w:pPr>
    </w:p>
    <w:p w14:paraId="1B76AB90" w14:textId="77777777" w:rsidR="004C79C7" w:rsidRPr="001B57C0" w:rsidRDefault="004C79C7" w:rsidP="004C79C7">
      <w:pPr>
        <w:spacing w:line="264" w:lineRule="auto"/>
        <w:jc w:val="center"/>
      </w:pPr>
      <w:r>
        <w:t xml:space="preserve">PRZEPISY PRZEJŚCIOWE I KOŃCOWE</w:t>
      </w:r>
    </w:p>
    <w:p w14:paraId="32A0678A" w14:textId="77777777" w:rsidR="004C79C7" w:rsidRDefault="004C79C7" w:rsidP="004C79C7">
      <w:pPr>
        <w:spacing w:line="264" w:lineRule="auto"/>
        <w:jc w:val="both"/>
        <w:rPr>
          <w:rFonts w:eastAsia="Calibri"/>
          <w:szCs w:val="20"/>
          <w:lang w:val="sl-SI"/>
        </w:rPr>
      </w:pPr>
    </w:p>
    <w:p w14:paraId="4EB0E3C3" w14:textId="77777777" w:rsidR="004C79C7" w:rsidRDefault="004C79C7" w:rsidP="004C79C7">
      <w:pPr>
        <w:spacing w:line="264" w:lineRule="auto"/>
        <w:jc w:val="both"/>
        <w:rPr>
          <w:rFonts w:eastAsia="Calibri"/>
          <w:szCs w:val="20"/>
          <w:lang w:val="sl-SI"/>
        </w:rPr>
      </w:pPr>
    </w:p>
    <w:p w14:paraId="731E8661" w14:textId="77777777" w:rsidR="004C79C7" w:rsidRPr="00884CCC" w:rsidRDefault="004C79C7" w:rsidP="004C79C7">
      <w:pPr>
        <w:numPr>
          <w:ilvl w:val="0"/>
          <w:numId w:val="1"/>
        </w:numPr>
        <w:spacing w:line="264" w:lineRule="auto"/>
        <w:jc w:val="center"/>
      </w:pPr>
      <w:r>
        <w:t xml:space="preserve">Artykuł</w:t>
      </w:r>
    </w:p>
    <w:p w14:paraId="75162F92" w14:textId="77777777" w:rsidR="004C79C7" w:rsidRDefault="004C79C7" w:rsidP="004C79C7">
      <w:pPr>
        <w:spacing w:line="264" w:lineRule="auto"/>
        <w:jc w:val="both"/>
        <w:rPr>
          <w:rFonts w:eastAsia="Calibri"/>
          <w:b/>
          <w:szCs w:val="20"/>
          <w:lang w:val="sl-SI"/>
        </w:rPr>
      </w:pPr>
    </w:p>
    <w:p w14:paraId="6F2BE973" w14:textId="77777777" w:rsidR="004C79C7" w:rsidRDefault="004C79C7" w:rsidP="004C79C7">
      <w:pPr>
        <w:spacing w:line="264" w:lineRule="auto"/>
        <w:jc w:val="both"/>
        <w:rPr>
          <w:szCs w:val="20"/>
          <w:rFonts w:eastAsia="Calibri"/>
        </w:rPr>
      </w:pPr>
      <w:r>
        <w:t xml:space="preserve">Procedury udzielania lub przedłużania koncesji na organizację specjalnych gier losowych, które są w toku w dniu wejścia w życie niniejszej ustawy lub wniesienia odwołania od ostatecznej decyzji w tych postępowaniach, są prowadzone i zakończone zgodnie z ustawą o grach (Dziennik Urzędowy Republiki Słowenii, nr 14/11 - oficjalny tekst jednolity, 108/12, 11/14 ze zmianami i 40/14 - ZIN-B) oraz rozporządzeniami wydanymi na jej podstawie.</w:t>
      </w:r>
    </w:p>
    <w:p w14:paraId="02A7D2E6" w14:textId="77777777" w:rsidR="004C79C7" w:rsidRDefault="004C79C7" w:rsidP="004C79C7">
      <w:pPr>
        <w:spacing w:line="264" w:lineRule="auto"/>
        <w:jc w:val="both"/>
        <w:rPr>
          <w:rFonts w:eastAsia="Calibri"/>
          <w:szCs w:val="20"/>
          <w:lang w:val="sl-SI"/>
        </w:rPr>
      </w:pPr>
    </w:p>
    <w:p w14:paraId="7B52673E" w14:textId="77777777" w:rsidR="004C79C7" w:rsidRDefault="004C79C7" w:rsidP="004C79C7">
      <w:pPr>
        <w:spacing w:line="264" w:lineRule="auto"/>
        <w:jc w:val="both"/>
        <w:rPr>
          <w:rFonts w:eastAsia="Calibri"/>
          <w:szCs w:val="20"/>
          <w:lang w:val="sl-SI"/>
        </w:rPr>
      </w:pPr>
    </w:p>
    <w:p w14:paraId="234F9D61" w14:textId="77777777" w:rsidR="004C79C7" w:rsidRPr="007D60E5" w:rsidRDefault="004C79C7" w:rsidP="004C79C7">
      <w:pPr>
        <w:pStyle w:val="Odstavekseznama"/>
        <w:numPr>
          <w:ilvl w:val="0"/>
          <w:numId w:val="1"/>
        </w:numPr>
        <w:spacing w:line="264" w:lineRule="auto"/>
        <w:jc w:val="center"/>
        <w:rPr>
          <w:szCs w:val="20"/>
          <w:rFonts w:eastAsia="Calibri"/>
        </w:rPr>
      </w:pPr>
      <w:r>
        <w:t xml:space="preserve">Artykuł</w:t>
      </w:r>
    </w:p>
    <w:p w14:paraId="4055535A" w14:textId="77777777" w:rsidR="004C79C7" w:rsidRDefault="004C79C7" w:rsidP="004C79C7">
      <w:pPr>
        <w:spacing w:line="264" w:lineRule="auto"/>
        <w:jc w:val="both"/>
        <w:rPr>
          <w:rFonts w:eastAsia="Calibri"/>
          <w:szCs w:val="20"/>
          <w:lang w:val="sl-SI"/>
        </w:rPr>
      </w:pPr>
    </w:p>
    <w:p w14:paraId="246B779E" w14:textId="77777777" w:rsidR="004C79C7" w:rsidRDefault="004C79C7" w:rsidP="004C79C7">
      <w:pPr>
        <w:spacing w:line="264" w:lineRule="auto"/>
        <w:jc w:val="both"/>
        <w:rPr>
          <w:szCs w:val="20"/>
          <w:rFonts w:eastAsia="Calibri"/>
        </w:rPr>
      </w:pPr>
      <w:r>
        <w:t xml:space="preserve">Loterija Slovenije, d. d. i Športna loterija, d. d., której przyznano koncesję na stałą organizację określonych klasycznych gier losowych zgodnie z przepisami ustawy o grach (Dziennik Urzędowy Republiki Słowenii, nr 14/11 - oficjalny tekst jednolity, 108/12, 11/14 ze zmianami i 40/14 - ZIN-B), może organizować te gry zgodnie z zawartą umową koncesyjną do czasu wygaśnięcia koncesji na daną grę.</w:t>
      </w:r>
    </w:p>
    <w:p w14:paraId="49D8ACA8" w14:textId="77777777" w:rsidR="004C79C7" w:rsidRDefault="004C79C7" w:rsidP="004C79C7">
      <w:pPr>
        <w:spacing w:line="264" w:lineRule="auto"/>
        <w:jc w:val="both"/>
        <w:rPr>
          <w:rFonts w:eastAsia="Calibri"/>
          <w:szCs w:val="20"/>
          <w:lang w:val="sl-SI"/>
        </w:rPr>
      </w:pPr>
    </w:p>
    <w:p w14:paraId="18649515" w14:textId="77777777" w:rsidR="004C79C7" w:rsidRDefault="004C79C7" w:rsidP="004C79C7">
      <w:pPr>
        <w:spacing w:line="264" w:lineRule="auto"/>
        <w:jc w:val="both"/>
        <w:rPr>
          <w:rFonts w:eastAsia="Calibri"/>
          <w:szCs w:val="20"/>
          <w:lang w:val="sl-SI"/>
        </w:rPr>
      </w:pPr>
    </w:p>
    <w:p w14:paraId="65B7F741" w14:textId="77777777" w:rsidR="004C79C7" w:rsidRDefault="004C79C7" w:rsidP="004C79C7">
      <w:pPr>
        <w:spacing w:line="264" w:lineRule="auto"/>
        <w:jc w:val="both"/>
        <w:rPr>
          <w:rFonts w:eastAsia="Calibri"/>
          <w:szCs w:val="20"/>
          <w:lang w:val="sl-SI"/>
        </w:rPr>
      </w:pPr>
    </w:p>
    <w:p w14:paraId="5D957465" w14:textId="77777777" w:rsidR="004C79C7" w:rsidRDefault="004C79C7" w:rsidP="004C79C7">
      <w:pPr>
        <w:pStyle w:val="Odstavekseznama"/>
        <w:numPr>
          <w:ilvl w:val="0"/>
          <w:numId w:val="1"/>
        </w:numPr>
        <w:spacing w:line="264" w:lineRule="auto"/>
        <w:jc w:val="center"/>
        <w:rPr>
          <w:szCs w:val="20"/>
          <w:rFonts w:eastAsia="Calibri"/>
        </w:rPr>
      </w:pPr>
      <w:r>
        <w:t xml:space="preserve">Artykuł</w:t>
      </w:r>
    </w:p>
    <w:p w14:paraId="499F233A" w14:textId="77777777" w:rsidR="004C79C7" w:rsidRDefault="004C79C7" w:rsidP="004C79C7">
      <w:pPr>
        <w:spacing w:line="264" w:lineRule="auto"/>
        <w:jc w:val="both"/>
        <w:rPr>
          <w:rFonts w:eastAsia="Calibri"/>
          <w:szCs w:val="20"/>
          <w:lang w:val="sl-SI"/>
        </w:rPr>
      </w:pPr>
    </w:p>
    <w:p w14:paraId="79174E6B" w14:textId="77777777" w:rsidR="004C79C7" w:rsidRPr="005B5003" w:rsidRDefault="004C79C7" w:rsidP="004C79C7">
      <w:pPr>
        <w:spacing w:line="264" w:lineRule="auto"/>
        <w:jc w:val="both"/>
        <w:rPr>
          <w:szCs w:val="20"/>
          <w:rFonts w:eastAsia="Calibri"/>
        </w:rPr>
      </w:pPr>
      <w:r>
        <w:t xml:space="preserve">Koncesjonariusze muszą dostosować strukturę własności do przepisów zmienionego art. 55 lit. a) ustawy w terminie 12 miesięcy od dnia wejścia w życie niniejszej ustawy.</w:t>
      </w:r>
    </w:p>
    <w:p w14:paraId="0E2863B9" w14:textId="77777777" w:rsidR="004C79C7" w:rsidRDefault="004C79C7" w:rsidP="004C79C7">
      <w:pPr>
        <w:spacing w:line="264" w:lineRule="auto"/>
        <w:jc w:val="both"/>
        <w:rPr>
          <w:rFonts w:eastAsia="Calibri"/>
          <w:szCs w:val="20"/>
          <w:lang w:val="sl-SI"/>
        </w:rPr>
      </w:pPr>
    </w:p>
    <w:p w14:paraId="3E8665A2" w14:textId="77777777" w:rsidR="004C79C7" w:rsidRDefault="004C79C7" w:rsidP="004C79C7">
      <w:pPr>
        <w:spacing w:line="264" w:lineRule="auto"/>
        <w:jc w:val="both"/>
        <w:rPr>
          <w:rFonts w:eastAsia="Calibri"/>
          <w:szCs w:val="20"/>
          <w:lang w:val="sl-SI"/>
        </w:rPr>
      </w:pPr>
    </w:p>
    <w:p w14:paraId="44F5BEE2" w14:textId="77777777" w:rsidR="004C79C7" w:rsidRDefault="004C79C7" w:rsidP="004C79C7">
      <w:pPr>
        <w:spacing w:line="264" w:lineRule="auto"/>
        <w:jc w:val="both"/>
        <w:rPr>
          <w:rFonts w:eastAsia="Calibri"/>
          <w:szCs w:val="20"/>
          <w:lang w:val="sl-SI"/>
        </w:rPr>
      </w:pPr>
    </w:p>
    <w:p w14:paraId="22A8C56F" w14:textId="77777777" w:rsidR="004C79C7" w:rsidRPr="00721D12" w:rsidRDefault="004C79C7" w:rsidP="004C79C7">
      <w:pPr>
        <w:pStyle w:val="Odstavekseznama"/>
        <w:numPr>
          <w:ilvl w:val="0"/>
          <w:numId w:val="1"/>
        </w:numPr>
        <w:spacing w:line="264" w:lineRule="auto"/>
        <w:jc w:val="center"/>
        <w:rPr>
          <w:szCs w:val="20"/>
          <w:rFonts w:eastAsia="Calibri"/>
        </w:rPr>
      </w:pPr>
      <w:r>
        <w:t xml:space="preserve">Artykuł</w:t>
      </w:r>
    </w:p>
    <w:p w14:paraId="3FAB0B4A" w14:textId="77777777" w:rsidR="004C79C7" w:rsidRDefault="004C79C7" w:rsidP="004C79C7">
      <w:pPr>
        <w:spacing w:line="264" w:lineRule="auto"/>
        <w:jc w:val="both"/>
        <w:rPr>
          <w:rFonts w:eastAsia="Calibri"/>
          <w:szCs w:val="20"/>
          <w:lang w:val="sl-SI"/>
        </w:rPr>
      </w:pPr>
    </w:p>
    <w:p w14:paraId="1FDCF92A" w14:textId="77777777" w:rsidR="004C79C7" w:rsidRDefault="004C79C7" w:rsidP="004C79C7">
      <w:pPr>
        <w:spacing w:line="264" w:lineRule="auto"/>
        <w:jc w:val="both"/>
        <w:rPr>
          <w:szCs w:val="20"/>
          <w:rFonts w:eastAsia="Calibri"/>
        </w:rPr>
      </w:pPr>
      <w:r>
        <w:t xml:space="preserve">Rozporządzenia wydane na podstawie obowiązującej ustawy o grach (Dziennik Urzędowy Republiki Słowenii, nr 14/11 - oficjalny tekst jednolity, 108/12, 11/14 ze zmianami oraz 40/14 - ZIN-B) zostaną dostosowane do przepisów niniejszej ustawy w terminie sześciu miesięcy od dnia wejścia w życie niniejszej ustawy.</w:t>
      </w:r>
    </w:p>
    <w:p w14:paraId="7B4F8D95" w14:textId="77777777" w:rsidR="004C79C7" w:rsidRDefault="004C79C7" w:rsidP="004C79C7">
      <w:pPr>
        <w:spacing w:line="264" w:lineRule="auto"/>
        <w:jc w:val="both"/>
        <w:rPr>
          <w:rFonts w:eastAsia="Calibri"/>
          <w:szCs w:val="20"/>
          <w:lang w:val="sl-SI"/>
        </w:rPr>
      </w:pPr>
    </w:p>
    <w:p w14:paraId="35F7785A" w14:textId="77777777" w:rsidR="004C79C7" w:rsidRDefault="004C79C7" w:rsidP="004C79C7">
      <w:pPr>
        <w:spacing w:line="264" w:lineRule="auto"/>
        <w:jc w:val="both"/>
        <w:rPr>
          <w:rFonts w:eastAsia="Calibri"/>
          <w:szCs w:val="20"/>
          <w:lang w:val="sl-SI"/>
        </w:rPr>
      </w:pPr>
    </w:p>
    <w:p w14:paraId="71D0EBD6" w14:textId="77777777" w:rsidR="004C79C7" w:rsidRDefault="004C79C7" w:rsidP="004C79C7">
      <w:pPr>
        <w:pStyle w:val="Odstavekseznama"/>
        <w:numPr>
          <w:ilvl w:val="0"/>
          <w:numId w:val="1"/>
        </w:numPr>
        <w:spacing w:line="264" w:lineRule="auto"/>
        <w:jc w:val="center"/>
      </w:pPr>
      <w:r>
        <w:t xml:space="preserve">Artykuł</w:t>
      </w:r>
    </w:p>
    <w:p w14:paraId="76F45418" w14:textId="77777777" w:rsidR="004C79C7" w:rsidRDefault="004C79C7" w:rsidP="004C79C7">
      <w:pPr>
        <w:spacing w:line="264" w:lineRule="auto"/>
        <w:jc w:val="both"/>
        <w:rPr>
          <w:rFonts w:eastAsia="Calibri"/>
          <w:szCs w:val="20"/>
          <w:lang w:val="sl-SI"/>
        </w:rPr>
      </w:pPr>
    </w:p>
    <w:p w14:paraId="164B1787" w14:textId="77777777" w:rsidR="004C79C7" w:rsidRPr="00344821" w:rsidRDefault="004C79C7" w:rsidP="004C79C7">
      <w:pPr>
        <w:spacing w:line="264" w:lineRule="auto"/>
        <w:jc w:val="both"/>
      </w:pPr>
      <w:r>
        <w:t xml:space="preserve">Z dniem wejścia w życie niniejszej ustawy przestają obowiązywać przepisy dotyczące zezwoleń na pracę przy specjalnych grach losowych (Dziennik Urzędowy Republiki Słowenii, nr 45/02, 77/02 i 109/12).</w:t>
      </w:r>
    </w:p>
    <w:p w14:paraId="59D264CB" w14:textId="77777777" w:rsidR="004C79C7" w:rsidRDefault="004C79C7" w:rsidP="004C79C7">
      <w:pPr>
        <w:spacing w:line="264" w:lineRule="auto"/>
        <w:jc w:val="both"/>
        <w:rPr>
          <w:rFonts w:eastAsia="Calibri"/>
          <w:szCs w:val="20"/>
          <w:lang w:val="sl-SI"/>
        </w:rPr>
      </w:pPr>
    </w:p>
    <w:p w14:paraId="777195E9" w14:textId="77777777" w:rsidR="004C79C7" w:rsidRPr="00344821" w:rsidRDefault="004C79C7" w:rsidP="004C79C7">
      <w:pPr>
        <w:tabs>
          <w:tab w:val="left" w:pos="230"/>
        </w:tabs>
        <w:spacing w:line="264" w:lineRule="auto"/>
        <w:jc w:val="both"/>
      </w:pPr>
      <w:r>
        <w:tab/>
      </w:r>
    </w:p>
    <w:p w14:paraId="5B910780" w14:textId="77777777" w:rsidR="004C79C7" w:rsidRDefault="004C79C7" w:rsidP="004C79C7">
      <w:pPr>
        <w:tabs>
          <w:tab w:val="left" w:pos="230"/>
        </w:tabs>
        <w:spacing w:line="264" w:lineRule="auto"/>
        <w:jc w:val="both"/>
        <w:rPr>
          <w:rFonts w:eastAsia="Calibri"/>
          <w:szCs w:val="20"/>
          <w:lang w:val="sl-SI"/>
        </w:rPr>
      </w:pPr>
    </w:p>
    <w:p w14:paraId="65D99D14" w14:textId="77777777" w:rsidR="004C79C7" w:rsidRDefault="004C79C7" w:rsidP="004C79C7">
      <w:pPr>
        <w:numPr>
          <w:ilvl w:val="0"/>
          <w:numId w:val="1"/>
        </w:numPr>
        <w:spacing w:line="264" w:lineRule="auto"/>
        <w:jc w:val="center"/>
      </w:pPr>
      <w:r>
        <w:t xml:space="preserve">Artykuł</w:t>
      </w:r>
    </w:p>
    <w:p w14:paraId="686BF176" w14:textId="77777777" w:rsidR="004C79C7" w:rsidRDefault="004C79C7" w:rsidP="004C79C7">
      <w:pPr>
        <w:spacing w:line="264" w:lineRule="auto"/>
        <w:jc w:val="both"/>
      </w:pPr>
      <w:r>
        <w:t xml:space="preserve"> </w:t>
      </w:r>
    </w:p>
    <w:p w14:paraId="101B3CF9" w14:textId="5AFFAC9A" w:rsidR="004C79C7" w:rsidRPr="00344821" w:rsidRDefault="004C79C7" w:rsidP="004C79C7">
      <w:pPr>
        <w:spacing w:line="264" w:lineRule="auto"/>
        <w:jc w:val="both"/>
      </w:pPr>
      <w:r>
        <w:t xml:space="preserve">Niniejsza ustawa wchodzi w życie piętnastego dnia po jej opublikowaniu w Dzienniku Urzędowym Republiki Słowenii.</w:t>
      </w:r>
      <w:r>
        <w:t xml:space="preserve"> </w:t>
      </w:r>
    </w:p>
    <w:p w14:paraId="7FFECEA8" w14:textId="77777777" w:rsidR="004C79C7" w:rsidRDefault="004C79C7" w:rsidP="004C79C7">
      <w:pPr>
        <w:spacing w:line="264" w:lineRule="auto"/>
        <w:jc w:val="both"/>
        <w:rPr>
          <w:rFonts w:eastAsia="Calibri"/>
          <w:szCs w:val="20"/>
          <w:lang w:val="sl-SI"/>
        </w:rPr>
      </w:pPr>
    </w:p>
    <w:bookmarkEnd w:id="0"/>
    <w:p w14:paraId="692DC737" w14:textId="77777777" w:rsidR="00B21BC5" w:rsidRPr="004C79C7" w:rsidRDefault="00B21BC5">
      <w:pPr>
        <w:rPr>
          <w:lang w:val="sl-SI"/>
        </w:rPr>
      </w:pPr>
    </w:p>
    <w:sectPr w:rsidR="00B21BC5" w:rsidRPr="004C79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15"/>
    <w:multiLevelType w:val="multilevel"/>
    <w:tmpl w:val="0B3E9D7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sl-SI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336DED"/>
    <w:multiLevelType w:val="hybridMultilevel"/>
    <w:tmpl w:val="C2FAA1AA"/>
    <w:lvl w:ilvl="0" w:tplc="C48488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867997"/>
    <w:multiLevelType w:val="hybridMultilevel"/>
    <w:tmpl w:val="AB04681E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9C7"/>
    <w:rsid w:val="001709BC"/>
    <w:rsid w:val="00473EA7"/>
    <w:rsid w:val="004C79C7"/>
    <w:rsid w:val="0065179E"/>
    <w:rsid w:val="00B21BC5"/>
    <w:rsid w:val="00EC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369B5"/>
  <w15:chartTrackingRefBased/>
  <w15:docId w15:val="{AEAFB800-EA13-4196-9723-501EBF0F4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C79C7"/>
    <w:pPr>
      <w:suppressAutoHyphens/>
      <w:spacing w:after="0" w:line="260" w:lineRule="atLeast"/>
    </w:pPr>
    <w:rPr>
      <w:rFonts w:ascii="Arial" w:eastAsia="Times New Roman" w:hAnsi="Arial" w:cs="Arial"/>
      <w:sz w:val="20"/>
      <w:szCs w:val="24"/>
      <w:lang w:val="pl-PL" w:eastAsia="zh-C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C79C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2976</Words>
  <Characters>16968</Characters>
  <Application>Microsoft Office Word</Application>
  <DocSecurity>0</DocSecurity>
  <Lines>141</Lines>
  <Paragraphs>39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Jelka Jerina Mandič</dc:creator>
  <cp:keywords/>
  <dc:description/>
  <cp:lastModifiedBy>Jelka Jerina Mandič</cp:lastModifiedBy>
  <cp:revision>4</cp:revision>
  <dcterms:created xsi:type="dcterms:W3CDTF">2021-06-07T08:40:00Z</dcterms:created>
  <dcterms:modified xsi:type="dcterms:W3CDTF">2021-06-22T08:43:00Z</dcterms:modified>
</cp:coreProperties>
</file>