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5A033" w14:textId="77777777" w:rsidR="0000330D" w:rsidRDefault="0000330D" w:rsidP="0000330D">
      <w:pPr>
        <w:pStyle w:val="paragraph"/>
        <w:spacing w:before="0" w:beforeAutospacing="0" w:after="0" w:afterAutospacing="0"/>
        <w:textAlignment w:val="baseline"/>
        <w:rPr>
          <w:rFonts w:ascii="Segoe UI" w:hAnsi="Segoe UI" w:cs="Segoe UI"/>
          <w:sz w:val="18"/>
          <w:szCs w:val="18"/>
        </w:rPr>
      </w:pPr>
      <w:r>
        <w:rPr>
          <w:rStyle w:val="eop"/>
          <w:rFonts w:ascii="Calibri" w:hAnsi="Calibri"/>
          <w:sz w:val="20"/>
        </w:rPr>
        <w:t> </w:t>
      </w:r>
    </w:p>
    <w:p w14:paraId="2A5F7F7F" w14:textId="77777777" w:rsidR="00E6020A" w:rsidRPr="008542C3" w:rsidRDefault="00E6020A" w:rsidP="0000330D">
      <w:pPr>
        <w:pStyle w:val="paragraph"/>
        <w:spacing w:before="0" w:beforeAutospacing="0" w:after="0" w:afterAutospacing="0"/>
        <w:textAlignment w:val="baseline"/>
        <w:rPr>
          <w:rStyle w:val="normaltextrun"/>
          <w:rFonts w:ascii="Palatino Linotype" w:hAnsi="Palatino Linotype" w:cs="Segoe UI"/>
          <w:b/>
          <w:bCs/>
          <w:color w:val="000000"/>
        </w:rPr>
      </w:pPr>
      <w:r>
        <w:rPr>
          <w:rStyle w:val="normaltextrun"/>
          <w:rFonts w:ascii="Palatino Linotype" w:hAnsi="Palatino Linotype"/>
          <w:b/>
          <w:color w:val="000000"/>
        </w:rPr>
        <w:t>Normativa sobre sistemas de pesaje automáticos para su uso en el desembarque de peces</w:t>
      </w:r>
    </w:p>
    <w:p w14:paraId="2CAB031B" w14:textId="77777777" w:rsidR="00E6020A" w:rsidRPr="008542C3" w:rsidRDefault="0000330D" w:rsidP="0000330D">
      <w:pPr>
        <w:pStyle w:val="paragraph"/>
        <w:spacing w:before="0" w:beforeAutospacing="0" w:after="0" w:afterAutospacing="0"/>
        <w:textAlignment w:val="baseline"/>
        <w:rPr>
          <w:rStyle w:val="normaltextrun"/>
          <w:rFonts w:ascii="Palatino Linotype" w:hAnsi="Palatino Linotype" w:cs="Segoe UI"/>
          <w:color w:val="000000"/>
        </w:rPr>
      </w:pPr>
      <w:r>
        <w:rPr>
          <w:rStyle w:val="bcx9"/>
          <w:rFonts w:ascii="Calibri" w:hAnsi="Calibri"/>
          <w:b/>
          <w:sz w:val="22"/>
        </w:rPr>
        <w:t> </w:t>
      </w:r>
      <w:r>
        <w:rPr>
          <w:rFonts w:ascii="Calibri" w:hAnsi="Calibri"/>
          <w:b/>
          <w:sz w:val="22"/>
        </w:rPr>
        <w:br/>
      </w:r>
      <w:r>
        <w:rPr>
          <w:rStyle w:val="normaltextrun"/>
          <w:rFonts w:ascii="Palatino Linotype" w:hAnsi="Palatino Linotype"/>
        </w:rPr>
        <w:t xml:space="preserve">Establecido por el Servicio Noruego de Metrología </w:t>
      </w:r>
      <w:r>
        <w:rPr>
          <w:rStyle w:val="normaltextrun"/>
          <w:rFonts w:ascii="Palatino Linotype" w:hAnsi="Palatino Linotype"/>
          <w:color w:val="000000"/>
        </w:rPr>
        <w:t xml:space="preserve">[...] </w:t>
      </w:r>
      <w:r>
        <w:rPr>
          <w:rStyle w:val="normaltextrun"/>
          <w:rFonts w:ascii="Palatino Linotype" w:hAnsi="Palatino Linotype"/>
        </w:rPr>
        <w:t xml:space="preserve">de acuerdo con la Ley de Unidades de Medición, Medición y Tiempo Estándar de 26 de enero de 2007 n.º 4 </w:t>
      </w:r>
      <w:r>
        <w:rPr>
          <w:rStyle w:val="normaltextrun"/>
          <w:rFonts w:ascii="Palatino Linotype" w:hAnsi="Palatino Linotype"/>
          <w:color w:val="000000"/>
        </w:rPr>
        <w:t xml:space="preserve">§ 7 y § 10 y </w:t>
      </w:r>
      <w:r>
        <w:rPr>
          <w:rStyle w:val="normaltextrun"/>
          <w:rFonts w:ascii="Palatino Linotype" w:hAnsi="Palatino Linotype"/>
        </w:rPr>
        <w:t xml:space="preserve">regulación 20 de diciembre de 2007 n.º 1723 sobre unidades de medición y mediciones </w:t>
      </w:r>
      <w:r>
        <w:rPr>
          <w:rStyle w:val="normaltextrun"/>
          <w:rFonts w:ascii="Palatino Linotype" w:hAnsi="Palatino Linotype"/>
          <w:color w:val="000000"/>
        </w:rPr>
        <w:t xml:space="preserve">§ 4-5a. </w:t>
      </w:r>
    </w:p>
    <w:p w14:paraId="37A2DFBA" w14:textId="77777777" w:rsidR="00E6020A" w:rsidRPr="00A970EE" w:rsidRDefault="00E6020A" w:rsidP="0000330D">
      <w:pPr>
        <w:pStyle w:val="paragraph"/>
        <w:spacing w:before="0" w:beforeAutospacing="0" w:after="0" w:afterAutospacing="0"/>
        <w:textAlignment w:val="baseline"/>
        <w:rPr>
          <w:rStyle w:val="fontstyle31"/>
        </w:rPr>
      </w:pPr>
    </w:p>
    <w:p w14:paraId="7E6DAFE5" w14:textId="77777777" w:rsidR="00003D0E" w:rsidRPr="008542C3" w:rsidRDefault="00003D0E" w:rsidP="0000330D">
      <w:pPr>
        <w:pStyle w:val="paragraph"/>
        <w:spacing w:before="0" w:beforeAutospacing="0" w:after="0" w:afterAutospacing="0"/>
        <w:textAlignment w:val="baseline"/>
        <w:rPr>
          <w:rStyle w:val="normaltextrun"/>
          <w:rFonts w:ascii="Palatino Linotype" w:hAnsi="Palatino Linotype" w:cs="Segoe UI"/>
          <w:b/>
        </w:rPr>
      </w:pPr>
      <w:r>
        <w:rPr>
          <w:rFonts w:ascii="ArialMT" w:hAnsi="ArialMT"/>
          <w:color w:val="333333"/>
        </w:rPr>
        <w:br/>
      </w:r>
      <w:r>
        <w:rPr>
          <w:rStyle w:val="normaltextrun"/>
          <w:rFonts w:ascii="Palatino Linotype" w:hAnsi="Palatino Linotype"/>
          <w:b/>
        </w:rPr>
        <w:t>Capítulo 1. Disposiciones introductorias</w:t>
      </w:r>
    </w:p>
    <w:p w14:paraId="5101CF6A" w14:textId="77777777" w:rsidR="00371CFB" w:rsidRPr="008542C3" w:rsidRDefault="00371CFB" w:rsidP="00371CFB">
      <w:pPr>
        <w:pStyle w:val="paragraph"/>
        <w:spacing w:after="0"/>
        <w:textAlignment w:val="baseline"/>
        <w:rPr>
          <w:rStyle w:val="normaltextrun"/>
          <w:rFonts w:ascii="Palatino Linotype" w:hAnsi="Palatino Linotype" w:cs="Segoe UI"/>
          <w:b/>
          <w:bCs/>
          <w:color w:val="000000"/>
        </w:rPr>
      </w:pPr>
      <w:r>
        <w:rPr>
          <w:rStyle w:val="normaltextrun"/>
          <w:rFonts w:ascii="Palatino Linotype" w:hAnsi="Palatino Linotype"/>
          <w:b/>
          <w:color w:val="000000"/>
        </w:rPr>
        <w:t>Artículo 1. Ámbito de aplicación</w:t>
      </w:r>
    </w:p>
    <w:p w14:paraId="4D7EECA6" w14:textId="77777777" w:rsidR="00371CFB" w:rsidRPr="008542C3" w:rsidRDefault="00371CFB" w:rsidP="004D03F8">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Estas regulaciones establecen requisitos para los sistemas de pesaje automático utilizados en el desembarque de peces.</w:t>
      </w:r>
    </w:p>
    <w:p w14:paraId="19497FAA" w14:textId="77777777" w:rsidR="00371CFB" w:rsidRPr="008542C3" w:rsidRDefault="00371CFB" w:rsidP="004D03F8">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Los requisitos para el sistema de pesaje automático que debe utilizarse y los requisitos para el pesaje de datos y datos sobre incidentes en el sistema de pesaje que deben almacenarse y transferirse a la Dirección de Pesca se derivan del Reglamento de 6 de mayo de 2014 n.º 607 sobre el deslizamiento de desembarque y cierre (Reglamento sobre tierra).</w:t>
      </w:r>
    </w:p>
    <w:p w14:paraId="33B34AB1" w14:textId="77777777" w:rsidR="00371CFB" w:rsidRPr="008542C3" w:rsidRDefault="00371CFB" w:rsidP="004D03F8">
      <w:pPr>
        <w:pStyle w:val="paragraph"/>
        <w:spacing w:before="0" w:beforeAutospacing="0" w:after="0" w:afterAutospacing="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Si se ha concedido una dispensa sobre la base del artículo 6a del Reglamento de desembarque, los requisitos de los artículos 5 a 7 del Reglamento no se aplican aquí.</w:t>
      </w:r>
    </w:p>
    <w:p w14:paraId="0045290B" w14:textId="77777777" w:rsidR="00371CFB" w:rsidRPr="00A970EE" w:rsidRDefault="00371CFB" w:rsidP="00371CFB">
      <w:pPr>
        <w:pStyle w:val="paragraph"/>
        <w:spacing w:before="0" w:beforeAutospacing="0" w:after="0" w:afterAutospacing="0"/>
        <w:textAlignment w:val="baseline"/>
        <w:rPr>
          <w:rStyle w:val="normaltextrun"/>
          <w:rFonts w:ascii="Palatino Linotype" w:hAnsi="Palatino Linotype" w:cs="Segoe UI"/>
          <w:b/>
          <w:bCs/>
          <w:color w:val="000000"/>
        </w:rPr>
      </w:pPr>
    </w:p>
    <w:p w14:paraId="78443C12" w14:textId="77777777" w:rsidR="0000330D" w:rsidRPr="008542C3" w:rsidRDefault="00371CFB" w:rsidP="00371CFB">
      <w:pPr>
        <w:pStyle w:val="paragraph"/>
        <w:spacing w:before="0" w:beforeAutospacing="0" w:after="0" w:afterAutospacing="0"/>
        <w:textAlignment w:val="baseline"/>
        <w:rPr>
          <w:rStyle w:val="normaltextrun"/>
          <w:rFonts w:ascii="Palatino Linotype" w:hAnsi="Palatino Linotype" w:cs="Segoe UI"/>
          <w:b/>
          <w:bCs/>
          <w:color w:val="000000"/>
        </w:rPr>
      </w:pPr>
      <w:r>
        <w:rPr>
          <w:rStyle w:val="normaltextrun"/>
          <w:rFonts w:ascii="Palatino Linotype" w:hAnsi="Palatino Linotype"/>
          <w:b/>
          <w:color w:val="000000"/>
        </w:rPr>
        <w:t>Artículo 2. Definiciones</w:t>
      </w:r>
    </w:p>
    <w:p w14:paraId="6CC17DC4" w14:textId="77777777" w:rsidR="004D03F8" w:rsidRPr="008542C3" w:rsidRDefault="004D03F8" w:rsidP="004D03F8">
      <w:pPr>
        <w:pStyle w:val="paragraph"/>
        <w:spacing w:after="0"/>
        <w:ind w:firstLine="708"/>
        <w:textAlignment w:val="baseline"/>
        <w:rPr>
          <w:rStyle w:val="eop"/>
          <w:rFonts w:ascii="Palatino Linotype" w:hAnsi="Palatino Linotype" w:cs="Segoe UI"/>
          <w:color w:val="000000"/>
        </w:rPr>
      </w:pPr>
      <w:r>
        <w:rPr>
          <w:rStyle w:val="eop"/>
          <w:rFonts w:ascii="Palatino Linotype" w:hAnsi="Palatino Linotype"/>
          <w:color w:val="000000"/>
        </w:rPr>
        <w:t>Por pescado se entiende los recursos marinos silvestres y sus productos, a excepción de los salmónidos anádromos.</w:t>
      </w:r>
    </w:p>
    <w:p w14:paraId="5602C0C3" w14:textId="77777777" w:rsidR="004D03F8" w:rsidRPr="008542C3" w:rsidRDefault="004D03F8" w:rsidP="004D03F8">
      <w:pPr>
        <w:pStyle w:val="paragraph"/>
        <w:spacing w:after="0"/>
        <w:ind w:firstLine="708"/>
        <w:textAlignment w:val="baseline"/>
        <w:rPr>
          <w:rStyle w:val="eop"/>
          <w:rFonts w:ascii="Palatino Linotype" w:hAnsi="Palatino Linotype" w:cs="Segoe UI"/>
          <w:color w:val="000000"/>
        </w:rPr>
      </w:pPr>
      <w:r>
        <w:rPr>
          <w:rStyle w:val="eop"/>
          <w:rFonts w:ascii="Palatino Linotype" w:hAnsi="Palatino Linotype"/>
          <w:color w:val="000000"/>
        </w:rPr>
        <w:t xml:space="preserve">Por desembarque se entiende todos los casos en que los peces se descargan de los buques pesqueros, incluidos el transbordo y la descarga de pescado procedente de buques que transportan peces transbordados, así como la captura de pescado de esclusa/caja/bolsa/. La evisceración inmediata de peces </w:t>
      </w:r>
      <w:proofErr w:type="spellStart"/>
      <w:r>
        <w:rPr>
          <w:rStyle w:val="eop"/>
          <w:rFonts w:ascii="Palatino Linotype" w:hAnsi="Palatino Linotype"/>
          <w:color w:val="000000"/>
        </w:rPr>
        <w:t>demersales</w:t>
      </w:r>
      <w:proofErr w:type="spellEnd"/>
      <w:r>
        <w:rPr>
          <w:rStyle w:val="eop"/>
          <w:rFonts w:ascii="Palatino Linotype" w:hAnsi="Palatino Linotype"/>
          <w:color w:val="000000"/>
        </w:rPr>
        <w:t xml:space="preserve"> se incluye como parte del desembarque.</w:t>
      </w:r>
    </w:p>
    <w:p w14:paraId="42A9DCB8" w14:textId="77777777" w:rsidR="004D03F8" w:rsidRPr="008542C3" w:rsidRDefault="004D03F8" w:rsidP="004D03F8">
      <w:pPr>
        <w:pStyle w:val="paragraph"/>
        <w:spacing w:after="0"/>
        <w:ind w:firstLine="708"/>
        <w:textAlignment w:val="baseline"/>
        <w:rPr>
          <w:rStyle w:val="eop"/>
          <w:rFonts w:ascii="Palatino Linotype" w:hAnsi="Palatino Linotype" w:cs="Segoe UI"/>
          <w:color w:val="000000"/>
        </w:rPr>
      </w:pPr>
      <w:r>
        <w:rPr>
          <w:rStyle w:val="eop"/>
          <w:rFonts w:ascii="Palatino Linotype" w:hAnsi="Palatino Linotype"/>
          <w:color w:val="000000"/>
        </w:rPr>
        <w:t>Por sistema de pesaje automático se entiende un sistema que consta de una o más básculas y otros componentes que son necesarios para garantizar que los datos de pesaje y los datos sobre los eventos del sistema de pesaje que puedan afectar al resultado del pesaje se almacenen y transfieran automáticamente.</w:t>
      </w:r>
    </w:p>
    <w:p w14:paraId="09855D8F" w14:textId="77777777" w:rsidR="004D03F8" w:rsidRPr="008542C3" w:rsidRDefault="004D03F8" w:rsidP="0088015B">
      <w:pPr>
        <w:pStyle w:val="paragraph"/>
        <w:spacing w:after="0"/>
        <w:textAlignment w:val="baseline"/>
        <w:rPr>
          <w:rStyle w:val="eop"/>
          <w:rFonts w:ascii="Palatino Linotype" w:hAnsi="Palatino Linotype" w:cs="Segoe UI"/>
          <w:color w:val="000000"/>
        </w:rPr>
      </w:pPr>
      <w:r>
        <w:rPr>
          <w:rStyle w:val="eop"/>
          <w:rFonts w:ascii="Palatino Linotype" w:hAnsi="Palatino Linotype"/>
          <w:color w:val="000000"/>
        </w:rPr>
        <w:t xml:space="preserve"> </w:t>
      </w:r>
      <w:r>
        <w:rPr>
          <w:rStyle w:val="eop"/>
          <w:rFonts w:ascii="Palatino Linotype" w:hAnsi="Palatino Linotype"/>
          <w:color w:val="000000"/>
        </w:rPr>
        <w:tab/>
        <w:t>Por automático se entiende que el proceso se lleva a cabo sin la intervención de un operador.</w:t>
      </w:r>
    </w:p>
    <w:p w14:paraId="55AE0C32" w14:textId="77777777" w:rsidR="004D03F8" w:rsidRPr="008542C3" w:rsidRDefault="004D03F8" w:rsidP="004D03F8">
      <w:pPr>
        <w:pStyle w:val="paragraph"/>
        <w:spacing w:after="0"/>
        <w:textAlignment w:val="baseline"/>
        <w:rPr>
          <w:rStyle w:val="normaltextrun"/>
          <w:rFonts w:ascii="Palatino Linotype" w:hAnsi="Palatino Linotype" w:cs="Segoe UI"/>
          <w:b/>
          <w:bCs/>
          <w:color w:val="000000"/>
        </w:rPr>
      </w:pPr>
      <w:r>
        <w:rPr>
          <w:rStyle w:val="normaltextrun"/>
          <w:rFonts w:ascii="Palatino Linotype" w:hAnsi="Palatino Linotype"/>
          <w:b/>
          <w:color w:val="000000"/>
        </w:rPr>
        <w:lastRenderedPageBreak/>
        <w:t>Artículo 3. Quién es responsable</w:t>
      </w:r>
    </w:p>
    <w:p w14:paraId="1116CD8F" w14:textId="77777777" w:rsidR="004D03F8" w:rsidRPr="008542C3" w:rsidRDefault="004D03F8" w:rsidP="004D03F8">
      <w:pPr>
        <w:pStyle w:val="paragraph"/>
        <w:spacing w:before="0" w:beforeAutospacing="0" w:after="0" w:afterAutospacing="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El usuario de un sistema de pesaje automático es responsable de garantizar el cumplimiento de los requisitos del capítulo 2 de la presente normativa. El usuario también es responsable de garantizar que se disponga de la documentación técnica necesaria para poder evaluar el cumplimiento de los requisitos.</w:t>
      </w:r>
    </w:p>
    <w:p w14:paraId="32D88FF0" w14:textId="77777777" w:rsidR="004D03F8" w:rsidRPr="00A970EE" w:rsidRDefault="004D03F8" w:rsidP="0000330D">
      <w:pPr>
        <w:pStyle w:val="paragraph"/>
        <w:spacing w:before="0" w:beforeAutospacing="0" w:after="0" w:afterAutospacing="0"/>
        <w:textAlignment w:val="baseline"/>
        <w:rPr>
          <w:rStyle w:val="normaltextrun"/>
          <w:rFonts w:ascii="Palatino Linotype" w:hAnsi="Palatino Linotype" w:cs="Segoe UI"/>
          <w:b/>
          <w:bCs/>
          <w:color w:val="000000"/>
        </w:rPr>
      </w:pPr>
    </w:p>
    <w:p w14:paraId="3916AB60" w14:textId="77777777" w:rsidR="004D03F8" w:rsidRPr="008542C3" w:rsidRDefault="004D03F8" w:rsidP="00665E58">
      <w:pPr>
        <w:pStyle w:val="paragraph"/>
        <w:spacing w:after="0"/>
        <w:textAlignment w:val="baseline"/>
        <w:rPr>
          <w:rStyle w:val="eop"/>
          <w:rFonts w:ascii="Palatino Linotype" w:hAnsi="Palatino Linotype" w:cs="Segoe UI"/>
          <w:color w:val="000000"/>
        </w:rPr>
      </w:pPr>
      <w:r>
        <w:rPr>
          <w:rStyle w:val="eop"/>
          <w:rFonts w:ascii="Palatino Linotype" w:hAnsi="Palatino Linotype"/>
          <w:b/>
          <w:color w:val="000000"/>
        </w:rPr>
        <w:t xml:space="preserve">Artículo 4. Requisitos para los fabricantes, etc. </w:t>
      </w:r>
    </w:p>
    <w:p w14:paraId="35B95CC4" w14:textId="77777777" w:rsidR="0000330D" w:rsidRPr="008542C3" w:rsidRDefault="004D03F8" w:rsidP="00665E58">
      <w:pPr>
        <w:pStyle w:val="paragraph"/>
        <w:spacing w:before="0" w:beforeAutospacing="0" w:after="0" w:afterAutospacing="0"/>
        <w:ind w:firstLine="708"/>
        <w:textAlignment w:val="baseline"/>
        <w:rPr>
          <w:rStyle w:val="eop"/>
          <w:rFonts w:ascii="Palatino Linotype" w:hAnsi="Palatino Linotype" w:cs="Segoe UI"/>
          <w:color w:val="000000"/>
        </w:rPr>
      </w:pPr>
      <w:r>
        <w:rPr>
          <w:rStyle w:val="eop"/>
          <w:rFonts w:ascii="Palatino Linotype" w:hAnsi="Palatino Linotype"/>
          <w:color w:val="000000"/>
        </w:rPr>
        <w:t>Cualquier persona que haga una escala para su uso cuando desembarque pescado disponible en el mercado debe informar al Servicio Noruego de Metrología sobre quién es el comprador, así como el tipo de escala, lugar de uso y propósito de uso. </w:t>
      </w:r>
    </w:p>
    <w:p w14:paraId="23288B58" w14:textId="77777777" w:rsidR="00665E58" w:rsidRPr="00A970EE" w:rsidRDefault="00665E58" w:rsidP="00665E58">
      <w:pPr>
        <w:pStyle w:val="paragraph"/>
        <w:spacing w:before="0" w:beforeAutospacing="0" w:after="0" w:afterAutospacing="0"/>
        <w:textAlignment w:val="baseline"/>
        <w:rPr>
          <w:rStyle w:val="eop"/>
          <w:rFonts w:ascii="Palatino Linotype" w:hAnsi="Palatino Linotype" w:cs="Segoe UI"/>
          <w:color w:val="000000"/>
        </w:rPr>
      </w:pPr>
    </w:p>
    <w:p w14:paraId="65767506" w14:textId="77777777" w:rsidR="00665E58" w:rsidRPr="008542C3" w:rsidRDefault="00665E58" w:rsidP="00665E58">
      <w:pPr>
        <w:pStyle w:val="paragraph"/>
        <w:spacing w:after="0"/>
        <w:textAlignment w:val="baseline"/>
        <w:rPr>
          <w:rStyle w:val="eop"/>
          <w:rFonts w:ascii="Palatino Linotype" w:hAnsi="Palatino Linotype" w:cs="Segoe UI"/>
          <w:color w:val="000000"/>
        </w:rPr>
      </w:pPr>
      <w:r>
        <w:rPr>
          <w:rStyle w:val="eop"/>
          <w:rFonts w:ascii="Palatino Linotype" w:hAnsi="Palatino Linotype"/>
          <w:b/>
          <w:color w:val="000000"/>
        </w:rPr>
        <w:t>Capítulo 2 – Requisitos aplicables a los sistemas de pesaje automáticos</w:t>
      </w:r>
      <w:r>
        <w:rPr>
          <w:rStyle w:val="eop"/>
          <w:rFonts w:ascii="Palatino Linotype" w:hAnsi="Palatino Linotype"/>
          <w:color w:val="000000"/>
        </w:rPr>
        <w:t xml:space="preserve"> </w:t>
      </w:r>
    </w:p>
    <w:p w14:paraId="0C746104" w14:textId="77777777" w:rsidR="00665E58" w:rsidRPr="008542C3" w:rsidRDefault="00665E58" w:rsidP="00665E58">
      <w:pPr>
        <w:pStyle w:val="paragraph"/>
        <w:spacing w:after="0"/>
        <w:textAlignment w:val="baseline"/>
        <w:rPr>
          <w:rStyle w:val="eop"/>
          <w:rFonts w:ascii="Palatino Linotype" w:hAnsi="Palatino Linotype" w:cs="Segoe UI"/>
          <w:b/>
          <w:color w:val="000000"/>
        </w:rPr>
      </w:pPr>
      <w:r>
        <w:rPr>
          <w:rStyle w:val="eop"/>
          <w:rFonts w:ascii="Palatino Linotype" w:hAnsi="Palatino Linotype"/>
          <w:b/>
          <w:color w:val="000000"/>
        </w:rPr>
        <w:t>Artículo 5. Almacenamiento y transferencia de datos</w:t>
      </w:r>
    </w:p>
    <w:p w14:paraId="67BA9744" w14:textId="77777777" w:rsidR="00665E58" w:rsidRPr="008542C3" w:rsidRDefault="00665E58" w:rsidP="00665E58">
      <w:pPr>
        <w:pStyle w:val="paragraph"/>
        <w:spacing w:after="0"/>
        <w:ind w:firstLine="708"/>
        <w:textAlignment w:val="baseline"/>
        <w:rPr>
          <w:rFonts w:ascii="Segoe UI" w:hAnsi="Segoe UI" w:cs="Segoe UI"/>
          <w:sz w:val="18"/>
          <w:szCs w:val="18"/>
        </w:rPr>
      </w:pPr>
      <w:r>
        <w:rPr>
          <w:rStyle w:val="eop"/>
          <w:rFonts w:ascii="Palatino Linotype" w:hAnsi="Palatino Linotype"/>
          <w:color w:val="000000"/>
        </w:rPr>
        <w:t>El sistema de pesaje garantizará el almacenamiento automático y la transmisión de los datos de pesaje, así como el almacenamiento automático y la transmisión de datos sobre los acontecimientos del sistema de pesaje que puedan afectar al resultado del pesaje.</w:t>
      </w:r>
    </w:p>
    <w:p w14:paraId="7C49EA1C" w14:textId="77777777" w:rsidR="005022D1" w:rsidRPr="008542C3" w:rsidRDefault="005022D1" w:rsidP="0088015B">
      <w:pPr>
        <w:pStyle w:val="paragraph"/>
        <w:spacing w:before="0" w:beforeAutospacing="0" w:after="0" w:afterAutospacing="0"/>
        <w:textAlignment w:val="baseline"/>
        <w:rPr>
          <w:rStyle w:val="normaltextrun"/>
          <w:rFonts w:ascii="Palatino Linotype" w:hAnsi="Palatino Linotype" w:cs="Segoe UI"/>
          <w:b/>
          <w:bCs/>
          <w:color w:val="000000"/>
        </w:rPr>
      </w:pPr>
      <w:r>
        <w:rPr>
          <w:rStyle w:val="normaltextrun"/>
          <w:rFonts w:ascii="Palatino Linotype" w:hAnsi="Palatino Linotype"/>
          <w:b/>
          <w:color w:val="000000"/>
        </w:rPr>
        <w:t>Artículo 6. Manejo de errores</w:t>
      </w:r>
    </w:p>
    <w:p w14:paraId="3AA72F48" w14:textId="77777777" w:rsidR="0088015B" w:rsidRPr="00A970EE" w:rsidRDefault="0088015B" w:rsidP="0088015B">
      <w:pPr>
        <w:pStyle w:val="paragraph"/>
        <w:spacing w:before="0" w:beforeAutospacing="0" w:after="0" w:afterAutospacing="0"/>
        <w:ind w:firstLine="705"/>
        <w:textAlignment w:val="baseline"/>
        <w:rPr>
          <w:rStyle w:val="normaltextrun"/>
          <w:rFonts w:ascii="Palatino Linotype" w:hAnsi="Palatino Linotype" w:cs="Segoe UI"/>
          <w:b/>
          <w:bCs/>
          <w:color w:val="000000"/>
        </w:rPr>
      </w:pPr>
    </w:p>
    <w:p w14:paraId="3ACDA16B" w14:textId="77777777" w:rsidR="005022D1" w:rsidRPr="008542C3" w:rsidRDefault="005022D1" w:rsidP="005022D1">
      <w:pPr>
        <w:pStyle w:val="paragraph"/>
        <w:spacing w:before="0" w:beforeAutospacing="0" w:after="0" w:afterAutospacing="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El sistema de pesaje tendrá funciones de almacenamiento y transmisión de información sobre los errores que se produzcan al utilizar la báscula. El sistema de pesaje también debe tener una función integrada para poder informar, corregir y presentar una nueva versión en caso de errores y omisiones en los datos transferidos. No debe ser posible modificar los datos ya registrados.</w:t>
      </w:r>
    </w:p>
    <w:p w14:paraId="7DB64B8D" w14:textId="77777777" w:rsidR="005022D1" w:rsidRPr="008542C3" w:rsidRDefault="005022D1" w:rsidP="005022D1">
      <w:pPr>
        <w:pStyle w:val="paragraph"/>
        <w:spacing w:after="0"/>
        <w:jc w:val="both"/>
        <w:textAlignment w:val="baseline"/>
        <w:rPr>
          <w:rStyle w:val="normaltextrun"/>
          <w:rFonts w:ascii="Palatino Linotype" w:hAnsi="Palatino Linotype" w:cs="Segoe UI"/>
          <w:bCs/>
          <w:color w:val="000000"/>
        </w:rPr>
      </w:pPr>
      <w:r>
        <w:rPr>
          <w:rStyle w:val="normaltextrun"/>
          <w:rFonts w:ascii="Palatino Linotype" w:hAnsi="Palatino Linotype"/>
          <w:b/>
          <w:color w:val="000000"/>
        </w:rPr>
        <w:t>Artículo 7. Calidad, integridad y disponibilidad de los datos</w:t>
      </w:r>
    </w:p>
    <w:p w14:paraId="557D5D94" w14:textId="77777777" w:rsidR="005022D1" w:rsidRPr="008542C3" w:rsidRDefault="005022D1" w:rsidP="005022D1">
      <w:pPr>
        <w:pStyle w:val="paragraph"/>
        <w:spacing w:after="0"/>
        <w:ind w:firstLine="708"/>
        <w:jc w:val="both"/>
        <w:textAlignment w:val="baseline"/>
        <w:rPr>
          <w:rStyle w:val="normaltextrun"/>
          <w:rFonts w:ascii="Palatino Linotype" w:hAnsi="Palatino Linotype" w:cs="Segoe UI"/>
          <w:bCs/>
          <w:color w:val="000000"/>
        </w:rPr>
      </w:pPr>
      <w:r>
        <w:rPr>
          <w:rStyle w:val="normaltextrun"/>
          <w:rFonts w:ascii="Palatino Linotype" w:hAnsi="Palatino Linotype"/>
          <w:color w:val="000000"/>
        </w:rPr>
        <w:t>El sistema de pesaje debe garantizar una alta calidad e integridad de los datos. Los componentes y programas informáticos del sistema de pesaje que sean cruciales para almacenar datos y eventos de pesaje en el sistema de pesaje se diseñarán de manera que estén protegidos contra manipulaciones y abusos involuntarios. Las medidas de seguridad aplicadas deben permitir demostrar si se ha producido una intervención. Todos los incidentes e información sobre pesajes completados deben almacenarse junto con un sello de tiempo seguro.</w:t>
      </w:r>
    </w:p>
    <w:p w14:paraId="457BCC42" w14:textId="77777777" w:rsidR="005022D1" w:rsidRPr="008542C3" w:rsidRDefault="005022D1" w:rsidP="005022D1">
      <w:pPr>
        <w:pStyle w:val="paragraph"/>
        <w:spacing w:before="0" w:beforeAutospacing="0" w:after="0" w:afterAutospacing="0"/>
        <w:ind w:firstLine="708"/>
        <w:jc w:val="both"/>
        <w:textAlignment w:val="baseline"/>
        <w:rPr>
          <w:rStyle w:val="normaltextrun"/>
          <w:rFonts w:ascii="Palatino Linotype" w:hAnsi="Palatino Linotype" w:cs="Segoe UI"/>
          <w:b/>
          <w:bCs/>
          <w:color w:val="000000"/>
        </w:rPr>
      </w:pPr>
      <w:r>
        <w:rPr>
          <w:rStyle w:val="normaltextrun"/>
          <w:rFonts w:ascii="Palatino Linotype" w:hAnsi="Palatino Linotype"/>
          <w:color w:val="000000"/>
        </w:rPr>
        <w:lastRenderedPageBreak/>
        <w:t>Los datos de pesaje almacenados y los datos sobre eventos en el peso deben estar protegidos para que los datos no se pierdan.</w:t>
      </w:r>
    </w:p>
    <w:p w14:paraId="3957E37B" w14:textId="77777777" w:rsidR="005022D1" w:rsidRPr="008542C3" w:rsidRDefault="0000330D" w:rsidP="005022D1">
      <w:pPr>
        <w:pStyle w:val="paragraph"/>
        <w:spacing w:before="0" w:beforeAutospacing="0" w:after="0" w:afterAutospacing="0"/>
        <w:textAlignment w:val="baseline"/>
        <w:rPr>
          <w:rStyle w:val="eop"/>
          <w:rFonts w:ascii="Palatino Linotype" w:hAnsi="Palatino Linotype" w:cs="Segoe UI"/>
          <w:color w:val="000000"/>
        </w:rPr>
      </w:pPr>
      <w:r>
        <w:rPr>
          <w:rStyle w:val="eop"/>
          <w:rFonts w:ascii="Palatino Linotype" w:hAnsi="Palatino Linotype"/>
          <w:color w:val="000000"/>
        </w:rPr>
        <w:t> </w:t>
      </w:r>
    </w:p>
    <w:p w14:paraId="7BBEC7E9" w14:textId="77777777" w:rsidR="005022D1" w:rsidRPr="008542C3" w:rsidRDefault="005022D1" w:rsidP="005022D1">
      <w:pPr>
        <w:pStyle w:val="paragraph"/>
        <w:spacing w:before="0" w:beforeAutospacing="0" w:after="0" w:afterAutospacing="0"/>
        <w:textAlignment w:val="baseline"/>
        <w:rPr>
          <w:rFonts w:ascii="Palatino Linotype" w:hAnsi="Palatino Linotype" w:cs="Segoe UI"/>
          <w:b/>
        </w:rPr>
      </w:pPr>
      <w:r>
        <w:rPr>
          <w:rFonts w:ascii="Palatino Linotype" w:hAnsi="Palatino Linotype"/>
          <w:b/>
        </w:rPr>
        <w:t>Artículo 8. Requisitos aplicables a las básculas en el sistema de pesaje</w:t>
      </w:r>
    </w:p>
    <w:p w14:paraId="61083ADE" w14:textId="77777777" w:rsidR="005022D1" w:rsidRPr="008542C3" w:rsidRDefault="005022D1" w:rsidP="005022D1">
      <w:pPr>
        <w:pStyle w:val="paragraph"/>
        <w:spacing w:after="0"/>
        <w:ind w:firstLine="705"/>
        <w:textAlignment w:val="baseline"/>
        <w:rPr>
          <w:rFonts w:ascii="Palatino Linotype" w:hAnsi="Palatino Linotype" w:cs="Segoe UI"/>
        </w:rPr>
      </w:pPr>
      <w:r>
        <w:rPr>
          <w:rFonts w:ascii="Palatino Linotype" w:hAnsi="Palatino Linotype"/>
        </w:rPr>
        <w:t xml:space="preserve">La báscula utilizada para el desembarque de los peces deberá tener colocada la unidad principal de visualización de modo que sea físicamente posible seguirla, incluida la cantidad pesada, etc., deberá poder leerse y operarse de forma continua y directa, al mismo tiempo que pueda controlarse la actividad sobre o alrededor del peso. </w:t>
      </w:r>
    </w:p>
    <w:p w14:paraId="13C72EFE" w14:textId="77777777" w:rsidR="005022D1" w:rsidRPr="008542C3" w:rsidRDefault="005022D1" w:rsidP="005022D1">
      <w:pPr>
        <w:pStyle w:val="paragraph"/>
        <w:spacing w:after="0"/>
        <w:ind w:firstLine="705"/>
        <w:textAlignment w:val="baseline"/>
        <w:rPr>
          <w:rFonts w:ascii="Palatino Linotype" w:hAnsi="Palatino Linotype" w:cs="Segoe UI"/>
        </w:rPr>
      </w:pPr>
      <w:r>
        <w:rPr>
          <w:rFonts w:ascii="Palatino Linotype" w:hAnsi="Palatino Linotype"/>
        </w:rPr>
        <w:t>La cantidad pesada de pescado desembarcado debe poder leerse continuamente. De acuerdo con otras opciones de menú, el usuario debe devolver inmediatamente la escala al modo de lectura.</w:t>
      </w:r>
    </w:p>
    <w:p w14:paraId="5B627FAB" w14:textId="77777777" w:rsidR="00E77317" w:rsidRPr="008542C3" w:rsidRDefault="005022D1" w:rsidP="005022D1">
      <w:pPr>
        <w:pStyle w:val="paragraph"/>
        <w:spacing w:before="0" w:beforeAutospacing="0" w:after="0" w:afterAutospacing="0"/>
        <w:ind w:firstLine="705"/>
        <w:textAlignment w:val="baseline"/>
        <w:rPr>
          <w:rFonts w:ascii="Palatino Linotype" w:hAnsi="Palatino Linotype" w:cs="Segoe UI"/>
        </w:rPr>
      </w:pPr>
      <w:r>
        <w:rPr>
          <w:rFonts w:ascii="Palatino Linotype" w:hAnsi="Palatino Linotype"/>
        </w:rPr>
        <w:t>Las básculas estarán equipadas con mecanismos de sujeción especificados en el documento de ensayo de tipo. Cuando se utilicen sellos físicos, éstos deberán tener una marca de identidad única.</w:t>
      </w:r>
    </w:p>
    <w:p w14:paraId="6CC8A234" w14:textId="77777777" w:rsidR="005022D1" w:rsidRPr="008542C3" w:rsidRDefault="005022D1" w:rsidP="005022D1">
      <w:pPr>
        <w:pStyle w:val="paragraph"/>
        <w:spacing w:after="0"/>
        <w:textAlignment w:val="baseline"/>
        <w:rPr>
          <w:rStyle w:val="normaltextrun"/>
          <w:rFonts w:ascii="Palatino Linotype" w:hAnsi="Palatino Linotype" w:cs="Segoe UI"/>
          <w:b/>
          <w:bCs/>
          <w:color w:val="000000"/>
        </w:rPr>
      </w:pPr>
      <w:r>
        <w:rPr>
          <w:rStyle w:val="normaltextrun"/>
          <w:rFonts w:ascii="Palatino Linotype" w:hAnsi="Palatino Linotype"/>
          <w:b/>
          <w:color w:val="000000"/>
        </w:rPr>
        <w:t>Artículo 9. Requisitos adicionales para escalas automáticas</w:t>
      </w:r>
    </w:p>
    <w:p w14:paraId="680391FC" w14:textId="77777777" w:rsidR="005022D1" w:rsidRPr="008542C3" w:rsidRDefault="005022D1" w:rsidP="005022D1">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Una báscula automática deberá tener al menos una unidad de visualización secundaria que repita la indicación del resultado de pesaje de la unidad de visualización principal. La unidad de visualización secundaria no tendrá funciones que puedan afectar al resultado del pesaje. La unidad de visualización secundaria tendrá la misma resolución que la unidad de visualización principal.</w:t>
      </w:r>
    </w:p>
    <w:p w14:paraId="6C045C5E" w14:textId="77777777" w:rsidR="005022D1" w:rsidRPr="008542C3" w:rsidRDefault="005022D1" w:rsidP="005022D1">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Una escala automática tendrá más de un contador, uno de los cuales será un contador total que funcione de forma continua y que no pueda restablecerse.</w:t>
      </w:r>
    </w:p>
    <w:p w14:paraId="7E586A98" w14:textId="77777777" w:rsidR="005022D1" w:rsidRPr="008542C3" w:rsidRDefault="005022D1" w:rsidP="005022D1">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color w:val="000000"/>
        </w:rPr>
        <w:t>Una escala automática debe tener funciones que detecten errores detectables. Si se detectan tales errores, el suministro de pescado a la escala se detendrá automáticamente.</w:t>
      </w:r>
      <w:r>
        <w:rPr>
          <w:rStyle w:val="normaltextrun"/>
          <w:rFonts w:ascii="Palatino Linotype" w:hAnsi="Palatino Linotype"/>
          <w:color w:val="000000"/>
        </w:rPr>
        <w:tab/>
        <w:t xml:space="preserve"> </w:t>
      </w:r>
    </w:p>
    <w:p w14:paraId="20FE5184" w14:textId="77777777" w:rsidR="005022D1" w:rsidRPr="008542C3" w:rsidRDefault="0088015B" w:rsidP="005022D1">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rPr>
        <w:t>Totalizadores continuos</w:t>
      </w:r>
      <w:r>
        <w:t xml:space="preserve"> </w:t>
      </w:r>
      <w:r>
        <w:rPr>
          <w:rStyle w:val="normaltextrun"/>
          <w:rFonts w:ascii="Palatino Linotype" w:hAnsi="Palatino Linotype"/>
          <w:color w:val="000000"/>
        </w:rPr>
        <w:t xml:space="preserve">deben restablecerse en la puesta en marcha y al menos cada 30 minutos. Si esto no se hace, el suministro de pescado a la escala debe detenerse automáticamente.  </w:t>
      </w:r>
    </w:p>
    <w:p w14:paraId="5789F803" w14:textId="77777777" w:rsidR="005022D1" w:rsidRPr="008542C3" w:rsidRDefault="0088015B" w:rsidP="0088015B">
      <w:pPr>
        <w:pStyle w:val="paragraph"/>
        <w:spacing w:after="0"/>
        <w:ind w:firstLine="708"/>
        <w:textAlignment w:val="baseline"/>
        <w:rPr>
          <w:rStyle w:val="normaltextrun"/>
          <w:rFonts w:ascii="Palatino Linotype" w:hAnsi="Palatino Linotype" w:cs="Segoe UI"/>
          <w:bCs/>
          <w:color w:val="000000"/>
        </w:rPr>
      </w:pPr>
      <w:r>
        <w:rPr>
          <w:rStyle w:val="normaltextrun"/>
          <w:rFonts w:ascii="Palatino Linotype" w:hAnsi="Palatino Linotype"/>
        </w:rPr>
        <w:t>Totalizadores continuos</w:t>
      </w:r>
      <w:r>
        <w:t xml:space="preserve"> </w:t>
      </w:r>
      <w:r>
        <w:rPr>
          <w:rStyle w:val="normaltextrun"/>
          <w:rFonts w:ascii="Palatino Linotype" w:hAnsi="Palatino Linotype"/>
          <w:color w:val="000000"/>
        </w:rPr>
        <w:t xml:space="preserve">y los pesos del envase de suma tendrán un interruptor que pueda forzar el peso a correr el cinturón. </w:t>
      </w:r>
    </w:p>
    <w:p w14:paraId="62FC7ABB" w14:textId="77777777" w:rsidR="005022D1" w:rsidRPr="008542C3" w:rsidRDefault="0088015B" w:rsidP="0088015B">
      <w:pPr>
        <w:pStyle w:val="paragraph"/>
        <w:spacing w:before="0" w:beforeAutospacing="0" w:after="0" w:afterAutospacing="0"/>
        <w:ind w:firstLine="705"/>
        <w:textAlignment w:val="baseline"/>
        <w:rPr>
          <w:rStyle w:val="normaltextrun"/>
          <w:rFonts w:ascii="Palatino Linotype" w:hAnsi="Palatino Linotype" w:cs="Segoe UI"/>
          <w:bCs/>
          <w:color w:val="000000"/>
        </w:rPr>
      </w:pPr>
      <w:r>
        <w:rPr>
          <w:rStyle w:val="normaltextrun"/>
          <w:rFonts w:ascii="Palatino Linotype" w:hAnsi="Palatino Linotype"/>
          <w:color w:val="000000"/>
        </w:rPr>
        <w:t>El interruptor mencionado anteriormente y el armario eléctrico conectado a una escala automática deberán sellarse. Los sellos deben tener una marca de identidad única.</w:t>
      </w:r>
    </w:p>
    <w:p w14:paraId="0AFD4A81" w14:textId="77777777" w:rsidR="005022D1" w:rsidRPr="00A970EE" w:rsidRDefault="005022D1" w:rsidP="0000330D">
      <w:pPr>
        <w:pStyle w:val="paragraph"/>
        <w:spacing w:before="0" w:beforeAutospacing="0" w:after="0" w:afterAutospacing="0"/>
        <w:ind w:firstLine="705"/>
        <w:textAlignment w:val="baseline"/>
        <w:rPr>
          <w:rStyle w:val="normaltextrun"/>
          <w:rFonts w:ascii="Palatino Linotype" w:hAnsi="Palatino Linotype" w:cs="Segoe UI"/>
          <w:bCs/>
          <w:color w:val="000000"/>
        </w:rPr>
      </w:pPr>
    </w:p>
    <w:p w14:paraId="321FDFED" w14:textId="77777777" w:rsidR="0088015B" w:rsidRPr="008542C3" w:rsidRDefault="0088015B" w:rsidP="0088015B">
      <w:pPr>
        <w:pStyle w:val="paragraph"/>
        <w:spacing w:after="0"/>
        <w:textAlignment w:val="baseline"/>
        <w:rPr>
          <w:rStyle w:val="normaltextrun"/>
          <w:rFonts w:ascii="Palatino Linotype" w:hAnsi="Palatino Linotype" w:cs="Segoe UI"/>
          <w:b/>
          <w:color w:val="000000"/>
        </w:rPr>
      </w:pPr>
      <w:r>
        <w:rPr>
          <w:rStyle w:val="normaltextrun"/>
          <w:rFonts w:ascii="Palatino Linotype" w:hAnsi="Palatino Linotype"/>
          <w:b/>
          <w:color w:val="000000"/>
        </w:rPr>
        <w:t>Capítulo 3 Disposiciones finales</w:t>
      </w:r>
    </w:p>
    <w:p w14:paraId="0BDE4F42" w14:textId="77777777" w:rsidR="0088015B" w:rsidRPr="008542C3" w:rsidRDefault="0088015B" w:rsidP="0088015B">
      <w:pPr>
        <w:pStyle w:val="paragraph"/>
        <w:spacing w:after="0"/>
        <w:textAlignment w:val="baseline"/>
        <w:rPr>
          <w:rStyle w:val="normaltextrun"/>
          <w:rFonts w:ascii="Palatino Linotype" w:hAnsi="Palatino Linotype" w:cs="Segoe UI"/>
          <w:b/>
          <w:color w:val="000000"/>
        </w:rPr>
      </w:pPr>
      <w:r>
        <w:rPr>
          <w:rStyle w:val="normaltextrun"/>
          <w:rFonts w:ascii="Palatino Linotype" w:hAnsi="Palatino Linotype"/>
          <w:b/>
          <w:color w:val="000000"/>
        </w:rPr>
        <w:t>Artículo 10. Sanción por infracción</w:t>
      </w:r>
    </w:p>
    <w:p w14:paraId="6A934761" w14:textId="77777777" w:rsidR="00BC3B46" w:rsidRPr="008542C3" w:rsidRDefault="0088015B" w:rsidP="0088015B">
      <w:pPr>
        <w:pStyle w:val="paragraph"/>
        <w:spacing w:before="0" w:beforeAutospacing="0" w:after="0" w:afterAutospacing="0"/>
        <w:ind w:firstLine="705"/>
        <w:textAlignment w:val="baseline"/>
        <w:rPr>
          <w:rStyle w:val="normaltextrun"/>
          <w:rFonts w:ascii="Palatino Linotype" w:hAnsi="Palatino Linotype" w:cs="Segoe UI"/>
          <w:color w:val="000000"/>
        </w:rPr>
      </w:pPr>
      <w:r>
        <w:rPr>
          <w:rStyle w:val="normaltextrun"/>
          <w:rFonts w:ascii="Palatino Linotype" w:hAnsi="Palatino Linotype"/>
          <w:color w:val="000000"/>
        </w:rPr>
        <w:t>La violación de estas regulaciones puede dar lugar a una orden de pago por violación medida de acuerdo con las disposiciones de la normativa sobre unidades de medida y medida, Capítulo 7.</w:t>
      </w:r>
    </w:p>
    <w:p w14:paraId="2F263B1E" w14:textId="77777777" w:rsidR="0000330D" w:rsidRPr="008542C3" w:rsidRDefault="0000330D" w:rsidP="009D6B20">
      <w:pPr>
        <w:pStyle w:val="paragraph"/>
        <w:spacing w:before="0" w:beforeAutospacing="0" w:after="0" w:afterAutospacing="0"/>
        <w:textAlignment w:val="baseline"/>
        <w:rPr>
          <w:rFonts w:ascii="Segoe UI" w:hAnsi="Segoe UI" w:cs="Segoe UI"/>
          <w:sz w:val="18"/>
          <w:szCs w:val="18"/>
        </w:rPr>
      </w:pPr>
      <w:r>
        <w:rPr>
          <w:rStyle w:val="normaltextrun"/>
          <w:rFonts w:ascii="Palatino Linotype" w:hAnsi="Palatino Linotype"/>
          <w:b/>
          <w:color w:val="000000"/>
        </w:rPr>
        <w:t xml:space="preserve">Artículo 11. </w:t>
      </w:r>
      <w:r>
        <w:rPr>
          <w:rFonts w:ascii="Palatino Linotype" w:hAnsi="Palatino Linotype"/>
          <w:b/>
          <w:color w:val="000000"/>
        </w:rPr>
        <w:t>Entrar en vigor</w:t>
      </w:r>
      <w:r>
        <w:rPr>
          <w:rFonts w:ascii="Palatino Linotype" w:hAnsi="Palatino Linotype"/>
          <w:color w:val="000000"/>
        </w:rPr>
        <w:t xml:space="preserve"> </w:t>
      </w:r>
      <w:r>
        <w:rPr>
          <w:rFonts w:ascii="Palatino Linotype" w:hAnsi="Palatino Linotype"/>
          <w:color w:val="000000"/>
        </w:rPr>
        <w:br/>
      </w:r>
      <w:r>
        <w:rPr>
          <w:rFonts w:ascii="Palatino Linotype" w:hAnsi="Palatino Linotype"/>
          <w:color w:val="000000"/>
        </w:rPr>
        <w:br/>
        <w:t xml:space="preserve">Esta ley entra en vigor </w:t>
      </w:r>
      <w:proofErr w:type="gramStart"/>
      <w:r>
        <w:rPr>
          <w:rFonts w:ascii="Palatino Linotype" w:hAnsi="Palatino Linotype"/>
          <w:color w:val="000000"/>
        </w:rPr>
        <w:t>[....</w:t>
      </w:r>
      <w:proofErr w:type="gramEnd"/>
      <w:r>
        <w:rPr>
          <w:rFonts w:ascii="Palatino Linotype" w:hAnsi="Palatino Linotype"/>
          <w:color w:val="000000"/>
        </w:rPr>
        <w:t>.}</w:t>
      </w:r>
      <w:r>
        <w:rPr>
          <w:rFonts w:ascii="Palatino Linotype" w:hAnsi="Palatino Linotype"/>
          <w:color w:val="000000"/>
        </w:rPr>
        <w:br/>
      </w:r>
    </w:p>
    <w:p w14:paraId="68B6B06F" w14:textId="77777777" w:rsidR="00AE7F4A" w:rsidRPr="00A970EE" w:rsidRDefault="00AE7F4A"/>
    <w:sectPr w:rsidR="00AE7F4A" w:rsidRPr="00A970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30D"/>
    <w:rsid w:val="0000330D"/>
    <w:rsid w:val="00003D0E"/>
    <w:rsid w:val="002A2FC9"/>
    <w:rsid w:val="00371CFB"/>
    <w:rsid w:val="004D03F8"/>
    <w:rsid w:val="005022D1"/>
    <w:rsid w:val="00665E58"/>
    <w:rsid w:val="008542C3"/>
    <w:rsid w:val="0088015B"/>
    <w:rsid w:val="009D6B20"/>
    <w:rsid w:val="00A970EE"/>
    <w:rsid w:val="00AE7F4A"/>
    <w:rsid w:val="00B21C7A"/>
    <w:rsid w:val="00BC3B46"/>
    <w:rsid w:val="00E6020A"/>
    <w:rsid w:val="00E711F2"/>
    <w:rsid w:val="00E773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64546"/>
  <w15:chartTrackingRefBased/>
  <w15:docId w15:val="{D3FE9ED7-C37D-417D-BB21-99AFA46F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0330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DefaultParagraphFont"/>
    <w:rsid w:val="0000330D"/>
  </w:style>
  <w:style w:type="character" w:customStyle="1" w:styleId="normaltextrun">
    <w:name w:val="normaltextrun"/>
    <w:basedOn w:val="DefaultParagraphFont"/>
    <w:rsid w:val="0000330D"/>
  </w:style>
  <w:style w:type="character" w:customStyle="1" w:styleId="spellingerror">
    <w:name w:val="spellingerror"/>
    <w:basedOn w:val="DefaultParagraphFont"/>
    <w:rsid w:val="0000330D"/>
  </w:style>
  <w:style w:type="character" w:customStyle="1" w:styleId="bcx9">
    <w:name w:val="bcx9"/>
    <w:basedOn w:val="DefaultParagraphFont"/>
    <w:rsid w:val="0000330D"/>
  </w:style>
  <w:style w:type="character" w:customStyle="1" w:styleId="fontstyle01">
    <w:name w:val="fontstyle01"/>
    <w:basedOn w:val="DefaultParagraphFont"/>
    <w:rsid w:val="00003D0E"/>
    <w:rPr>
      <w:rFonts w:ascii="Calibri-Bold" w:hAnsi="Calibri-Bold" w:hint="default"/>
      <w:b/>
      <w:bCs/>
      <w:i w:val="0"/>
      <w:iCs w:val="0"/>
      <w:color w:val="000000"/>
      <w:sz w:val="24"/>
      <w:szCs w:val="24"/>
    </w:rPr>
  </w:style>
  <w:style w:type="character" w:customStyle="1" w:styleId="fontstyle21">
    <w:name w:val="fontstyle21"/>
    <w:basedOn w:val="DefaultParagraphFont"/>
    <w:rsid w:val="00003D0E"/>
    <w:rPr>
      <w:rFonts w:ascii="Calibri" w:hAnsi="Calibri" w:hint="default"/>
      <w:b w:val="0"/>
      <w:bCs w:val="0"/>
      <w:i w:val="0"/>
      <w:iCs w:val="0"/>
      <w:color w:val="000000"/>
      <w:sz w:val="24"/>
      <w:szCs w:val="24"/>
    </w:rPr>
  </w:style>
  <w:style w:type="character" w:customStyle="1" w:styleId="fontstyle31">
    <w:name w:val="fontstyle31"/>
    <w:basedOn w:val="DefaultParagraphFont"/>
    <w:rsid w:val="00003D0E"/>
    <w:rPr>
      <w:rFonts w:ascii="ArialMT" w:hAnsi="ArialMT" w:hint="default"/>
      <w:b w:val="0"/>
      <w:bCs w:val="0"/>
      <w:i w:val="0"/>
      <w:iCs w:val="0"/>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916001">
      <w:bodyDiv w:val="1"/>
      <w:marLeft w:val="0"/>
      <w:marRight w:val="0"/>
      <w:marTop w:val="0"/>
      <w:marBottom w:val="0"/>
      <w:divBdr>
        <w:top w:val="none" w:sz="0" w:space="0" w:color="auto"/>
        <w:left w:val="none" w:sz="0" w:space="0" w:color="auto"/>
        <w:bottom w:val="none" w:sz="0" w:space="0" w:color="auto"/>
        <w:right w:val="none" w:sz="0" w:space="0" w:color="auto"/>
      </w:divBdr>
      <w:divsChild>
        <w:div w:id="1526097167">
          <w:marLeft w:val="0"/>
          <w:marRight w:val="0"/>
          <w:marTop w:val="0"/>
          <w:marBottom w:val="0"/>
          <w:divBdr>
            <w:top w:val="none" w:sz="0" w:space="0" w:color="auto"/>
            <w:left w:val="none" w:sz="0" w:space="0" w:color="auto"/>
            <w:bottom w:val="none" w:sz="0" w:space="0" w:color="auto"/>
            <w:right w:val="none" w:sz="0" w:space="0" w:color="auto"/>
          </w:divBdr>
        </w:div>
        <w:div w:id="418673082">
          <w:marLeft w:val="0"/>
          <w:marRight w:val="0"/>
          <w:marTop w:val="0"/>
          <w:marBottom w:val="0"/>
          <w:divBdr>
            <w:top w:val="none" w:sz="0" w:space="0" w:color="auto"/>
            <w:left w:val="none" w:sz="0" w:space="0" w:color="auto"/>
            <w:bottom w:val="none" w:sz="0" w:space="0" w:color="auto"/>
            <w:right w:val="none" w:sz="0" w:space="0" w:color="auto"/>
          </w:divBdr>
        </w:div>
        <w:div w:id="307127296">
          <w:marLeft w:val="0"/>
          <w:marRight w:val="0"/>
          <w:marTop w:val="0"/>
          <w:marBottom w:val="0"/>
          <w:divBdr>
            <w:top w:val="none" w:sz="0" w:space="0" w:color="auto"/>
            <w:left w:val="none" w:sz="0" w:space="0" w:color="auto"/>
            <w:bottom w:val="none" w:sz="0" w:space="0" w:color="auto"/>
            <w:right w:val="none" w:sz="0" w:space="0" w:color="auto"/>
          </w:divBdr>
        </w:div>
        <w:div w:id="187454599">
          <w:marLeft w:val="0"/>
          <w:marRight w:val="0"/>
          <w:marTop w:val="0"/>
          <w:marBottom w:val="0"/>
          <w:divBdr>
            <w:top w:val="none" w:sz="0" w:space="0" w:color="auto"/>
            <w:left w:val="none" w:sz="0" w:space="0" w:color="auto"/>
            <w:bottom w:val="none" w:sz="0" w:space="0" w:color="auto"/>
            <w:right w:val="none" w:sz="0" w:space="0" w:color="auto"/>
          </w:divBdr>
        </w:div>
        <w:div w:id="1347899885">
          <w:marLeft w:val="0"/>
          <w:marRight w:val="0"/>
          <w:marTop w:val="0"/>
          <w:marBottom w:val="0"/>
          <w:divBdr>
            <w:top w:val="none" w:sz="0" w:space="0" w:color="auto"/>
            <w:left w:val="none" w:sz="0" w:space="0" w:color="auto"/>
            <w:bottom w:val="none" w:sz="0" w:space="0" w:color="auto"/>
            <w:right w:val="none" w:sz="0" w:space="0" w:color="auto"/>
          </w:divBdr>
        </w:div>
        <w:div w:id="191771457">
          <w:marLeft w:val="0"/>
          <w:marRight w:val="0"/>
          <w:marTop w:val="0"/>
          <w:marBottom w:val="0"/>
          <w:divBdr>
            <w:top w:val="none" w:sz="0" w:space="0" w:color="auto"/>
            <w:left w:val="none" w:sz="0" w:space="0" w:color="auto"/>
            <w:bottom w:val="none" w:sz="0" w:space="0" w:color="auto"/>
            <w:right w:val="none" w:sz="0" w:space="0" w:color="auto"/>
          </w:divBdr>
        </w:div>
        <w:div w:id="1286622538">
          <w:marLeft w:val="0"/>
          <w:marRight w:val="0"/>
          <w:marTop w:val="0"/>
          <w:marBottom w:val="0"/>
          <w:divBdr>
            <w:top w:val="none" w:sz="0" w:space="0" w:color="auto"/>
            <w:left w:val="none" w:sz="0" w:space="0" w:color="auto"/>
            <w:bottom w:val="none" w:sz="0" w:space="0" w:color="auto"/>
            <w:right w:val="none" w:sz="0" w:space="0" w:color="auto"/>
          </w:divBdr>
        </w:div>
        <w:div w:id="997003750">
          <w:marLeft w:val="0"/>
          <w:marRight w:val="0"/>
          <w:marTop w:val="0"/>
          <w:marBottom w:val="0"/>
          <w:divBdr>
            <w:top w:val="none" w:sz="0" w:space="0" w:color="auto"/>
            <w:left w:val="none" w:sz="0" w:space="0" w:color="auto"/>
            <w:bottom w:val="none" w:sz="0" w:space="0" w:color="auto"/>
            <w:right w:val="none" w:sz="0" w:space="0" w:color="auto"/>
          </w:divBdr>
        </w:div>
        <w:div w:id="632638316">
          <w:marLeft w:val="0"/>
          <w:marRight w:val="0"/>
          <w:marTop w:val="0"/>
          <w:marBottom w:val="0"/>
          <w:divBdr>
            <w:top w:val="none" w:sz="0" w:space="0" w:color="auto"/>
            <w:left w:val="none" w:sz="0" w:space="0" w:color="auto"/>
            <w:bottom w:val="none" w:sz="0" w:space="0" w:color="auto"/>
            <w:right w:val="none" w:sz="0" w:space="0" w:color="auto"/>
          </w:divBdr>
        </w:div>
        <w:div w:id="422381808">
          <w:marLeft w:val="0"/>
          <w:marRight w:val="0"/>
          <w:marTop w:val="0"/>
          <w:marBottom w:val="0"/>
          <w:divBdr>
            <w:top w:val="none" w:sz="0" w:space="0" w:color="auto"/>
            <w:left w:val="none" w:sz="0" w:space="0" w:color="auto"/>
            <w:bottom w:val="none" w:sz="0" w:space="0" w:color="auto"/>
            <w:right w:val="none" w:sz="0" w:space="0" w:color="auto"/>
          </w:divBdr>
        </w:div>
        <w:div w:id="1854417696">
          <w:marLeft w:val="0"/>
          <w:marRight w:val="0"/>
          <w:marTop w:val="0"/>
          <w:marBottom w:val="0"/>
          <w:divBdr>
            <w:top w:val="none" w:sz="0" w:space="0" w:color="auto"/>
            <w:left w:val="none" w:sz="0" w:space="0" w:color="auto"/>
            <w:bottom w:val="none" w:sz="0" w:space="0" w:color="auto"/>
            <w:right w:val="none" w:sz="0" w:space="0" w:color="auto"/>
          </w:divBdr>
        </w:div>
        <w:div w:id="253709612">
          <w:marLeft w:val="0"/>
          <w:marRight w:val="0"/>
          <w:marTop w:val="0"/>
          <w:marBottom w:val="0"/>
          <w:divBdr>
            <w:top w:val="none" w:sz="0" w:space="0" w:color="auto"/>
            <w:left w:val="none" w:sz="0" w:space="0" w:color="auto"/>
            <w:bottom w:val="none" w:sz="0" w:space="0" w:color="auto"/>
            <w:right w:val="none" w:sz="0" w:space="0" w:color="auto"/>
          </w:divBdr>
        </w:div>
        <w:div w:id="734089911">
          <w:marLeft w:val="0"/>
          <w:marRight w:val="0"/>
          <w:marTop w:val="0"/>
          <w:marBottom w:val="0"/>
          <w:divBdr>
            <w:top w:val="none" w:sz="0" w:space="0" w:color="auto"/>
            <w:left w:val="none" w:sz="0" w:space="0" w:color="auto"/>
            <w:bottom w:val="none" w:sz="0" w:space="0" w:color="auto"/>
            <w:right w:val="none" w:sz="0" w:space="0" w:color="auto"/>
          </w:divBdr>
        </w:div>
        <w:div w:id="1773352581">
          <w:marLeft w:val="0"/>
          <w:marRight w:val="0"/>
          <w:marTop w:val="0"/>
          <w:marBottom w:val="0"/>
          <w:divBdr>
            <w:top w:val="none" w:sz="0" w:space="0" w:color="auto"/>
            <w:left w:val="none" w:sz="0" w:space="0" w:color="auto"/>
            <w:bottom w:val="none" w:sz="0" w:space="0" w:color="auto"/>
            <w:right w:val="none" w:sz="0" w:space="0" w:color="auto"/>
          </w:divBdr>
        </w:div>
        <w:div w:id="522288196">
          <w:marLeft w:val="0"/>
          <w:marRight w:val="0"/>
          <w:marTop w:val="0"/>
          <w:marBottom w:val="0"/>
          <w:divBdr>
            <w:top w:val="none" w:sz="0" w:space="0" w:color="auto"/>
            <w:left w:val="none" w:sz="0" w:space="0" w:color="auto"/>
            <w:bottom w:val="none" w:sz="0" w:space="0" w:color="auto"/>
            <w:right w:val="none" w:sz="0" w:space="0" w:color="auto"/>
          </w:divBdr>
        </w:div>
        <w:div w:id="1470434733">
          <w:marLeft w:val="0"/>
          <w:marRight w:val="0"/>
          <w:marTop w:val="0"/>
          <w:marBottom w:val="0"/>
          <w:divBdr>
            <w:top w:val="none" w:sz="0" w:space="0" w:color="auto"/>
            <w:left w:val="none" w:sz="0" w:space="0" w:color="auto"/>
            <w:bottom w:val="none" w:sz="0" w:space="0" w:color="auto"/>
            <w:right w:val="none" w:sz="0" w:space="0" w:color="auto"/>
          </w:divBdr>
        </w:div>
        <w:div w:id="834956261">
          <w:marLeft w:val="0"/>
          <w:marRight w:val="0"/>
          <w:marTop w:val="0"/>
          <w:marBottom w:val="0"/>
          <w:divBdr>
            <w:top w:val="none" w:sz="0" w:space="0" w:color="auto"/>
            <w:left w:val="none" w:sz="0" w:space="0" w:color="auto"/>
            <w:bottom w:val="none" w:sz="0" w:space="0" w:color="auto"/>
            <w:right w:val="none" w:sz="0" w:space="0" w:color="auto"/>
          </w:divBdr>
        </w:div>
        <w:div w:id="1645350384">
          <w:marLeft w:val="0"/>
          <w:marRight w:val="0"/>
          <w:marTop w:val="0"/>
          <w:marBottom w:val="0"/>
          <w:divBdr>
            <w:top w:val="none" w:sz="0" w:space="0" w:color="auto"/>
            <w:left w:val="none" w:sz="0" w:space="0" w:color="auto"/>
            <w:bottom w:val="none" w:sz="0" w:space="0" w:color="auto"/>
            <w:right w:val="none" w:sz="0" w:space="0" w:color="auto"/>
          </w:divBdr>
        </w:div>
        <w:div w:id="1291789526">
          <w:marLeft w:val="0"/>
          <w:marRight w:val="0"/>
          <w:marTop w:val="0"/>
          <w:marBottom w:val="0"/>
          <w:divBdr>
            <w:top w:val="none" w:sz="0" w:space="0" w:color="auto"/>
            <w:left w:val="none" w:sz="0" w:space="0" w:color="auto"/>
            <w:bottom w:val="none" w:sz="0" w:space="0" w:color="auto"/>
            <w:right w:val="none" w:sz="0" w:space="0" w:color="auto"/>
          </w:divBdr>
        </w:div>
        <w:div w:id="1124882358">
          <w:marLeft w:val="0"/>
          <w:marRight w:val="0"/>
          <w:marTop w:val="0"/>
          <w:marBottom w:val="0"/>
          <w:divBdr>
            <w:top w:val="none" w:sz="0" w:space="0" w:color="auto"/>
            <w:left w:val="none" w:sz="0" w:space="0" w:color="auto"/>
            <w:bottom w:val="none" w:sz="0" w:space="0" w:color="auto"/>
            <w:right w:val="none" w:sz="0" w:space="0" w:color="auto"/>
          </w:divBdr>
        </w:div>
        <w:div w:id="2051110039">
          <w:marLeft w:val="0"/>
          <w:marRight w:val="0"/>
          <w:marTop w:val="0"/>
          <w:marBottom w:val="0"/>
          <w:divBdr>
            <w:top w:val="none" w:sz="0" w:space="0" w:color="auto"/>
            <w:left w:val="none" w:sz="0" w:space="0" w:color="auto"/>
            <w:bottom w:val="none" w:sz="0" w:space="0" w:color="auto"/>
            <w:right w:val="none" w:sz="0" w:space="0" w:color="auto"/>
          </w:divBdr>
        </w:div>
        <w:div w:id="1705249665">
          <w:marLeft w:val="0"/>
          <w:marRight w:val="0"/>
          <w:marTop w:val="0"/>
          <w:marBottom w:val="0"/>
          <w:divBdr>
            <w:top w:val="none" w:sz="0" w:space="0" w:color="auto"/>
            <w:left w:val="none" w:sz="0" w:space="0" w:color="auto"/>
            <w:bottom w:val="none" w:sz="0" w:space="0" w:color="auto"/>
            <w:right w:val="none" w:sz="0" w:space="0" w:color="auto"/>
          </w:divBdr>
        </w:div>
        <w:div w:id="1621450793">
          <w:marLeft w:val="0"/>
          <w:marRight w:val="0"/>
          <w:marTop w:val="0"/>
          <w:marBottom w:val="0"/>
          <w:divBdr>
            <w:top w:val="none" w:sz="0" w:space="0" w:color="auto"/>
            <w:left w:val="none" w:sz="0" w:space="0" w:color="auto"/>
            <w:bottom w:val="none" w:sz="0" w:space="0" w:color="auto"/>
            <w:right w:val="none" w:sz="0" w:space="0" w:color="auto"/>
          </w:divBdr>
        </w:div>
        <w:div w:id="926303327">
          <w:marLeft w:val="0"/>
          <w:marRight w:val="0"/>
          <w:marTop w:val="0"/>
          <w:marBottom w:val="0"/>
          <w:divBdr>
            <w:top w:val="none" w:sz="0" w:space="0" w:color="auto"/>
            <w:left w:val="none" w:sz="0" w:space="0" w:color="auto"/>
            <w:bottom w:val="none" w:sz="0" w:space="0" w:color="auto"/>
            <w:right w:val="none" w:sz="0" w:space="0" w:color="auto"/>
          </w:divBdr>
        </w:div>
        <w:div w:id="315185481">
          <w:marLeft w:val="0"/>
          <w:marRight w:val="0"/>
          <w:marTop w:val="0"/>
          <w:marBottom w:val="0"/>
          <w:divBdr>
            <w:top w:val="none" w:sz="0" w:space="0" w:color="auto"/>
            <w:left w:val="none" w:sz="0" w:space="0" w:color="auto"/>
            <w:bottom w:val="none" w:sz="0" w:space="0" w:color="auto"/>
            <w:right w:val="none" w:sz="0" w:space="0" w:color="auto"/>
          </w:divBdr>
        </w:div>
        <w:div w:id="2050059843">
          <w:marLeft w:val="0"/>
          <w:marRight w:val="0"/>
          <w:marTop w:val="0"/>
          <w:marBottom w:val="0"/>
          <w:divBdr>
            <w:top w:val="none" w:sz="0" w:space="0" w:color="auto"/>
            <w:left w:val="none" w:sz="0" w:space="0" w:color="auto"/>
            <w:bottom w:val="none" w:sz="0" w:space="0" w:color="auto"/>
            <w:right w:val="none" w:sz="0" w:space="0" w:color="auto"/>
          </w:divBdr>
        </w:div>
        <w:div w:id="505555758">
          <w:marLeft w:val="0"/>
          <w:marRight w:val="0"/>
          <w:marTop w:val="0"/>
          <w:marBottom w:val="0"/>
          <w:divBdr>
            <w:top w:val="none" w:sz="0" w:space="0" w:color="auto"/>
            <w:left w:val="none" w:sz="0" w:space="0" w:color="auto"/>
            <w:bottom w:val="none" w:sz="0" w:space="0" w:color="auto"/>
            <w:right w:val="none" w:sz="0" w:space="0" w:color="auto"/>
          </w:divBdr>
        </w:div>
        <w:div w:id="461120940">
          <w:marLeft w:val="0"/>
          <w:marRight w:val="0"/>
          <w:marTop w:val="0"/>
          <w:marBottom w:val="0"/>
          <w:divBdr>
            <w:top w:val="none" w:sz="0" w:space="0" w:color="auto"/>
            <w:left w:val="none" w:sz="0" w:space="0" w:color="auto"/>
            <w:bottom w:val="none" w:sz="0" w:space="0" w:color="auto"/>
            <w:right w:val="none" w:sz="0" w:space="0" w:color="auto"/>
          </w:divBdr>
        </w:div>
        <w:div w:id="1296175316">
          <w:marLeft w:val="0"/>
          <w:marRight w:val="0"/>
          <w:marTop w:val="0"/>
          <w:marBottom w:val="0"/>
          <w:divBdr>
            <w:top w:val="none" w:sz="0" w:space="0" w:color="auto"/>
            <w:left w:val="none" w:sz="0" w:space="0" w:color="auto"/>
            <w:bottom w:val="none" w:sz="0" w:space="0" w:color="auto"/>
            <w:right w:val="none" w:sz="0" w:space="0" w:color="auto"/>
          </w:divBdr>
        </w:div>
        <w:div w:id="768893952">
          <w:marLeft w:val="0"/>
          <w:marRight w:val="0"/>
          <w:marTop w:val="0"/>
          <w:marBottom w:val="0"/>
          <w:divBdr>
            <w:top w:val="none" w:sz="0" w:space="0" w:color="auto"/>
            <w:left w:val="none" w:sz="0" w:space="0" w:color="auto"/>
            <w:bottom w:val="none" w:sz="0" w:space="0" w:color="auto"/>
            <w:right w:val="none" w:sz="0" w:space="0" w:color="auto"/>
          </w:divBdr>
        </w:div>
        <w:div w:id="1896238072">
          <w:marLeft w:val="0"/>
          <w:marRight w:val="0"/>
          <w:marTop w:val="0"/>
          <w:marBottom w:val="0"/>
          <w:divBdr>
            <w:top w:val="none" w:sz="0" w:space="0" w:color="auto"/>
            <w:left w:val="none" w:sz="0" w:space="0" w:color="auto"/>
            <w:bottom w:val="none" w:sz="0" w:space="0" w:color="auto"/>
            <w:right w:val="none" w:sz="0" w:space="0" w:color="auto"/>
          </w:divBdr>
        </w:div>
        <w:div w:id="283510377">
          <w:marLeft w:val="0"/>
          <w:marRight w:val="0"/>
          <w:marTop w:val="0"/>
          <w:marBottom w:val="0"/>
          <w:divBdr>
            <w:top w:val="none" w:sz="0" w:space="0" w:color="auto"/>
            <w:left w:val="none" w:sz="0" w:space="0" w:color="auto"/>
            <w:bottom w:val="none" w:sz="0" w:space="0" w:color="auto"/>
            <w:right w:val="none" w:sz="0" w:space="0" w:color="auto"/>
          </w:divBdr>
        </w:div>
        <w:div w:id="1833836893">
          <w:marLeft w:val="0"/>
          <w:marRight w:val="0"/>
          <w:marTop w:val="0"/>
          <w:marBottom w:val="0"/>
          <w:divBdr>
            <w:top w:val="none" w:sz="0" w:space="0" w:color="auto"/>
            <w:left w:val="none" w:sz="0" w:space="0" w:color="auto"/>
            <w:bottom w:val="none" w:sz="0" w:space="0" w:color="auto"/>
            <w:right w:val="none" w:sz="0" w:space="0" w:color="auto"/>
          </w:divBdr>
        </w:div>
        <w:div w:id="1993680454">
          <w:marLeft w:val="0"/>
          <w:marRight w:val="0"/>
          <w:marTop w:val="0"/>
          <w:marBottom w:val="0"/>
          <w:divBdr>
            <w:top w:val="none" w:sz="0" w:space="0" w:color="auto"/>
            <w:left w:val="none" w:sz="0" w:space="0" w:color="auto"/>
            <w:bottom w:val="none" w:sz="0" w:space="0" w:color="auto"/>
            <w:right w:val="none" w:sz="0" w:space="0" w:color="auto"/>
          </w:divBdr>
        </w:div>
        <w:div w:id="1660185810">
          <w:marLeft w:val="0"/>
          <w:marRight w:val="0"/>
          <w:marTop w:val="0"/>
          <w:marBottom w:val="0"/>
          <w:divBdr>
            <w:top w:val="none" w:sz="0" w:space="0" w:color="auto"/>
            <w:left w:val="none" w:sz="0" w:space="0" w:color="auto"/>
            <w:bottom w:val="none" w:sz="0" w:space="0" w:color="auto"/>
            <w:right w:val="none" w:sz="0" w:space="0" w:color="auto"/>
          </w:divBdr>
        </w:div>
        <w:div w:id="1283541030">
          <w:marLeft w:val="0"/>
          <w:marRight w:val="0"/>
          <w:marTop w:val="0"/>
          <w:marBottom w:val="0"/>
          <w:divBdr>
            <w:top w:val="none" w:sz="0" w:space="0" w:color="auto"/>
            <w:left w:val="none" w:sz="0" w:space="0" w:color="auto"/>
            <w:bottom w:val="none" w:sz="0" w:space="0" w:color="auto"/>
            <w:right w:val="none" w:sz="0" w:space="0" w:color="auto"/>
          </w:divBdr>
        </w:div>
        <w:div w:id="2105757905">
          <w:marLeft w:val="0"/>
          <w:marRight w:val="0"/>
          <w:marTop w:val="0"/>
          <w:marBottom w:val="0"/>
          <w:divBdr>
            <w:top w:val="none" w:sz="0" w:space="0" w:color="auto"/>
            <w:left w:val="none" w:sz="0" w:space="0" w:color="auto"/>
            <w:bottom w:val="none" w:sz="0" w:space="0" w:color="auto"/>
            <w:right w:val="none" w:sz="0" w:space="0" w:color="auto"/>
          </w:divBdr>
        </w:div>
        <w:div w:id="103574404">
          <w:marLeft w:val="0"/>
          <w:marRight w:val="0"/>
          <w:marTop w:val="0"/>
          <w:marBottom w:val="0"/>
          <w:divBdr>
            <w:top w:val="none" w:sz="0" w:space="0" w:color="auto"/>
            <w:left w:val="none" w:sz="0" w:space="0" w:color="auto"/>
            <w:bottom w:val="none" w:sz="0" w:space="0" w:color="auto"/>
            <w:right w:val="none" w:sz="0" w:space="0" w:color="auto"/>
          </w:divBdr>
        </w:div>
        <w:div w:id="1202788339">
          <w:marLeft w:val="0"/>
          <w:marRight w:val="0"/>
          <w:marTop w:val="0"/>
          <w:marBottom w:val="0"/>
          <w:divBdr>
            <w:top w:val="none" w:sz="0" w:space="0" w:color="auto"/>
            <w:left w:val="none" w:sz="0" w:space="0" w:color="auto"/>
            <w:bottom w:val="none" w:sz="0" w:space="0" w:color="auto"/>
            <w:right w:val="none" w:sz="0" w:space="0" w:color="auto"/>
          </w:divBdr>
        </w:div>
        <w:div w:id="1199394162">
          <w:marLeft w:val="0"/>
          <w:marRight w:val="0"/>
          <w:marTop w:val="0"/>
          <w:marBottom w:val="0"/>
          <w:divBdr>
            <w:top w:val="none" w:sz="0" w:space="0" w:color="auto"/>
            <w:left w:val="none" w:sz="0" w:space="0" w:color="auto"/>
            <w:bottom w:val="none" w:sz="0" w:space="0" w:color="auto"/>
            <w:right w:val="none" w:sz="0" w:space="0" w:color="auto"/>
          </w:divBdr>
        </w:div>
        <w:div w:id="768503330">
          <w:marLeft w:val="0"/>
          <w:marRight w:val="0"/>
          <w:marTop w:val="0"/>
          <w:marBottom w:val="0"/>
          <w:divBdr>
            <w:top w:val="none" w:sz="0" w:space="0" w:color="auto"/>
            <w:left w:val="none" w:sz="0" w:space="0" w:color="auto"/>
            <w:bottom w:val="none" w:sz="0" w:space="0" w:color="auto"/>
            <w:right w:val="none" w:sz="0" w:space="0" w:color="auto"/>
          </w:divBdr>
        </w:div>
        <w:div w:id="972098648">
          <w:marLeft w:val="0"/>
          <w:marRight w:val="0"/>
          <w:marTop w:val="0"/>
          <w:marBottom w:val="0"/>
          <w:divBdr>
            <w:top w:val="none" w:sz="0" w:space="0" w:color="auto"/>
            <w:left w:val="none" w:sz="0" w:space="0" w:color="auto"/>
            <w:bottom w:val="none" w:sz="0" w:space="0" w:color="auto"/>
            <w:right w:val="none" w:sz="0" w:space="0" w:color="auto"/>
          </w:divBdr>
        </w:div>
        <w:div w:id="487675321">
          <w:marLeft w:val="0"/>
          <w:marRight w:val="0"/>
          <w:marTop w:val="0"/>
          <w:marBottom w:val="0"/>
          <w:divBdr>
            <w:top w:val="none" w:sz="0" w:space="0" w:color="auto"/>
            <w:left w:val="none" w:sz="0" w:space="0" w:color="auto"/>
            <w:bottom w:val="none" w:sz="0" w:space="0" w:color="auto"/>
            <w:right w:val="none" w:sz="0" w:space="0" w:color="auto"/>
          </w:divBdr>
        </w:div>
        <w:div w:id="820736401">
          <w:marLeft w:val="0"/>
          <w:marRight w:val="0"/>
          <w:marTop w:val="0"/>
          <w:marBottom w:val="0"/>
          <w:divBdr>
            <w:top w:val="none" w:sz="0" w:space="0" w:color="auto"/>
            <w:left w:val="none" w:sz="0" w:space="0" w:color="auto"/>
            <w:bottom w:val="none" w:sz="0" w:space="0" w:color="auto"/>
            <w:right w:val="none" w:sz="0" w:space="0" w:color="auto"/>
          </w:divBdr>
        </w:div>
        <w:div w:id="1622540563">
          <w:marLeft w:val="0"/>
          <w:marRight w:val="0"/>
          <w:marTop w:val="0"/>
          <w:marBottom w:val="0"/>
          <w:divBdr>
            <w:top w:val="none" w:sz="0" w:space="0" w:color="auto"/>
            <w:left w:val="none" w:sz="0" w:space="0" w:color="auto"/>
            <w:bottom w:val="none" w:sz="0" w:space="0" w:color="auto"/>
            <w:right w:val="none" w:sz="0" w:space="0" w:color="auto"/>
          </w:divBdr>
        </w:div>
        <w:div w:id="1343238712">
          <w:marLeft w:val="0"/>
          <w:marRight w:val="0"/>
          <w:marTop w:val="0"/>
          <w:marBottom w:val="0"/>
          <w:divBdr>
            <w:top w:val="none" w:sz="0" w:space="0" w:color="auto"/>
            <w:left w:val="none" w:sz="0" w:space="0" w:color="auto"/>
            <w:bottom w:val="none" w:sz="0" w:space="0" w:color="auto"/>
            <w:right w:val="none" w:sz="0" w:space="0" w:color="auto"/>
          </w:divBdr>
        </w:div>
        <w:div w:id="542642930">
          <w:marLeft w:val="0"/>
          <w:marRight w:val="0"/>
          <w:marTop w:val="0"/>
          <w:marBottom w:val="0"/>
          <w:divBdr>
            <w:top w:val="none" w:sz="0" w:space="0" w:color="auto"/>
            <w:left w:val="none" w:sz="0" w:space="0" w:color="auto"/>
            <w:bottom w:val="none" w:sz="0" w:space="0" w:color="auto"/>
            <w:right w:val="none" w:sz="0" w:space="0" w:color="auto"/>
          </w:divBdr>
        </w:div>
        <w:div w:id="1566450902">
          <w:marLeft w:val="0"/>
          <w:marRight w:val="0"/>
          <w:marTop w:val="0"/>
          <w:marBottom w:val="0"/>
          <w:divBdr>
            <w:top w:val="none" w:sz="0" w:space="0" w:color="auto"/>
            <w:left w:val="none" w:sz="0" w:space="0" w:color="auto"/>
            <w:bottom w:val="none" w:sz="0" w:space="0" w:color="auto"/>
            <w:right w:val="none" w:sz="0" w:space="0" w:color="auto"/>
          </w:divBdr>
        </w:div>
        <w:div w:id="877667531">
          <w:marLeft w:val="0"/>
          <w:marRight w:val="0"/>
          <w:marTop w:val="0"/>
          <w:marBottom w:val="0"/>
          <w:divBdr>
            <w:top w:val="none" w:sz="0" w:space="0" w:color="auto"/>
            <w:left w:val="none" w:sz="0" w:space="0" w:color="auto"/>
            <w:bottom w:val="none" w:sz="0" w:space="0" w:color="auto"/>
            <w:right w:val="none" w:sz="0" w:space="0" w:color="auto"/>
          </w:divBdr>
        </w:div>
        <w:div w:id="18425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964</Words>
  <Characters>5498</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Justervesenet</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Berit Hallenstvedt</dc:creator>
  <cp:keywords/>
  <dc:description/>
  <cp:lastModifiedBy>Dimitris Dimitriadis</cp:lastModifiedBy>
  <cp:revision>4</cp:revision>
  <dcterms:created xsi:type="dcterms:W3CDTF">2021-08-20T09:04:00Z</dcterms:created>
  <dcterms:modified xsi:type="dcterms:W3CDTF">2021-08-30T09:01:00Z</dcterms:modified>
</cp:coreProperties>
</file>