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B99" w:rsidRPr="00F030BF" w:rsidRDefault="00930B99" w:rsidP="00A358E1">
      <w:pPr>
        <w:spacing w:line="276" w:lineRule="auto"/>
        <w:ind w:right="30"/>
        <w:jc w:val="center"/>
        <w:rPr>
          <w:sz w:val="56"/>
          <w:szCs w:val="20"/>
          <w:lang w:val="en-US"/>
        </w:rPr>
      </w:pPr>
      <w:r w:rsidRPr="00F030BF">
        <w:rPr>
          <w:rFonts w:ascii="Courier New" w:hAnsi="Courier New"/>
          <w:sz w:val="20"/>
          <w:lang w:val="en-US"/>
        </w:rPr>
        <w:t>1. -----IND- 2019 0472 SK- IT- ------ 20200804 --- --- FINAL</w:t>
      </w:r>
    </w:p>
    <w:p w:rsidR="009A7616" w:rsidRPr="00F030BF" w:rsidRDefault="00F72AF9" w:rsidP="00A358E1">
      <w:pPr>
        <w:spacing w:line="276" w:lineRule="auto"/>
        <w:ind w:right="30"/>
        <w:jc w:val="center"/>
        <w:rPr>
          <w:sz w:val="56"/>
          <w:szCs w:val="20"/>
          <w:lang w:val="en-US"/>
        </w:rPr>
      </w:pPr>
      <w:r w:rsidRPr="00F030BF">
        <w:rPr>
          <w:sz w:val="56"/>
          <w:lang w:val="en-US"/>
        </w:rPr>
        <w:t xml:space="preserve">GAZZETTA   </w:t>
      </w:r>
      <w:r>
        <w:rPr>
          <w:noProof/>
          <w:lang w:val="en-US" w:eastAsia="en-US" w:bidi="ar-SA"/>
        </w:rP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sidRPr="00F030BF">
        <w:rPr>
          <w:sz w:val="56"/>
          <w:lang w:val="en-US"/>
        </w:rPr>
        <w:t xml:space="preserve">   UFFICIALE</w:t>
      </w:r>
    </w:p>
    <w:p w:rsidR="009A7616" w:rsidRPr="004363D5" w:rsidRDefault="00F72AF9" w:rsidP="00A358E1">
      <w:pPr>
        <w:spacing w:line="276" w:lineRule="auto"/>
        <w:ind w:right="30"/>
        <w:jc w:val="center"/>
        <w:rPr>
          <w:sz w:val="40"/>
          <w:szCs w:val="20"/>
        </w:rPr>
      </w:pPr>
      <w:r>
        <w:rPr>
          <w:sz w:val="40"/>
        </w:rPr>
        <w:t>DELLA REPUBBLICA SLOVACCA</w:t>
      </w:r>
    </w:p>
    <w:p w:rsidR="009A7616" w:rsidRPr="004363D5" w:rsidRDefault="00F72AF9" w:rsidP="00A358E1">
      <w:pPr>
        <w:spacing w:line="276" w:lineRule="auto"/>
        <w:ind w:right="30"/>
        <w:jc w:val="center"/>
        <w:rPr>
          <w:sz w:val="36"/>
          <w:szCs w:val="20"/>
        </w:rPr>
      </w:pPr>
      <w:r>
        <w:rPr>
          <w:sz w:val="36"/>
        </w:rPr>
        <w:t>Edizione 2020</w:t>
      </w:r>
    </w:p>
    <w:p w:rsidR="00FF785C" w:rsidRPr="004363D5" w:rsidRDefault="00F72AF9" w:rsidP="00A358E1">
      <w:pPr>
        <w:pBdr>
          <w:top w:val="single" w:sz="4" w:space="1" w:color="auto"/>
        </w:pBdr>
        <w:tabs>
          <w:tab w:val="right" w:pos="9000"/>
        </w:tabs>
        <w:spacing w:line="276" w:lineRule="auto"/>
        <w:ind w:right="30"/>
        <w:jc w:val="both"/>
        <w:rPr>
          <w:sz w:val="20"/>
          <w:szCs w:val="20"/>
        </w:rPr>
      </w:pPr>
      <w:r>
        <w:rPr>
          <w:sz w:val="20"/>
        </w:rPr>
        <w:t>Data di pubblicazione: 24. 1. 2020</w:t>
      </w:r>
      <w:r>
        <w:rPr>
          <w:sz w:val="20"/>
        </w:rPr>
        <w:tab/>
        <w:t xml:space="preserve">Versione pubblicata nella Gazzetta ufficiale della Repubblica slovacca </w:t>
      </w:r>
    </w:p>
    <w:p w:rsidR="00A6117D" w:rsidRPr="004363D5" w:rsidRDefault="00A6117D" w:rsidP="00A358E1">
      <w:pPr>
        <w:pBdr>
          <w:top w:val="single" w:sz="4" w:space="1" w:color="auto"/>
        </w:pBdr>
        <w:tabs>
          <w:tab w:val="left" w:pos="3680"/>
        </w:tabs>
        <w:spacing w:line="276" w:lineRule="auto"/>
        <w:ind w:right="30"/>
        <w:jc w:val="center"/>
        <w:rPr>
          <w:sz w:val="20"/>
          <w:szCs w:val="20"/>
        </w:rPr>
      </w:pPr>
    </w:p>
    <w:p w:rsidR="009A7616" w:rsidRPr="004363D5" w:rsidRDefault="00F72AF9" w:rsidP="00A358E1">
      <w:pPr>
        <w:pBdr>
          <w:top w:val="single" w:sz="4" w:space="1" w:color="auto"/>
        </w:pBdr>
        <w:tabs>
          <w:tab w:val="left" w:pos="3680"/>
        </w:tabs>
        <w:spacing w:line="276" w:lineRule="auto"/>
        <w:ind w:right="30"/>
        <w:jc w:val="center"/>
        <w:rPr>
          <w:sz w:val="20"/>
          <w:szCs w:val="20"/>
        </w:rPr>
      </w:pPr>
      <w:r>
        <w:rPr>
          <w:sz w:val="20"/>
        </w:rPr>
        <w:t>Il contenuto del documento è giuridicamente vincolante.</w:t>
      </w:r>
    </w:p>
    <w:p w:rsidR="00FF785C" w:rsidRPr="004363D5" w:rsidRDefault="00FF785C" w:rsidP="00A358E1">
      <w:pPr>
        <w:pStyle w:val="Heading1"/>
        <w:spacing w:before="0" w:line="276" w:lineRule="auto"/>
        <w:ind w:left="0" w:right="30"/>
        <w:jc w:val="center"/>
        <w:rPr>
          <w:rFonts w:ascii="Times New Roman" w:hAnsi="Times New Roman" w:cs="Times New Roman"/>
          <w:b/>
        </w:rPr>
      </w:pPr>
    </w:p>
    <w:p w:rsidR="009A7616" w:rsidRPr="004363D5" w:rsidRDefault="00F72AF9" w:rsidP="00A358E1">
      <w:pPr>
        <w:pStyle w:val="Heading1"/>
        <w:spacing w:before="0" w:line="276" w:lineRule="auto"/>
        <w:ind w:left="0" w:right="30"/>
        <w:jc w:val="center"/>
        <w:rPr>
          <w:rFonts w:ascii="Times New Roman" w:hAnsi="Times New Roman" w:cs="Times New Roman"/>
          <w:b/>
        </w:rPr>
      </w:pPr>
      <w:r>
        <w:rPr>
          <w:rFonts w:ascii="Times New Roman" w:hAnsi="Times New Roman"/>
          <w:b/>
        </w:rPr>
        <w:t>17</w:t>
      </w:r>
    </w:p>
    <w:p w:rsidR="009A7616" w:rsidRPr="004363D5" w:rsidRDefault="00F72AF9" w:rsidP="00A358E1">
      <w:pPr>
        <w:spacing w:line="276" w:lineRule="auto"/>
        <w:ind w:right="30"/>
        <w:jc w:val="center"/>
        <w:rPr>
          <w:b/>
          <w:sz w:val="20"/>
          <w:szCs w:val="20"/>
        </w:rPr>
      </w:pPr>
      <w:r>
        <w:rPr>
          <w:b/>
          <w:sz w:val="20"/>
        </w:rPr>
        <w:t>DECRETO</w:t>
      </w:r>
    </w:p>
    <w:p w:rsidR="009A7616" w:rsidRPr="004363D5" w:rsidRDefault="00F72AF9" w:rsidP="00A358E1">
      <w:pPr>
        <w:spacing w:line="276" w:lineRule="auto"/>
        <w:ind w:right="30"/>
        <w:jc w:val="center"/>
        <w:rPr>
          <w:b/>
          <w:sz w:val="20"/>
          <w:szCs w:val="20"/>
        </w:rPr>
      </w:pPr>
      <w:r>
        <w:rPr>
          <w:b/>
          <w:sz w:val="20"/>
        </w:rPr>
        <w:t>del ministero dei Trasporti e dell'edilizia della Repubblica Slovacca</w:t>
      </w:r>
    </w:p>
    <w:p w:rsidR="009A7616" w:rsidRPr="004363D5" w:rsidRDefault="00F72AF9" w:rsidP="00A358E1">
      <w:pPr>
        <w:spacing w:line="276" w:lineRule="auto"/>
        <w:ind w:right="30"/>
        <w:jc w:val="center"/>
        <w:rPr>
          <w:sz w:val="20"/>
          <w:szCs w:val="20"/>
        </w:rPr>
      </w:pPr>
      <w:r>
        <w:rPr>
          <w:sz w:val="20"/>
        </w:rPr>
        <w:t>del 14 gennaio 2020,</w:t>
      </w:r>
    </w:p>
    <w:p w:rsidR="009A7616" w:rsidRPr="004363D5" w:rsidRDefault="00F72AF9" w:rsidP="00A358E1">
      <w:pPr>
        <w:spacing w:line="276" w:lineRule="auto"/>
        <w:ind w:right="30"/>
        <w:jc w:val="center"/>
        <w:rPr>
          <w:b/>
          <w:sz w:val="20"/>
          <w:szCs w:val="20"/>
        </w:rPr>
      </w:pPr>
      <w:r>
        <w:rPr>
          <w:b/>
          <w:sz w:val="20"/>
        </w:rPr>
        <w:t>che modifica e integra il decreto del ministero dei Trasporti, dell'edilizia e dello sviluppo regionale della Repubblica slovacca n. 162/2013 Racc. che stabilisce l'elenco dei gruppi di prodotti da costruzione e dei criteri di valutazione delle relative prestazioni, come modificato dal decreto n. 177/2016 Racc.</w:t>
      </w: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F72AF9" w:rsidP="00A358E1">
      <w:pPr>
        <w:spacing w:line="276" w:lineRule="auto"/>
        <w:ind w:right="30" w:firstLine="270"/>
        <w:rPr>
          <w:sz w:val="20"/>
          <w:szCs w:val="20"/>
        </w:rPr>
      </w:pPr>
      <w:r>
        <w:rPr>
          <w:sz w:val="20"/>
        </w:rPr>
        <w:t>Il ministero dei Trasporti e dell'edilizia della Repubblica slovacca, ai sensi dell'articolo 13, paragrafo 2, della legge n. 133/2013 Racc. sui prodotti da costruzione e che modifica e integra alcune leggi, stabilisce quanto segue:</w:t>
      </w:r>
    </w:p>
    <w:p w:rsidR="00FF785C" w:rsidRPr="004363D5" w:rsidRDefault="00FF785C" w:rsidP="00A358E1">
      <w:pPr>
        <w:spacing w:line="276" w:lineRule="auto"/>
        <w:ind w:right="30"/>
        <w:jc w:val="center"/>
        <w:rPr>
          <w:b/>
          <w:sz w:val="20"/>
          <w:szCs w:val="20"/>
        </w:rPr>
      </w:pPr>
    </w:p>
    <w:p w:rsidR="009A7616" w:rsidRPr="004363D5" w:rsidRDefault="00F72AF9" w:rsidP="00A358E1">
      <w:pPr>
        <w:spacing w:line="276" w:lineRule="auto"/>
        <w:ind w:right="30"/>
        <w:jc w:val="center"/>
        <w:rPr>
          <w:b/>
          <w:sz w:val="20"/>
          <w:szCs w:val="20"/>
        </w:rPr>
      </w:pPr>
      <w:r>
        <w:rPr>
          <w:b/>
          <w:sz w:val="20"/>
        </w:rPr>
        <w:t>Articolo I</w:t>
      </w:r>
    </w:p>
    <w:p w:rsidR="00FF785C" w:rsidRPr="004363D5" w:rsidRDefault="00FF785C" w:rsidP="00A358E1">
      <w:pPr>
        <w:spacing w:line="276" w:lineRule="auto"/>
        <w:ind w:right="30"/>
        <w:jc w:val="center"/>
        <w:rPr>
          <w:b/>
          <w:sz w:val="20"/>
          <w:szCs w:val="20"/>
        </w:rPr>
      </w:pPr>
    </w:p>
    <w:p w:rsidR="009A7616" w:rsidRPr="004363D5" w:rsidRDefault="00F72AF9" w:rsidP="00A358E1">
      <w:pPr>
        <w:spacing w:line="276" w:lineRule="auto"/>
        <w:ind w:right="30" w:firstLine="270"/>
        <w:jc w:val="both"/>
        <w:rPr>
          <w:sz w:val="20"/>
          <w:szCs w:val="20"/>
        </w:rPr>
      </w:pPr>
      <w:r>
        <w:rPr>
          <w:sz w:val="20"/>
        </w:rPr>
        <w:t>Il decreto del ministero dei Trasporti, dell'edilizia e dello sviluppo regionale della Repubblica slovacca n. 162/2013 Racc. che stabilisce l'elenco dei gruppi di prodotti da costruzione e dei criteri di valutazione delle relative prestazioni, come modificato dal decreto n. 177/2016 Racc., è modificato e integrato come segue:</w:t>
      </w:r>
    </w:p>
    <w:p w:rsidR="009A7616" w:rsidRPr="004363D5"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Dopo l'articolo 7a è inserito l'articolo 7b, che recita:</w:t>
      </w:r>
    </w:p>
    <w:p w:rsidR="009A7616" w:rsidRPr="004363D5" w:rsidRDefault="009A7616" w:rsidP="00A358E1">
      <w:pPr>
        <w:pStyle w:val="BodyText"/>
        <w:spacing w:line="276" w:lineRule="auto"/>
        <w:ind w:right="30"/>
        <w:rPr>
          <w:sz w:val="20"/>
          <w:szCs w:val="20"/>
        </w:rPr>
      </w:pPr>
    </w:p>
    <w:p w:rsidR="009A7616" w:rsidRPr="004363D5" w:rsidRDefault="00F72AF9" w:rsidP="00A358E1">
      <w:pPr>
        <w:spacing w:line="276" w:lineRule="auto"/>
        <w:ind w:right="30"/>
        <w:jc w:val="center"/>
        <w:rPr>
          <w:b/>
          <w:sz w:val="20"/>
          <w:szCs w:val="20"/>
        </w:rPr>
      </w:pPr>
      <w:r>
        <w:rPr>
          <w:b/>
          <w:sz w:val="20"/>
        </w:rPr>
        <w:t>"Articolo 7b</w:t>
      </w:r>
    </w:p>
    <w:p w:rsidR="009A7616" w:rsidRPr="004363D5" w:rsidRDefault="00F72AF9" w:rsidP="00A358E1">
      <w:pPr>
        <w:spacing w:line="276" w:lineRule="auto"/>
        <w:ind w:right="30"/>
        <w:jc w:val="center"/>
        <w:rPr>
          <w:b/>
          <w:sz w:val="20"/>
          <w:szCs w:val="20"/>
        </w:rPr>
      </w:pPr>
      <w:r>
        <w:rPr>
          <w:b/>
          <w:sz w:val="20"/>
        </w:rPr>
        <w:t>Disposizioni transitorie relative alle modifiche in vigore dal 1° marzo 2020</w:t>
      </w:r>
    </w:p>
    <w:p w:rsidR="00FC2E47" w:rsidRPr="004363D5" w:rsidRDefault="00FC2E47" w:rsidP="00A358E1">
      <w:pPr>
        <w:spacing w:line="276" w:lineRule="auto"/>
        <w:ind w:right="30"/>
        <w:jc w:val="center"/>
        <w:rPr>
          <w:b/>
          <w:sz w:val="20"/>
          <w:szCs w:val="20"/>
        </w:rPr>
      </w:pPr>
    </w:p>
    <w:p w:rsidR="009A7616" w:rsidRPr="004363D5"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La valutazione delle prestazioni dei prodotti da costruzione, avviata ma non conclusa entro il 29 febbraio 2020, è effettuata in conformità della normativa attualmente in vigore entro il 31 agosto 2020.</w:t>
      </w:r>
    </w:p>
    <w:p w:rsidR="00FC2E47" w:rsidRPr="004363D5"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rsidR="009A7616" w:rsidRPr="004363D5" w:rsidRDefault="00F72AF9" w:rsidP="00A358E1">
      <w:pPr>
        <w:pStyle w:val="ListParagraph"/>
        <w:numPr>
          <w:ilvl w:val="1"/>
          <w:numId w:val="1"/>
        </w:numPr>
        <w:tabs>
          <w:tab w:val="left" w:pos="900"/>
        </w:tabs>
        <w:spacing w:before="0" w:line="276" w:lineRule="auto"/>
        <w:ind w:left="360" w:right="29" w:firstLine="180"/>
        <w:rPr>
          <w:rFonts w:ascii="Times New Roman" w:hAnsi="Times New Roman" w:cs="Times New Roman"/>
          <w:sz w:val="20"/>
          <w:szCs w:val="20"/>
        </w:rPr>
      </w:pPr>
      <w:r>
        <w:rPr>
          <w:rFonts w:ascii="Times New Roman" w:hAnsi="Times New Roman"/>
          <w:sz w:val="20"/>
        </w:rPr>
        <w:t>La valutazione delle prestazioni dei prodotti da costruzione dei gruppi n. 0409, 0410, 0511, 0517, 0522, 0523, 0524, 0525, 0702, 0716, 1005, 1201, 1607, 1901, 2205, 2206, 3101, 3311, 3314, 3805, 4106, 4601, 4611, 4614 è effettuata secondo le modalità prescritte entro il 31 agosto 2020.".</w:t>
      </w:r>
    </w:p>
    <w:p w:rsidR="009A7616" w:rsidRPr="004363D5" w:rsidRDefault="00F72AF9" w:rsidP="00A358E1">
      <w:pPr>
        <w:pStyle w:val="ListParagraph"/>
        <w:numPr>
          <w:ilvl w:val="0"/>
          <w:numId w:val="1"/>
        </w:numPr>
        <w:spacing w:before="0" w:line="276" w:lineRule="auto"/>
        <w:ind w:left="360" w:right="30" w:hanging="360"/>
        <w:rPr>
          <w:rFonts w:ascii="Times New Roman" w:hAnsi="Times New Roman" w:cs="Times New Roman"/>
          <w:sz w:val="20"/>
          <w:szCs w:val="20"/>
        </w:rPr>
      </w:pPr>
      <w:r>
        <w:rPr>
          <w:rFonts w:ascii="Times New Roman" w:hAnsi="Times New Roman"/>
          <w:sz w:val="20"/>
        </w:rPr>
        <w:t>L'allegato 1 recita:</w:t>
      </w:r>
    </w:p>
    <w:p w:rsidR="009A7616" w:rsidRPr="004363D5" w:rsidRDefault="00F72AF9" w:rsidP="00A358E1">
      <w:pPr>
        <w:pageBreakBefore/>
        <w:spacing w:line="276" w:lineRule="auto"/>
        <w:ind w:right="29"/>
        <w:jc w:val="right"/>
        <w:rPr>
          <w:b/>
          <w:sz w:val="20"/>
          <w:szCs w:val="20"/>
        </w:rPr>
      </w:pPr>
      <w:r>
        <w:rPr>
          <w:sz w:val="20"/>
        </w:rPr>
        <w:lastRenderedPageBreak/>
        <w:t>"</w:t>
      </w:r>
      <w:r>
        <w:rPr>
          <w:b/>
          <w:sz w:val="20"/>
        </w:rPr>
        <w:t>Allegato 1</w:t>
      </w:r>
    </w:p>
    <w:p w:rsidR="009A7616" w:rsidRPr="004363D5" w:rsidRDefault="00F72AF9" w:rsidP="00A358E1">
      <w:pPr>
        <w:spacing w:line="276" w:lineRule="auto"/>
        <w:ind w:right="30"/>
        <w:jc w:val="right"/>
        <w:rPr>
          <w:b/>
          <w:sz w:val="20"/>
          <w:szCs w:val="20"/>
        </w:rPr>
      </w:pPr>
      <w:r>
        <w:rPr>
          <w:b/>
          <w:sz w:val="20"/>
        </w:rPr>
        <w:t>al decreto n. 162/2013 Racc.</w:t>
      </w:r>
    </w:p>
    <w:p w:rsidR="009A7616" w:rsidRPr="004363D5" w:rsidRDefault="009A7616" w:rsidP="00A358E1">
      <w:pPr>
        <w:pStyle w:val="BodyText"/>
        <w:spacing w:line="276" w:lineRule="auto"/>
        <w:ind w:right="30"/>
        <w:rPr>
          <w:b/>
          <w:sz w:val="20"/>
          <w:szCs w:val="20"/>
        </w:rPr>
      </w:pPr>
    </w:p>
    <w:p w:rsidR="009A7616" w:rsidRPr="004363D5" w:rsidRDefault="00F72AF9" w:rsidP="00A358E1">
      <w:pPr>
        <w:spacing w:line="276" w:lineRule="auto"/>
        <w:ind w:right="30"/>
        <w:jc w:val="center"/>
        <w:rPr>
          <w:b/>
          <w:sz w:val="20"/>
          <w:szCs w:val="20"/>
        </w:rPr>
      </w:pPr>
      <w:r>
        <w:rPr>
          <w:b/>
          <w:sz w:val="20"/>
        </w:rPr>
        <w:t>GRUPPI DI PRODOTTI DA COSTRUZIONE E RELATIVI CRITERI DI VALUTAZIONE DELLE PRESTAZIONI</w:t>
      </w:r>
    </w:p>
    <w:p w:rsidR="009A7616" w:rsidRPr="004363D5"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4363D5" w:rsidTr="00F90EC5">
        <w:trPr>
          <w:jc w:val="center"/>
        </w:trPr>
        <w:tc>
          <w:tcPr>
            <w:tcW w:w="8185" w:type="dxa"/>
            <w:gridSpan w:val="4"/>
          </w:tcPr>
          <w:p w:rsidR="009A7616" w:rsidRPr="004363D5" w:rsidRDefault="00F72AF9" w:rsidP="00A358E1">
            <w:pPr>
              <w:pStyle w:val="TableParagraph"/>
              <w:spacing w:before="0" w:line="276" w:lineRule="auto"/>
              <w:ind w:left="0" w:right="30"/>
              <w:jc w:val="center"/>
              <w:rPr>
                <w:b/>
                <w:sz w:val="20"/>
                <w:szCs w:val="20"/>
              </w:rPr>
            </w:pPr>
            <w:r>
              <w:rPr>
                <w:b/>
                <w:sz w:val="20"/>
              </w:rPr>
              <w:t>Ambito di utilizzo dei prodotti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Numero</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Denominazione del gruppo di prodotti</w:t>
            </w:r>
          </w:p>
        </w:tc>
        <w:tc>
          <w:tcPr>
            <w:tcW w:w="1674" w:type="dxa"/>
          </w:tcPr>
          <w:p w:rsidR="009A7616" w:rsidRPr="004363D5" w:rsidRDefault="00F72AF9" w:rsidP="00A358E1">
            <w:pPr>
              <w:pStyle w:val="TableParagraph"/>
              <w:spacing w:before="0" w:line="276" w:lineRule="auto"/>
              <w:ind w:left="0" w:right="30"/>
              <w:rPr>
                <w:sz w:val="20"/>
                <w:szCs w:val="20"/>
              </w:rPr>
            </w:pPr>
            <w:r>
              <w:rPr>
                <w:sz w:val="20"/>
              </w:rPr>
              <w:t>Suddivisione del gruppo</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SVP</w:t>
            </w:r>
            <w:r>
              <w:rPr>
                <w:sz w:val="20"/>
                <w:vertAlign w:val="superscript"/>
              </w:rPr>
              <w:t>a</w:t>
            </w:r>
            <w:r>
              <w:rPr>
                <w:sz w:val="20"/>
              </w:rPr>
              <w:t>)</w:t>
            </w:r>
          </w:p>
        </w:tc>
      </w:tr>
      <w:tr w:rsidR="009A7616" w:rsidRPr="004363D5" w:rsidTr="00F90EC5">
        <w:trPr>
          <w:jc w:val="center"/>
        </w:trPr>
        <w:tc>
          <w:tcPr>
            <w:tcW w:w="8185" w:type="dxa"/>
            <w:gridSpan w:val="4"/>
          </w:tcPr>
          <w:p w:rsidR="009A7616" w:rsidRPr="004363D5" w:rsidRDefault="00F72AF9" w:rsidP="00A358E1">
            <w:pPr>
              <w:pStyle w:val="TableParagraph"/>
              <w:spacing w:before="0" w:line="276" w:lineRule="auto"/>
              <w:ind w:left="0" w:right="30"/>
              <w:rPr>
                <w:b/>
                <w:sz w:val="20"/>
                <w:szCs w:val="20"/>
              </w:rPr>
            </w:pPr>
            <w:r>
              <w:rPr>
                <w:b/>
                <w:sz w:val="20"/>
              </w:rPr>
              <w:t>Prodotti per il trattamento del basamento degli edifici e delle strutture terrestri e per le fondazioni</w:t>
            </w:r>
          </w:p>
        </w:tc>
      </w:tr>
      <w:tr w:rsidR="009A7616" w:rsidRPr="004363D5" w:rsidTr="008E04D0">
        <w:trPr>
          <w:jc w:val="center"/>
        </w:trPr>
        <w:tc>
          <w:tcPr>
            <w:tcW w:w="478" w:type="dxa"/>
            <w:vMerge w:val="restart"/>
          </w:tcPr>
          <w:p w:rsidR="009A7616" w:rsidRPr="004363D5" w:rsidRDefault="00F72AF9" w:rsidP="00A358E1">
            <w:pPr>
              <w:pStyle w:val="TableParagraph"/>
              <w:spacing w:before="0" w:line="276" w:lineRule="auto"/>
              <w:ind w:left="0" w:right="30"/>
              <w:rPr>
                <w:sz w:val="20"/>
                <w:szCs w:val="20"/>
              </w:rPr>
            </w:pPr>
            <w:r>
              <w:rPr>
                <w:sz w:val="20"/>
              </w:rPr>
              <w:t>0101</w:t>
            </w:r>
          </w:p>
        </w:tc>
        <w:tc>
          <w:tcPr>
            <w:tcW w:w="5436" w:type="dxa"/>
            <w:vMerge w:val="restart"/>
          </w:tcPr>
          <w:p w:rsidR="009A7616" w:rsidRPr="004363D5" w:rsidRDefault="00F72AF9" w:rsidP="00A358E1">
            <w:pPr>
              <w:pStyle w:val="TableParagraph"/>
              <w:spacing w:before="0" w:line="276" w:lineRule="auto"/>
              <w:ind w:left="0" w:right="30"/>
              <w:rPr>
                <w:sz w:val="20"/>
                <w:szCs w:val="20"/>
              </w:rPr>
            </w:pPr>
            <w:r>
              <w:rPr>
                <w:sz w:val="20"/>
              </w:rPr>
              <w:t>Geosintetici (membrane e tessili), geocompositi, geogriglie, geomembrane e georeti di separazione, protezione, drenaggio, filtraggio o consolidamento di terreni</w:t>
            </w:r>
          </w:p>
        </w:tc>
        <w:tc>
          <w:tcPr>
            <w:tcW w:w="1674" w:type="dxa"/>
          </w:tcPr>
          <w:p w:rsidR="009A7616" w:rsidRPr="004363D5" w:rsidRDefault="00F72AF9"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2271" w:type="dxa"/>
            <w:gridSpan w:val="2"/>
          </w:tcPr>
          <w:p w:rsidR="009A7616" w:rsidRPr="004363D5" w:rsidRDefault="00F72AF9" w:rsidP="00A358E1">
            <w:pPr>
              <w:pStyle w:val="TableParagraph"/>
              <w:spacing w:before="0" w:line="276" w:lineRule="auto"/>
              <w:ind w:left="0" w:right="30"/>
              <w:rPr>
                <w:sz w:val="20"/>
                <w:szCs w:val="20"/>
              </w:rPr>
            </w:pPr>
            <w:r>
              <w:rPr>
                <w:sz w:val="20"/>
              </w:rPr>
              <w:t>Per gli usi a cui si applica la normativa di sicurezza antincendio (NSA), suddivisi in base alla natura della classe di reazione al fuoco (CRF):</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1</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4</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3</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0104</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Miscele stabilizzanti e impermeabilizzanti per fondamenta di edifici, comprese le basi dei terrapieni di strade e ferrovie</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0105</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Pali prefabbricati e relativi elementi strutturali</w:t>
            </w:r>
            <w:r>
              <w:rPr>
                <w:sz w:val="20"/>
                <w:vertAlign w:val="superscript"/>
              </w:rPr>
              <w:t>b</w:t>
            </w:r>
            <w:r>
              <w:rPr>
                <w:sz w:val="20"/>
              </w:rPr>
              <w:t>)</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0106</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Travi e basi di fondazione</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rPr>
              <w:t>Prodotti di ancoraggio alle rocce e agli strati portanti dei terreni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0201</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Ancoraggi da terra e da roccia</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III</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rPr>
              <w:t>Prodotti per muri di sostegno e opere idrauliche</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0301</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Elementi di muri di sostegno in calcestruzzo</w:t>
            </w:r>
            <w:r>
              <w:rPr>
                <w:sz w:val="20"/>
                <w:vertAlign w:val="superscript"/>
              </w:rPr>
              <w:t>c</w:t>
            </w:r>
            <w:r>
              <w:rPr>
                <w:sz w:val="20"/>
              </w:rPr>
              <w:t>)</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0302</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Pietra per gabbioni</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0303</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Reti per gabbioni</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rPr>
              <w:t>0304</w:t>
            </w:r>
          </w:p>
        </w:tc>
        <w:tc>
          <w:tcPr>
            <w:tcW w:w="5436" w:type="dxa"/>
          </w:tcPr>
          <w:p w:rsidR="009A7616" w:rsidRPr="004363D5" w:rsidRDefault="00F72AF9" w:rsidP="00A358E1">
            <w:pPr>
              <w:pStyle w:val="TableParagraph"/>
              <w:spacing w:before="0" w:line="276" w:lineRule="auto"/>
              <w:ind w:left="0" w:right="30"/>
              <w:rPr>
                <w:sz w:val="20"/>
                <w:szCs w:val="20"/>
              </w:rPr>
            </w:pPr>
            <w:r>
              <w:rPr>
                <w:sz w:val="20"/>
              </w:rPr>
              <w:t>Blocchi per gabbioni</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rPr>
              <w:t>II+ (2+)</w:t>
            </w:r>
          </w:p>
        </w:tc>
      </w:tr>
      <w:tr w:rsidR="009A7616" w:rsidRPr="004363D5" w:rsidTr="008E04D0">
        <w:trPr>
          <w:jc w:val="center"/>
        </w:trPr>
        <w:tc>
          <w:tcPr>
            <w:tcW w:w="478" w:type="dxa"/>
            <w:vMerge w:val="restart"/>
          </w:tcPr>
          <w:p w:rsidR="009A7616" w:rsidRPr="004363D5" w:rsidRDefault="00F72AF9" w:rsidP="00A358E1">
            <w:pPr>
              <w:pStyle w:val="TableParagraph"/>
              <w:spacing w:before="0" w:line="276" w:lineRule="auto"/>
              <w:ind w:left="0" w:right="30"/>
              <w:rPr>
                <w:sz w:val="20"/>
                <w:szCs w:val="20"/>
              </w:rPr>
            </w:pPr>
            <w:r>
              <w:rPr>
                <w:sz w:val="20"/>
              </w:rPr>
              <w:t>0305</w:t>
            </w:r>
          </w:p>
        </w:tc>
        <w:tc>
          <w:tcPr>
            <w:tcW w:w="5436" w:type="dxa"/>
            <w:vMerge w:val="restart"/>
          </w:tcPr>
          <w:p w:rsidR="009A7616" w:rsidRPr="004363D5" w:rsidRDefault="00F72AF9" w:rsidP="00A358E1">
            <w:pPr>
              <w:pStyle w:val="TableParagraph"/>
              <w:spacing w:before="0" w:line="276" w:lineRule="auto"/>
              <w:ind w:left="0" w:right="30"/>
              <w:rPr>
                <w:sz w:val="20"/>
                <w:szCs w:val="20"/>
              </w:rPr>
            </w:pPr>
            <w:r>
              <w:rPr>
                <w:sz w:val="20"/>
              </w:rPr>
              <w:t>Pietra per opere idrauliche</w:t>
            </w:r>
          </w:p>
        </w:tc>
        <w:tc>
          <w:tcPr>
            <w:tcW w:w="2271" w:type="dxa"/>
            <w:gridSpan w:val="2"/>
          </w:tcPr>
          <w:p w:rsidR="009A7616" w:rsidRPr="004363D5" w:rsidRDefault="00F72AF9" w:rsidP="00A358E1">
            <w:pPr>
              <w:pStyle w:val="TableParagraph"/>
              <w:spacing w:before="0" w:line="276" w:lineRule="auto"/>
              <w:ind w:left="0" w:right="30"/>
              <w:rPr>
                <w:sz w:val="20"/>
                <w:szCs w:val="20"/>
              </w:rPr>
            </w:pPr>
            <w:r>
              <w:rPr>
                <w:sz w:val="20"/>
              </w:rPr>
              <w:t>Per categoria delle opere idrauliche:</w:t>
            </w:r>
            <w:r>
              <w:rPr>
                <w:sz w:val="20"/>
                <w:vertAlign w:val="superscript"/>
              </w:rPr>
              <w:t>9</w:t>
            </w:r>
            <w:r>
              <w:rPr>
                <w:sz w:val="20"/>
              </w:rPr>
              <w:t>)</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Categoria I, II e III</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2+</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rPr>
              <w:t>Categoria IV</w:t>
            </w:r>
          </w:p>
        </w:tc>
        <w:tc>
          <w:tcPr>
            <w:tcW w:w="597" w:type="dxa"/>
          </w:tcPr>
          <w:p w:rsidR="009A7616" w:rsidRPr="004363D5" w:rsidRDefault="00F72AF9" w:rsidP="00A358E1">
            <w:pPr>
              <w:pStyle w:val="TableParagraph"/>
              <w:spacing w:before="0" w:line="276" w:lineRule="auto"/>
              <w:ind w:left="0" w:right="30"/>
              <w:rPr>
                <w:sz w:val="20"/>
                <w:szCs w:val="20"/>
              </w:rPr>
            </w:pPr>
            <w:r>
              <w:rPr>
                <w:sz w:val="20"/>
              </w:rPr>
              <w:t>4</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rPr>
              <w:t>Membrane protettive contro l'umidità, l'acqua e il radon</w:t>
            </w:r>
          </w:p>
        </w:tc>
      </w:tr>
      <w:tr w:rsidR="00A065E5" w:rsidRPr="004363D5" w:rsidTr="002F5637">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t>0401</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0402</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0403</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0404</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0405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0406</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Membrane impermeabilizzanti e contro il radon e pellicole per pavimentazioni di superficie (senza cantina) e per ambienti sotterranei (cantine)</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Membrane impermeabilizzanti per pareti in mattoni</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Membrane resistenti al vapore e permeabili al vapore per pareti e coperture</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Pellicole per rivestimenti di tetti e altre membrane di rivestimento di tetti</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Strati di base per tetti</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Pitture impermeabilizzanti per pavimentazione in superficie, per spazi sotterranei degli edifici e per pavimenti e rivestimenti</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 II+ (2+)e)</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 (1)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prodotti che devono essere sottoposti alla prova di RFE</w:t>
            </w:r>
            <w:r>
              <w:rPr>
                <w:sz w:val="20"/>
                <w:vertAlign w:val="superscript"/>
              </w:rPr>
              <w:t>f</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prodotti che non necessitano di prova di RFE</w:t>
            </w:r>
            <w:r>
              <w:rPr>
                <w:sz w:val="20"/>
                <w:vertAlign w:val="superscript"/>
              </w:rPr>
              <w:t>f</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0407</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Membrane impermeabilizzanti per impalcati di ponti in calcestruzzo</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2+</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0408</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Kit/sistemi impermeabilizzanti per impalcati di ponti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 (2+)</w:t>
            </w:r>
          </w:p>
        </w:tc>
      </w:tr>
      <w:tr w:rsidR="008E04D0" w:rsidRPr="004363D5" w:rsidTr="008E04D0">
        <w:trPr>
          <w:jc w:val="center"/>
        </w:trPr>
        <w:tc>
          <w:tcPr>
            <w:tcW w:w="478" w:type="dxa"/>
            <w:vMerge w:val="restart"/>
          </w:tcPr>
          <w:p w:rsidR="008E04D0" w:rsidRPr="004363D5" w:rsidRDefault="008E04D0" w:rsidP="00A358E1">
            <w:pPr>
              <w:pStyle w:val="TableParagraph"/>
              <w:spacing w:before="0" w:line="276" w:lineRule="auto"/>
              <w:ind w:left="0" w:right="30"/>
              <w:rPr>
                <w:sz w:val="20"/>
                <w:szCs w:val="20"/>
              </w:rPr>
            </w:pPr>
            <w:r>
              <w:rPr>
                <w:sz w:val="20"/>
              </w:rPr>
              <w:t>0409</w:t>
            </w:r>
          </w:p>
        </w:tc>
        <w:tc>
          <w:tcPr>
            <w:tcW w:w="5436" w:type="dxa"/>
            <w:vMerge w:val="restart"/>
          </w:tcPr>
          <w:p w:rsidR="008E04D0" w:rsidRPr="004363D5" w:rsidRDefault="008E04D0" w:rsidP="00A358E1">
            <w:pPr>
              <w:pStyle w:val="TableParagraph"/>
              <w:spacing w:before="0" w:line="276" w:lineRule="auto"/>
              <w:ind w:left="0" w:right="30"/>
              <w:rPr>
                <w:sz w:val="20"/>
                <w:szCs w:val="20"/>
              </w:rPr>
            </w:pPr>
            <w:r>
              <w:rPr>
                <w:sz w:val="20"/>
              </w:rPr>
              <w:t>Membrane e nastri impermeabilizzanti per giunti di dilatazione</w:t>
            </w:r>
          </w:p>
        </w:tc>
        <w:tc>
          <w:tcPr>
            <w:tcW w:w="1674" w:type="dxa"/>
          </w:tcPr>
          <w:p w:rsidR="008E04D0" w:rsidRPr="004363D5" w:rsidRDefault="008E04D0"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III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2271" w:type="dxa"/>
            <w:gridSpan w:val="2"/>
          </w:tcPr>
          <w:p w:rsidR="008E04D0" w:rsidRPr="004363D5" w:rsidRDefault="008E04D0"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8E04D0" w:rsidRPr="004363D5" w:rsidTr="008E04D0">
        <w:trPr>
          <w:jc w:val="center"/>
        </w:trPr>
        <w:tc>
          <w:tcPr>
            <w:tcW w:w="478" w:type="dxa"/>
            <w:vMerge/>
          </w:tcPr>
          <w:p w:rsidR="008E04D0" w:rsidRPr="004363D5" w:rsidRDefault="008E04D0" w:rsidP="00A358E1">
            <w:pPr>
              <w:pStyle w:val="TableParagraph"/>
              <w:spacing w:before="0" w:line="276" w:lineRule="auto"/>
              <w:ind w:left="0" w:right="30"/>
              <w:rPr>
                <w:sz w:val="20"/>
                <w:szCs w:val="20"/>
              </w:rPr>
            </w:pPr>
          </w:p>
        </w:tc>
        <w:tc>
          <w:tcPr>
            <w:tcW w:w="5436" w:type="dxa"/>
            <w:vMerge/>
          </w:tcPr>
          <w:p w:rsidR="008E04D0" w:rsidRPr="004363D5" w:rsidRDefault="008E04D0" w:rsidP="00A358E1">
            <w:pPr>
              <w:pStyle w:val="TableParagraph"/>
              <w:spacing w:before="0" w:line="276" w:lineRule="auto"/>
              <w:ind w:left="0"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III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8E04D0" w:rsidRPr="004363D5" w:rsidRDefault="008E04D0" w:rsidP="00A358E1">
            <w:pPr>
              <w:pStyle w:val="TableParagraph"/>
              <w:spacing w:before="0" w:line="276" w:lineRule="auto"/>
              <w:ind w:left="0" w:right="30"/>
              <w:rPr>
                <w:sz w:val="20"/>
                <w:szCs w:val="20"/>
              </w:rPr>
            </w:pPr>
            <w:r>
              <w:rPr>
                <w:sz w:val="20"/>
              </w:rPr>
              <w:t>IV</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0410</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Membrane, pellicole, pitture o sistemi impermeabilizzanti per piscine da interni</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rPr>
              <w:t>Prodotti per strade, marciapiedi e aree soggette a traffico</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Asfalto naturale e modificato ed emulsioni di asfalto per la costruzione e il rivestimento di strade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 (2+)</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0502</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Miscele di asfalto per la costruzione di strade e il rivestimento di aree soggette al traffico</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 (2+)</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Per gli usi a cui si applica la NSA, suddivisi in base alla CRF:</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A2FL, BFL, CFL) ai sensi dell'articolo 4, paragrafo 2, lettera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A2FL, BFL, CFL) ai sensi dell'articolo 4, paragrafo 2, lettera b), DFL, EFL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III (3)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(da A1FL a EFL), ai sensi dell'articolo 4, paragrafo 1, FFL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Perni e rivestimenti stradali per carreggiate in calcestruzzo</w:t>
            </w:r>
            <w:r>
              <w:rPr>
                <w:sz w:val="20"/>
                <w:vertAlign w:val="superscript"/>
              </w:rPr>
              <w:t>c</w:t>
            </w:r>
            <w:r>
              <w:rPr>
                <w:sz w:val="20"/>
              </w:rPr>
              <w: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Giunti di dilatazione per ponti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0505</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Elementi prefabbricati per parapetti di ponti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0506</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Giunti di dilatazione per aree soggette a traffico a eccezione dei ponti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0507</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Filler e mastici per marciapiedi a esclusione di impianti chimici, strade e altre aree soggette a traffico, piste aeroportuali e depuratori di acque di scarico</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Per gli usi a cui si applica la NSA, suddivisi in base alla CRF:</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lastRenderedPageBreak/>
              <w:t>0508</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Assi, lastre per pavimentazione e cordoli in pietra naturale per pavimentazione esterna</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0509</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Rivestimenti sagomati in calcestruzzo, piastrelle e cordoli per pavimentazione esterna</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0510</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Elementi in laterizio per pavimentazione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Elementi per pavimentazione, comprese lastre per pavimentazione, piastrelle, cordoli (tranne i prodotti dei gruppi 0508 e 0509), lucernari in vetrocemento, pavimenti in lastre metalliche, lastre in reticolato metallico o griglia metallica, griglie per pavimentazione e gradini in grigliato, elementi di pavimentazione rigidi, ardesie, mosaici e piastrelle di graniglia</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Elementi da costruzione per vegetazione per aree soggette a traffico di modesta entità</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Sistemi di protezione stradale – barriere di sicurezza, ammortizzatori, barriere mobili, funi e parapetti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Sistemi di protezione dei pedoni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0515</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Segnaletica stradale luminosa, luci di avvertimento fisse e paletti luminosi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0516</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Segnali stradali verticali, segnali stradali variabili, pali per segnali stradali e di segnaletica luminosa, pali di direzione, paletti stradali e dispositivi di direzione per installazione permanente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0517</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Segnali stradali orizzontali prefabbricati e marker stradali, catarifrangenti stradali ed elementi ottici per segnaletica stradale orizzontale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0518</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Pitture per segnaletica stradale orizzontale, resine termoplastiche applicate a caldo, resine applicate a freddo con o senza granuli antiderapanti e con o senza microsfere di vetro premiscelate, oppure immesse sul mercato con l'indicazione del tipo e della percentuale di microsfere di vetro o granuli antiderapanti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0519</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Microsfere di vetro, granuli antiderapanti e loro miscele utilizzate come materiali da spruzzare a posteriori su segnali stradali orizzontali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0520</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Barriere e impianti antirumore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Dispositivi antiabbagliamento da veicoli che procedono in senso opposto e altre fonti di luce esterne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3</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Elementi riflettenti che impediscono l'accesso agli animali selvatici alle strade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Prodotti per la creazione di percorsi di guida, avviso e segnalazione per i non vedenti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0524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Colle e materiali per incollare dispositivi di barriera e di guida fissi e segnali e segnaletica stradali orizzontali prefabbricati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III</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rPr>
              <w:t>0525</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rPr>
              <w:t>Prodotti speciali per il rivestimento delle superfici stradali</w:t>
            </w:r>
          </w:p>
        </w:tc>
        <w:tc>
          <w:tcPr>
            <w:tcW w:w="1674" w:type="dxa"/>
          </w:tcPr>
          <w:p w:rsidR="00F90EC5" w:rsidRPr="004363D5" w:rsidRDefault="00F90EC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rPr>
              <w:t>Per gli usi a cui si applica la NSA, suddivisi in base alla CRF:</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(A1FL, A2FL, BFL, CFL) ai sensi dell'articolo 4, paragrafo 2, lettera a)</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 xml:space="preserve">(A1FL, A2FL, </w:t>
            </w:r>
            <w:r>
              <w:rPr>
                <w:sz w:val="20"/>
              </w:rPr>
              <w:lastRenderedPageBreak/>
              <w:t>BFL, CFL) ai sensi dell'articolo 4, paragrafo 2, lettera b), DFL, EFL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lastRenderedPageBreak/>
              <w:t>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rPr>
              <w:t>(da A1FL a EFL), ai sensi dell'articolo 4, paragrafo 1, FFL</w:t>
            </w:r>
          </w:p>
        </w:tc>
        <w:tc>
          <w:tcPr>
            <w:tcW w:w="597" w:type="dxa"/>
          </w:tcPr>
          <w:p w:rsidR="00F90EC5" w:rsidRPr="004363D5" w:rsidRDefault="00F90EC5" w:rsidP="00A358E1">
            <w:pPr>
              <w:pStyle w:val="TableParagraph"/>
              <w:spacing w:before="0" w:line="276" w:lineRule="auto"/>
              <w:ind w:left="0" w:right="30"/>
              <w:rPr>
                <w:sz w:val="20"/>
                <w:szCs w:val="20"/>
              </w:rPr>
            </w:pPr>
            <w:r>
              <w:rPr>
                <w:sz w:val="20"/>
              </w:rPr>
              <w:t>IV</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rPr>
              <w:t>Pali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Pali per illuminazione in acciaio, alluminio e in polimeri fibrorinforzati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Pali per illuminazione in calcestruzzo armato e precompresso</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0603</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Pali di legno per elettrodotti aerei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2+</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0604</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Altri pali prefabbricati o loro parti strutturali prefabbricate per elettrodotti aerei, cavi di trazione, impianti di telecomunicazione, impianti eolici e simili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2+</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rPr>
              <w:t>Prodotti per il trattamento delle acque reflue</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0701</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Tubi e raccordi di calcestruzzo non armato, calcestruzzo fibrorinforzato e calcestruzzo armato, isolanti e non, per canalizzazione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rPr>
              <w:t>0702</w:t>
            </w:r>
          </w:p>
        </w:tc>
        <w:tc>
          <w:tcPr>
            <w:tcW w:w="5436" w:type="dxa"/>
          </w:tcPr>
          <w:p w:rsidR="00F90EC5" w:rsidRPr="004363D5" w:rsidRDefault="00F90EC5" w:rsidP="00A358E1">
            <w:pPr>
              <w:pStyle w:val="TableParagraph"/>
              <w:spacing w:before="0" w:line="276" w:lineRule="auto"/>
              <w:ind w:left="0" w:right="30"/>
              <w:rPr>
                <w:sz w:val="20"/>
                <w:szCs w:val="20"/>
              </w:rPr>
            </w:pPr>
            <w:r>
              <w:rPr>
                <w:sz w:val="20"/>
              </w:rPr>
              <w:t>Altri tubi e raccordi e guarnizioni, regolatori di portata, chiuse e valvole vortex per canalizzazione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rPr>
              <w:t>4</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t>0703</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rPr>
              <w:t>0704</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0705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0706</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0707</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Tubi e raccordi per tubi di scarico di edifici</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Pozzetti e camere di ispezione delle condutture fognarie</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Gradini, scale e corrimano per pozzetti d'accesso e camere di ispezione</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Valvole di immissione dell'aria per condotti di ventilazione di tubi di scarico di edifici</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Separatori e pozzetti d'intercettazione delle acque reflue di edifici e di opere civili</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Per gli usi a cui si applica la NSA, suddivisi in base alla natura della CRF:</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3</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t>0708</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0709</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0710</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0711</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Sistemi di stazioni di pompaggio delle acque reflue e di stazioni di estrazione degli effluenti</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Sistemi e componenti di serbatoi settici delle acque reflue domestiche e di dispositivi di depurazione in loco</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Fosse settiche</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Canali di scarico prefabbricati (canali di scolo) per infrastrutture stradali</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Per gli usi a cui si applica la NSA, suddivisi in base alla natura della CRF:</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0712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Coperchi di pozzetti d'accesso e griglie di immissione dei dispositivi di raccolta dell'acqua piovana per infrastrutture stradali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natura della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0713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Serbatoi di pozzi neri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natura della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CRF di natura diversa dalle precedenti, ai sensi dell'articolo 4, paragrafo 2, lettera </w:t>
            </w:r>
            <w:r>
              <w:rPr>
                <w:sz w:val="20"/>
              </w:rPr>
              <w:lastRenderedPageBreak/>
              <w:t>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0714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Scarichi a pavimento</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natura della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0715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Canali scatolari in calcestruzzo</w:t>
            </w:r>
            <w:r>
              <w:rPr>
                <w:sz w:val="20"/>
                <w:vertAlign w:val="superscript"/>
              </w:rPr>
              <w:t>c</w:t>
            </w:r>
            <w:r>
              <w:rPr>
                <w:sz w:val="20"/>
              </w:rPr>
              <w:t>)</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all'uso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Strutturali</w:t>
            </w:r>
            <w:r>
              <w:rPr>
                <w:sz w:val="20"/>
                <w:vertAlign w:val="superscript"/>
              </w:rPr>
              <w:t>b</w:t>
            </w:r>
            <w:r>
              <w:rPr>
                <w:sz w:val="20"/>
              </w:rPr>
              <w:t>) – canali grandi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Non strutturali – canali piccoli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0716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Tubi di drenaggio e blocchi di infiltrazione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Appoggi strutturali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Appoggi sferici e cilindrici con PTFE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Altri appoggi da costruzione edilizia e opere d'ingegneria civile il cui danneggiamento determina l'inutilizzabilità di tali edifici o di parti di essi in condizioni superiori ai limiti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Appoggi per altre costruzioni edilizie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0804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Dispositivi antisismici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Aggregati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0901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Aggregati per calcestruzzo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Aggregati per malta</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all'uso: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malta per muratura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altri tipi di malta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Aggregati leggeri per calcestruzzo, malta e malta per iniezione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all'uso: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calcestruzzo e malta per muratura o per iniezione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altri tipi di malta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Aggregati per strati di fondazione per la posa di traversine e la costruzione di sedi per le rotaie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Secondo il tipo di linea:</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linee ad alta velocità</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altre linee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Aggregati per materiali non cementati e per materiali legati con leganti idraulici per la costruzione di strade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all'uso: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costruzione di strade con traffico di classe I, II, III e IV</w:t>
            </w:r>
            <w:r>
              <w:rPr>
                <w:sz w:val="20"/>
                <w:vertAlign w:val="superscript"/>
              </w:rPr>
              <w:t>10</w:t>
            </w:r>
            <w:r>
              <w:rPr>
                <w:sz w:val="20"/>
              </w:rPr>
              <w:t>) e per la costruzione di piste aeroportuali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costruzione di strade con traffico di classe V e VI</w:t>
            </w:r>
            <w:r>
              <w:rPr>
                <w:sz w:val="20"/>
                <w:vertAlign w:val="superscript"/>
              </w:rPr>
              <w:t>10</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0906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Miscele legate con leganti idraulici e miscele non legate per la costruzione di strade e altre aree soggette a traffico</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all'uso: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costruzione di strade con traffico di classe I, II, III e IV</w:t>
            </w:r>
            <w:r>
              <w:rPr>
                <w:sz w:val="20"/>
                <w:vertAlign w:val="superscript"/>
              </w:rPr>
              <w:t>10</w:t>
            </w:r>
            <w:r>
              <w:rPr>
                <w:sz w:val="20"/>
              </w:rPr>
              <w:t>) e per la costruzione di piste aeroportuali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costruzione di strade con traffico di classe V e VI</w:t>
            </w:r>
            <w:r>
              <w:rPr>
                <w:sz w:val="20"/>
                <w:vertAlign w:val="superscript"/>
              </w:rPr>
              <w:t>10</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jc w:val="center"/>
              <w:rPr>
                <w:sz w:val="20"/>
                <w:szCs w:val="20"/>
              </w:rPr>
            </w:pPr>
            <w:r>
              <w:rPr>
                <w:sz w:val="20"/>
              </w:rPr>
              <w:t>0907</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Aggregati per miscele di asfalto e per rivestimenti di strade, aeroporti e altre aree soggette a traffico</w:t>
            </w: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In base all'uso:</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per strati superficiali</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per altri strati</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Cementi, calce e altri leganti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Cementi e miscele comuni di cementi per la preparazione di calcestruzzo, malta, malta per iniezione (riempimento) e altre miscele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Cemento speciale resistente alle basse temperature, cemento bianco, cemento resistente allo zolfo e all'acqua di mare, cemento con basso tasso alcalino, cemento alluminoso calcinato a calore d'idratazione molto basso, cementi di altoforno con bassa resistenza iniziale, cementi per muratura e stradali per la preparazione di calcestruzzo, malta, malta per iniezione (riempimento) e altre miscele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Calce da costruzione compresa la calce viva, la calce dolomitica e la calce idraulica per la preparazione di calcestruzzo, malta, malta per iniezione (riempimento) e altre miscele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Leganti idraulici per la produzione di miscele per strati di fondazione delle aree soggette al traffico e leganti idraulici per la produzione di malte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1005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Cementi ibridi per la preparazione di calcestruzzo, malta, malta per iniezione (riempimento) e altre miscele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Calcestruzzi, malte, miscele per iniezione, additivi e ingredienti aggiunti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Calcestruzzi prodotti in cementifici stabili o mobili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Calcestruzzi proiettati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Miscele per malte per iniezione (riempimento)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1104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Malte industriali per muratura e altri materiali per opere murarie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 tipo: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malta proposta</w:t>
            </w:r>
            <w:r>
              <w:rPr>
                <w:sz w:val="20"/>
                <w:vertAlign w:val="superscript"/>
              </w:rPr>
              <w:t>g</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malta a </w:t>
            </w:r>
            <w:r>
              <w:rPr>
                <w:sz w:val="20"/>
              </w:rPr>
              <w:lastRenderedPageBreak/>
              <w:t>composizione obbligatoria</w:t>
            </w:r>
            <w:r>
              <w:rPr>
                <w:sz w:val="20"/>
                <w:vertAlign w:val="superscript"/>
              </w:rPr>
              <w:t>g</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altri materiali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Malte industriali per intonaco interno ed esterno a base di leganti inorganici, comprese le malte termoisolanti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Malte industriali per altri intonaci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1107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Misture per calcestruzzo e malte compresa la malta per iniezione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 tipo:</w:t>
            </w:r>
            <w:r>
              <w:rPr>
                <w:sz w:val="20"/>
                <w:vertAlign w:val="superscript"/>
              </w:rPr>
              <w:t>h</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tipo 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tipo II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1108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Additivi per calcestruzzi, malte e boiacca e additivi per malta per iniezione per cavi di precompressione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per calcestruzzo armato e precompresso</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1201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Barre, canne, nastri dentellati in metallo, reti e armature di barriera in metallo o materiali compositi e prodotti industriali fabbricati mediante la loro formatura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Fibre per armare calcestruzzi e malte, comprese quelle per iniezione (armatura diffusa)</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all'uso: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calcestruzzo e malta strutturali</w:t>
            </w:r>
            <w:r>
              <w:rPr>
                <w:sz w:val="20"/>
                <w:vertAlign w:val="superscript"/>
              </w:rPr>
              <w:t>b</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altri tipi di calcestruzzo e malta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1203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Prodotti per precompressione, in particolare cavi, funi, barre filettate, cavi di precompressione nervati, piani o lisci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1204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precompressione aggiuntiva delle costruzioni tranne tubi e alloggiamenti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1205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Tubi e alloggiamenti di protezione e conduzione di prodotti di precompressione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Profili metallici, prodotti piani metallici, fusioni e forgiati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1301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Sezioni/profilati laminati a caldo, a freddo o altrimenti prodotti aventi forme differenti (a T, L, H, U, Z, I), canali, elementi cavi, tubi, prodotti piatti (piastre, lamiere, nastri), barre (tranne quelle per armatura e precompressione), fusioni e forgiati, ricoperti o meno di materiale anticorrosivo, da utilizzare per la costruzione di strutture metalliche o nella costruzione di edifici con una combinazione di metalli e altri materiali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Elementi per muratura e accessori aggiuntivi</w:t>
            </w:r>
          </w:p>
        </w:tc>
      </w:tr>
      <w:tr w:rsidR="00F43CFB" w:rsidRPr="004363D5" w:rsidTr="008E04D0">
        <w:trPr>
          <w:jc w:val="center"/>
        </w:trPr>
        <w:tc>
          <w:tcPr>
            <w:tcW w:w="478" w:type="dxa"/>
            <w:vMerge w:val="restart"/>
          </w:tcPr>
          <w:p w:rsidR="00F43CFB" w:rsidRPr="004363D5" w:rsidRDefault="00F43CFB" w:rsidP="00A358E1">
            <w:pPr>
              <w:pStyle w:val="TableParagraph"/>
              <w:spacing w:before="0" w:line="276" w:lineRule="auto"/>
              <w:ind w:left="0" w:right="30"/>
              <w:rPr>
                <w:sz w:val="20"/>
                <w:szCs w:val="20"/>
              </w:rPr>
            </w:pPr>
            <w:r>
              <w:rPr>
                <w:sz w:val="20"/>
              </w:rPr>
              <w:t>1401</w:t>
            </w:r>
          </w:p>
        </w:tc>
        <w:tc>
          <w:tcPr>
            <w:tcW w:w="5436" w:type="dxa"/>
            <w:vMerge w:val="restart"/>
          </w:tcPr>
          <w:p w:rsidR="00F43CFB" w:rsidRPr="004363D5" w:rsidRDefault="00F43CFB" w:rsidP="00A358E1">
            <w:pPr>
              <w:pStyle w:val="TableParagraph"/>
              <w:spacing w:before="0" w:line="276" w:lineRule="auto"/>
              <w:ind w:left="0" w:right="30"/>
              <w:rPr>
                <w:sz w:val="20"/>
                <w:szCs w:val="20"/>
              </w:rPr>
            </w:pPr>
            <w:r>
              <w:rPr>
                <w:sz w:val="20"/>
              </w:rPr>
              <w:t>Elementi per muratura, eventualmente con materiali termoisolanti integrati, interni o esterni, tranne rivestimenti di tamponamento, elementi per pavimentazione, rivestimenti e pannelli di riempimento per camini di altezza pari a un piano</w:t>
            </w:r>
          </w:p>
        </w:tc>
        <w:tc>
          <w:tcPr>
            <w:tcW w:w="2271" w:type="dxa"/>
            <w:gridSpan w:val="2"/>
          </w:tcPr>
          <w:p w:rsidR="00F43CFB" w:rsidRPr="004363D5" w:rsidRDefault="00F43CFB" w:rsidP="00A358E1">
            <w:pPr>
              <w:pStyle w:val="TableParagraph"/>
              <w:spacing w:before="0" w:line="276" w:lineRule="auto"/>
              <w:ind w:left="0" w:right="30"/>
              <w:rPr>
                <w:sz w:val="20"/>
                <w:szCs w:val="20"/>
              </w:rPr>
            </w:pPr>
            <w:r>
              <w:rPr>
                <w:sz w:val="20"/>
              </w:rPr>
              <w:t>In base alla categoria:</w:t>
            </w:r>
            <w:r>
              <w:rPr>
                <w:sz w:val="20"/>
                <w:vertAlign w:val="superscript"/>
              </w:rPr>
              <w:t>i</w:t>
            </w:r>
            <w:r>
              <w:rPr>
                <w:sz w:val="20"/>
              </w:rPr>
              <w:t>)</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categoria I</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2+</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categoria II</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4</w:t>
            </w:r>
          </w:p>
        </w:tc>
      </w:tr>
      <w:tr w:rsidR="00F43CFB" w:rsidRPr="004363D5" w:rsidTr="008E04D0">
        <w:trPr>
          <w:jc w:val="center"/>
        </w:trPr>
        <w:tc>
          <w:tcPr>
            <w:tcW w:w="478" w:type="dxa"/>
            <w:vMerge/>
          </w:tcPr>
          <w:p w:rsidR="00F43CFB" w:rsidRPr="004363D5" w:rsidRDefault="00F43CFB" w:rsidP="00A358E1">
            <w:pPr>
              <w:pStyle w:val="TableParagraph"/>
              <w:spacing w:before="0" w:line="276" w:lineRule="auto"/>
              <w:ind w:left="0"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2271" w:type="dxa"/>
            <w:gridSpan w:val="2"/>
          </w:tcPr>
          <w:p w:rsidR="00F43CFB" w:rsidRPr="004363D5" w:rsidRDefault="00F43CFB" w:rsidP="00A358E1">
            <w:pPr>
              <w:pStyle w:val="TableParagraph"/>
              <w:spacing w:before="0" w:line="276" w:lineRule="auto"/>
              <w:ind w:left="0" w:right="30"/>
              <w:rPr>
                <w:sz w:val="20"/>
                <w:szCs w:val="20"/>
              </w:rPr>
            </w:pPr>
            <w:r>
              <w:rPr>
                <w:sz w:val="20"/>
              </w:rPr>
              <w:t>Per gli usi a cui si applica la NSA, suddivisi in base alla CRF:</w:t>
            </w:r>
            <w:r>
              <w:rPr>
                <w:sz w:val="20"/>
                <w:vertAlign w:val="superscript"/>
              </w:rPr>
              <w:t>j</w:t>
            </w:r>
            <w:r>
              <w:rPr>
                <w:sz w:val="20"/>
              </w:rPr>
              <w:t>)</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1</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3</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F43CFB" w:rsidRPr="004363D5" w:rsidRDefault="00F43CF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1402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Elementi aggiuntivi da costruzione per muratura, in particolare graffe di fissaggio, sostegni, ganci, staffe, mensole di sostegno, connettori trasversali e armature in acciaio per giunti orizzontali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Sistemi integrati di rivestimento</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1501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rivestimento realizzati mediante blocchi cavi (rivestimenti sagomati di tamponamento) oppure pannelli uniti da elementi di collegamento in materiali isolanti o realizzati con una combinazione di materiali isolanti e non, che vengono riempiti di calcestruzzo, o calcestruzzo armato, utilizzati per la costruzione di pareti portanti e non portanti interne ed esterne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 (da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1502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rivestimento realizzati mediante rivestimenti sagomati di tamponamento in calcestruzzo o pannelli in calcestruzzo uniti da elementi di collegamento</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alla capacità portante: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portanti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non portanti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Elementi strutturali per la costruzione di edifici e di opere d'ingegneria civile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Supporti, capriate, pali e assi strutturali</w:t>
            </w:r>
            <w:r>
              <w:rPr>
                <w:sz w:val="20"/>
                <w:vertAlign w:val="superscript"/>
              </w:rPr>
              <w:t>b</w:t>
            </w:r>
            <w:r>
              <w:rPr>
                <w:sz w:val="20"/>
              </w:rPr>
              <w:t>) prefabbricati in calcestruzzo</w:t>
            </w:r>
            <w:r>
              <w:rPr>
                <w:sz w:val="20"/>
                <w:vertAlign w:val="superscript"/>
              </w:rPr>
              <w:t>c</w:t>
            </w:r>
            <w:r>
              <w:rPr>
                <w:sz w:val="20"/>
              </w:rPr>
              <w:t>) o elementi in muratura e in metallo trattati o non trattati contro la corrosione, saldati o non saldati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Supporti, capriate, pali e assi strutturali</w:t>
            </w:r>
            <w:r>
              <w:rPr>
                <w:sz w:val="20"/>
                <w:vertAlign w:val="superscript"/>
              </w:rPr>
              <w:t>b</w:t>
            </w:r>
            <w:r>
              <w:rPr>
                <w:sz w:val="20"/>
              </w:rPr>
              <w:t>) in legno lamellare incollato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1603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Supporti, capriate, pali e assi strutturali</w:t>
            </w:r>
            <w:r>
              <w:rPr>
                <w:sz w:val="20"/>
                <w:vertAlign w:val="superscript"/>
              </w:rPr>
              <w:t>b</w:t>
            </w:r>
            <w:r>
              <w:rPr>
                <w:sz w:val="20"/>
              </w:rPr>
              <w:t>) in legno naturale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 (da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Capriate e pali leggeri compositi in legno, con almeno un componente strutturale a base di legno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Pannelli prefabbricati strutturali</w:t>
            </w:r>
            <w:r>
              <w:rPr>
                <w:sz w:val="20"/>
                <w:vertAlign w:val="superscript"/>
              </w:rPr>
              <w:t>b</w:t>
            </w:r>
            <w:r>
              <w:rPr>
                <w:sz w:val="20"/>
              </w:rPr>
              <w:t>) a base di legno sotto forma di cassette chiuse o aperte, rivestite internamente o esternamente, con eventuale membrana, isolamento, elementi di armatura e fissaggio per la costruzione di pareti, pavimenti, tetti ecc.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1606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Pannelli di calcestruzzo</w:t>
            </w:r>
            <w:r>
              <w:rPr>
                <w:sz w:val="20"/>
                <w:vertAlign w:val="superscript"/>
              </w:rPr>
              <w:t>c</w:t>
            </w:r>
            <w:r>
              <w:rPr>
                <w:sz w:val="20"/>
              </w:rPr>
              <w:t xml:space="preserve">) equipaggiati e non per linee ferroviarie e </w:t>
            </w:r>
            <w:r>
              <w:rPr>
                <w:sz w:val="20"/>
              </w:rPr>
              <w:lastRenderedPageBreak/>
              <w:t>tranviarie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1607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Pannelli strutturali</w:t>
            </w:r>
            <w:r>
              <w:rPr>
                <w:sz w:val="20"/>
                <w:vertAlign w:val="superscript"/>
              </w:rPr>
              <w:t>b</w:t>
            </w:r>
            <w:r>
              <w:rPr>
                <w:sz w:val="20"/>
              </w:rPr>
              <w:t>) a sandwich con rivestimento in metallo</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Altre proprietà</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natura della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Sistemi per edifici, ambienti e unità di costruzione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edifici a struttura in legno o in blocchi di legno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edifici a struttura in metallo o in calcestruzzo</w:t>
            </w:r>
            <w:r>
              <w:rPr>
                <w:sz w:val="20"/>
                <w:vertAlign w:val="superscript"/>
              </w:rPr>
              <w:t>c</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Unità da costruzione prefabbricate tranne i garage prefabbricati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per la conservazione a freddo senza impianto di refrigerazione da installare all'interno di edifici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1705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Garage prefabbricati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Assi e pannelli a base di legno e pannelli compositi leggeri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1801</w:t>
            </w:r>
          </w:p>
        </w:tc>
        <w:tc>
          <w:tcPr>
            <w:tcW w:w="5436" w:type="dxa"/>
            <w:vMerge w:val="restart"/>
          </w:tcPr>
          <w:p w:rsidR="00C155AB" w:rsidRPr="004363D5" w:rsidRDefault="00C155AB" w:rsidP="00A358E1">
            <w:pPr>
              <w:pStyle w:val="TableParagraph"/>
              <w:spacing w:before="0" w:line="276" w:lineRule="auto"/>
              <w:ind w:left="0" w:right="30"/>
              <w:jc w:val="both"/>
              <w:rPr>
                <w:sz w:val="20"/>
                <w:szCs w:val="20"/>
              </w:rPr>
            </w:pPr>
            <w:r>
              <w:rPr>
                <w:sz w:val="20"/>
              </w:rPr>
              <w:t>Assi a base di legno sotto forma di lastre di legno naturale unite tra loro, legno lamellare impiallacciato (LVL), di assi preincollate, pannelli a fibre orientate (OSB) e pannelli truciolari uniti da cemento o resine, pannelli di fibre fabbricati mediante procedimento a umido o a secco, anche con l'aggiunta di sostanze chimiche che ne migliorano la resistenza al fuoco e ad agenti biotici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allo scopo e alla reazione al fuoco: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elementi strutturali</w:t>
            </w:r>
            <w:r>
              <w:rPr>
                <w:sz w:val="20"/>
                <w:vertAlign w:val="superscript"/>
              </w:rPr>
              <w:t>b</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 (da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elementi non portanti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A2, B, C) ai </w:t>
            </w:r>
            <w:r>
              <w:rPr>
                <w:sz w:val="20"/>
              </w:rPr>
              <w:lastRenderedPageBreak/>
              <w:t>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1802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Pannelli isolanti (a sandwich) autoportanti con o senza rivestimento in metallo da entrambi i lati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r>
              <w:rPr>
                <w:sz w:val="20"/>
              </w:rPr>
              <w:cr/>
            </w:r>
            <w:r>
              <w:rPr>
                <w:sz w:val="20"/>
              </w:rPr>
              <w:br/>
              <w:t>(A1FL, A2FL, BFL, CFL)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r>
              <w:rPr>
                <w:sz w:val="20"/>
              </w:rPr>
              <w:cr/>
            </w:r>
            <w:r>
              <w:rPr>
                <w:sz w:val="20"/>
              </w:rPr>
              <w:br/>
              <w:t>(A1FL, A2FL, BFL, CFL) ai sensi dell'articolo 4, paragrafo 2, lettera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r>
              <w:rPr>
                <w:sz w:val="20"/>
              </w:rPr>
              <w:cr/>
            </w:r>
            <w:r>
              <w:rPr>
                <w:sz w:val="20"/>
              </w:rPr>
              <w:br/>
              <w:t>(da A1FL a EFL), ai sensi dell'articolo 4, paragrafo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separazione dei settori d'incendio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1803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Pannelli compositi leggeri autoportanti (tranne i prodotti del gruppo 1802) composti da un rivestimento di differenti materiali organici, minerali o metallici dal lato esterno oppure interno, connessi a un eventuale telaio interno o nucleo isolante, destinati alla costruzione di pareti interne ed esterne, soffitti, tetti e rivestimenti di pareti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r>
              <w:rPr>
                <w:sz w:val="20"/>
              </w:rPr>
              <w:cr/>
            </w:r>
            <w:r>
              <w:rPr>
                <w:sz w:val="20"/>
              </w:rPr>
              <w:br/>
            </w:r>
            <w:r>
              <w:rPr>
                <w:sz w:val="20"/>
              </w:rPr>
              <w:lastRenderedPageBreak/>
              <w:t>(A1FL, A2FL, BFL, CFL)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r>
              <w:rPr>
                <w:sz w:val="20"/>
              </w:rPr>
              <w:cr/>
            </w:r>
            <w:r>
              <w:rPr>
                <w:sz w:val="20"/>
              </w:rPr>
              <w:br/>
              <w:t>(A1FL, A2FL, BFL, CFL) ai sensi dell'articolo 4, paragrafo 2, lettera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r>
              <w:rPr>
                <w:sz w:val="20"/>
              </w:rPr>
              <w:cr/>
            </w:r>
            <w:r>
              <w:rPr>
                <w:sz w:val="20"/>
              </w:rPr>
              <w:br/>
              <w:t>(da A1FL a EFL), ai sensi dell'articolo 4, paragrafo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separazione dei settori d'incendio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e sistemi termoisolanti</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rPr>
              <w:t>1901</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Sistemi termoisolanti per la coibentazione esterna di pareti (ETICS) a base di lastre termoisolanti fissate meccanicamente o incollate</w:t>
            </w:r>
          </w:p>
        </w:tc>
        <w:tc>
          <w:tcPr>
            <w:tcW w:w="1674" w:type="dxa"/>
          </w:tcPr>
          <w:p w:rsidR="00C202C6" w:rsidRPr="004363D5" w:rsidRDefault="00C202C6"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 (2+)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Per gli usi a cui si applica la NSA, suddivisi in base alla CRF:</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 (1)</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ai sensi dell'articolo 4, paragrafo 2, lettera b), D, E, (da A1 a E) ai sensi dell'articolo 4, paragrafo 1, F</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1902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termoisolanti per la coibentazione esterna delle pareti (Vetures), formati da elementi di rivestimento esterni, da uno strato termoisolante e da elementi di fissaggio. Gli elementi di rivestimento possono essere forniti già fissati allo strato isolante oppure tali elementi vengono installati in sede di costruzione. Il fissaggio avviene in modo tale che tra lo strato isolante e la parete non vi sia spazio per l'aria</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A2, B, C) ai sensi dell'articolo 4, paragrafo 2, lettera </w:t>
            </w:r>
            <w:r>
              <w:rPr>
                <w:sz w:val="20"/>
              </w:rPr>
              <w:lastRenderedPageBreak/>
              <w:t>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rPr>
              <w:t>1903</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1904</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1905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1906</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rPr>
              <w:t>Prodotti termoisolanti sotto forma di lastre, stuoie, nastri arrotolati o altre forme per edifici</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Prodotti termoisolanti sagomati o applicati sul posto a base di materiale sfuso, soffiato o in schiuma per edifici</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rPr>
              <w:t>Prodotti termoisolanti sotto varie forme, destinati agli impianti tecnici degli edifici e agli impianti industriali</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rPr>
              <w:t>Prodotti termoisolanti per strade, linee ferroviarie e altri usi edilizi (isolamento leggero di riempimento e antigelo, alleggerimento della pressione laterale del terreno sui muri di sostegno e sui piloni dei ponti, distribuzione del peso sulle tubazioni interrate dei canali ecc.)</w:t>
            </w:r>
          </w:p>
        </w:tc>
        <w:tc>
          <w:tcPr>
            <w:tcW w:w="1674" w:type="dxa"/>
          </w:tcPr>
          <w:p w:rsidR="00A065E5" w:rsidRPr="004363D5" w:rsidRDefault="00A065E5"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rPr>
              <w:t>Per gli usi a cui si applica la NSA, suddivisi in base alla CRF:</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 (1)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A065E5" w:rsidRPr="004363D5" w:rsidRDefault="00A065E5" w:rsidP="00A358E1">
            <w:pPr>
              <w:pStyle w:val="TableParagraph"/>
              <w:spacing w:before="0" w:line="276" w:lineRule="auto"/>
              <w:ind w:left="0" w:right="30"/>
              <w:rPr>
                <w:sz w:val="20"/>
                <w:szCs w:val="20"/>
              </w:rPr>
            </w:pPr>
            <w:r>
              <w:rPr>
                <w:sz w:val="20"/>
              </w:rPr>
              <w:t>IV (4)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Sistemi di tamponamento e sistemi di copertura autoportanti leggeri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2001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Facciate continue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Pareti strutturali</w:t>
            </w:r>
            <w:r>
              <w:rPr>
                <w:sz w:val="20"/>
                <w:vertAlign w:val="superscript"/>
              </w:rPr>
              <w:t>b</w:t>
            </w:r>
            <w:r>
              <w:rPr>
                <w:sz w:val="20"/>
              </w:rPr>
              <w:t>) incollate con facciata a vetri o tetto dello stesso sistema con inclinazione minima di 7°, trasmissione meccanica del carico del proprio peso e di altre forze (per es. del vento e della neve) alla cornice di supporto isolante e per suo tramite alla struttura dell'edificio</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 tipo:</w:t>
            </w:r>
            <w:r>
              <w:rPr>
                <w:sz w:val="20"/>
                <w:vertAlign w:val="superscript"/>
              </w:rPr>
              <w:t>k</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tipi I e III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tipi II e IV</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2003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copertura trasparenti autoportanti tranne i sistemi in vetro</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(da A1 a E), ai sensi </w:t>
            </w:r>
            <w:r>
              <w:rPr>
                <w:sz w:val="20"/>
              </w:rPr>
              <w:lastRenderedPageBreak/>
              <w:t>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non necessitano di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F90EC5">
        <w:trPr>
          <w:jc w:val="center"/>
        </w:trPr>
        <w:tc>
          <w:tcPr>
            <w:tcW w:w="8185" w:type="dxa"/>
            <w:gridSpan w:val="4"/>
          </w:tcPr>
          <w:p w:rsidR="00C202C6" w:rsidRPr="004363D5" w:rsidRDefault="00C155AB" w:rsidP="0060285B">
            <w:pPr>
              <w:pStyle w:val="TableParagraph"/>
              <w:keepNext/>
              <w:spacing w:before="0" w:line="276" w:lineRule="auto"/>
              <w:ind w:left="0" w:right="29"/>
              <w:jc w:val="center"/>
              <w:rPr>
                <w:b/>
                <w:sz w:val="20"/>
                <w:szCs w:val="20"/>
              </w:rPr>
            </w:pPr>
            <w:r>
              <w:rPr>
                <w:b/>
                <w:sz w:val="20"/>
              </w:rPr>
              <w:t>Coperture composite per tetti, abbaini e lucernari</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rPr>
              <w:t>2101</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2102</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2103</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2104</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Tegole, lastre, coperture ondulate per tetti, scandole, rivestimenti – in ceramica, calcestruzzo, fibrocemento, lavagna, pietra, plastica, asfalto ecc.</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Pannelli piatti e sagomati in lamiera metallica, plastica ecc.</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Pannelli a sandwich compositi per copertura a produzione industriale, isolanti e non isolanti</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rPr>
              <w:t>Abbaini e lucernari</w:t>
            </w:r>
          </w:p>
        </w:tc>
        <w:tc>
          <w:tcPr>
            <w:tcW w:w="1674" w:type="dxa"/>
          </w:tcPr>
          <w:p w:rsidR="00C202C6" w:rsidRPr="004363D5" w:rsidRDefault="00C202C6"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 III (3)</w:t>
            </w:r>
            <w:r>
              <w:rPr>
                <w:sz w:val="20"/>
                <w:vertAlign w:val="superscript"/>
              </w:rPr>
              <w:t>l</w:t>
            </w:r>
            <w:r>
              <w:rPr>
                <w:sz w:val="20"/>
              </w:rPr>
              <w:t>)</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 (1)</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prodotti che non necessitano di prova di RFE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Da utilizzare nelle zone d'incendio</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Da utilizzare per aumentare la solidità del tetto</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Da utilizzare in base alla NSP</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di copertura a membrana e fusi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Barriere antivapore e permeabili al vapore, strati di fondo per coperture e pellicole di rivestimento per tetti e altri rivestimenti a membrana per tetti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Nota: I prodotti sono compresi nei gruppi 0403, 0404 e 0405</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copertura impermeabilizzanti applicati in forma liquida</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A2, B, C) ai sensi dell'articolo 4, paragrafo 2, lettera </w:t>
            </w:r>
            <w:r>
              <w:rPr>
                <w:sz w:val="20"/>
              </w:rPr>
              <w:lastRenderedPageBreak/>
              <w:t>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non necessitano di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2203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copertura impermeabilizzanti applicate in loco mediante asfalto fuso o schiuma</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non necessitano di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elastici di rivestimento flessibile impermeabile, applicati meccanicamente, compresi i sistemi di applicazione, unione e bordatura, anche con isolamento termico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copertura impermeabilizzanti e/o termoisolanti incollati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2206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copertura isolanti rovesciati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Accessori e altri prodotti per tetti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2301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accesso ai tetti, in particolare passerelle, scalini, piattaforme d'accesso, ganci di sicurezza per tetti ed elementi di ancoraggio per la manutenzione e riparazione dei tetti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2302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Pavimentazioni per tetti, tegole, converse metalliche, agganci per coperture di tetti, tavole per facciate e soffitti dei tetti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lastRenderedPageBreak/>
              <w:t>2303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Piastre di fondazione rigide di appoggio piatte o profilate da inserire sotto le tegole del tetto</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Porte, cancelli e guarnizioni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Porte antincendio/antifumo e cancelli con o senza guarnizioni per dividere la struttura in settori in caso d'incendio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Porte e cancelli con o senza guarnizioni che conducono a vie di fuga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Guarnizioni da costruzione (ganci, serrature, dispositivi di chiusura, ecc.) per porte antincendio/antifumo e porte che conducono a vie di fuga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Porte e cancelli con o senza guarnizioni, il cui utilizzo dichiarato è subordinato al loro soddisfacimento di requisiti specifici, in particolare riguardo all'isolamento acustico e termico, alla tenuta e alla sicurezza di utilizzo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2405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Porte e cancelli con o senza guarnizioni per uso interno di collegamento tra ambienti analoghi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Finestre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2501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Finestre antincendio/antifumo con o senza guarnizioni per elementi divisori di settori d'incendio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2502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Finestre con o senza guarnizioni che conducono a vie di fuga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2503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Altre finestre con o senza guarnizioni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Persiane e avvolgibili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2601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Persiane e avvolgibili con o senza guarnizioni per uso esterno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specifici in vetro, materiali simili al vetro e materiali per posa di vetri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2701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Lastre di vetro piatte o curve, vetro profilato armato e non, elementi isolanti in vetro, rivestimenti sagomati e pannelli in vetro per sistemi a vetro, pannelli per pareti costituiti da blocchi di vetro</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 caratteristiche o usi specifici: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resistenti al fuoco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resistenti ai proiettili e/o alle esplosioni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sicuri (rischio di incidente)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isolamento termico e/o acustico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 xml:space="preserve">Per gli usi a cui si applica </w:t>
            </w:r>
            <w:r>
              <w:rPr>
                <w:sz w:val="20"/>
              </w:rPr>
              <w:lastRenderedPageBreak/>
              <w:t>la NSA, suddivisi in base alla CRF o alla necessità di prova di RFE: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2702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Lastre piatte e curve in materiali simili al vetro</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 caratteristiche o usi specifici: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resistenti al fuoco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resistenti ai proiettili e/o alle esplosioni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sicuri (rischio di incidente)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isolamento termico e/o acustico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 o alla necessità di prova di RFE: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prodotti che devono essere sottoposti alla prova di RFE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2703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Mastici per la posa di vetri tranne i mastici per acquari, posa di vetri strutturali</w:t>
            </w:r>
            <w:r>
              <w:rPr>
                <w:sz w:val="20"/>
                <w:vertAlign w:val="superscript"/>
              </w:rPr>
              <w:t>b</w:t>
            </w:r>
            <w:r>
              <w:rPr>
                <w:sz w:val="20"/>
              </w:rPr>
              <w:t>), applicazione di mastici per vetri isolanti, per posa di vetri con inclinazione &lt; 70 e applicazione di mastici per vetri organici in policarbonato, polimetilmetacrilato, ecc.</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2704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Mastici per applicazione di mastici a vetri organici in policarbonato, polimetilmetacrilato, ecc.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Scale e sistemi di scale prefabbricate</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rPr>
              <w:t>2801</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rPr>
              <w:t xml:space="preserve">Sistemi completi di scale prefabbricate (tranne scale per mansarda </w:t>
            </w:r>
            <w:r>
              <w:rPr>
                <w:sz w:val="20"/>
              </w:rPr>
              <w:lastRenderedPageBreak/>
              <w:t>e per soffitta)</w:t>
            </w:r>
          </w:p>
        </w:tc>
        <w:tc>
          <w:tcPr>
            <w:tcW w:w="1674" w:type="dxa"/>
          </w:tcPr>
          <w:p w:rsidR="00C202C6" w:rsidRPr="004363D5" w:rsidRDefault="00C202C6" w:rsidP="00A358E1">
            <w:pPr>
              <w:pStyle w:val="TableParagraph"/>
              <w:spacing w:before="0" w:line="276" w:lineRule="auto"/>
              <w:ind w:left="0" w:right="30"/>
              <w:rPr>
                <w:sz w:val="20"/>
                <w:szCs w:val="20"/>
              </w:rPr>
            </w:pPr>
            <w:r>
              <w:rPr>
                <w:sz w:val="20"/>
              </w:rPr>
              <w:lastRenderedPageBreak/>
              <w:t>Per usi di base</w:t>
            </w:r>
            <w:r>
              <w:rPr>
                <w:sz w:val="20"/>
                <w:vertAlign w:val="superscript"/>
              </w:rPr>
              <w:t>d</w:t>
            </w:r>
            <w:r>
              <w:rPr>
                <w:sz w:val="20"/>
              </w:rPr>
              <w:t>)</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 xml:space="preserve">II+ </w:t>
            </w:r>
            <w:r>
              <w:rPr>
                <w:sz w:val="20"/>
              </w:rPr>
              <w:lastRenderedPageBreak/>
              <w:t>(2+)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rPr>
              <w:t>Per gli usi a cui si applica la NSA, suddivisi in base alla CRF:</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 (1)</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202C6" w:rsidRPr="004363D5" w:rsidRDefault="00C202C6"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rPr>
              <w:t>2802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Scale prefabbricate in calcestruzzo</w:t>
            </w:r>
            <w:r>
              <w:rPr>
                <w:sz w:val="20"/>
                <w:vertAlign w:val="superscript"/>
              </w:rPr>
              <w:t>c</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2803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Assi in calcestruzzo, graniglia e simili per gradini per interni ed esterni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alla capacità portante: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portanti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non portanti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Sistemi di tramezzi e mastici per tramezzi e pareti interne</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2901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tramezzi autoportanti per montaggio fisso o rimovibile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separazione dei settori d'incendio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Sicuri (rischio di incidente)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2902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Mastici per tramezzi e pareti interne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in gesso per pareti, tramezzi e soffitti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3001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Rivestimenti sagomati in gesso e adesivi a base di gesso per tramezzi non portanti, per rivestimenti di pareti e protezione antincendio (rivestimenti sagomati non per soffitti)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protezione antincendio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Cartongesso ed elementi per soffitti con finitura superficiale sottile, lastre in gesso fibroso e pannelli compositi (laminati) e intonaci in gesso, compresi i relativi accessori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protezione antincendio degli elementi da costruzione e la separazione dei settori d'incendio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il rinforzo di muri portanti in legno e capriate in legno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per pavimentazioni e pavimenti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3101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3102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Elementi di pavimentazione, piastrelle, mosaici, parquet, rivestimenti a maglia o in lastre, griglie per pavimentazione e gradini, pavimenti in laminato rigido, prodotti in legno per uso interno, comprese le strade pubbliche interne</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Sistemi di pavimenti rialzati e a intercapedine per uso interno, comprese le strade pubbliche interne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ai sensi dell'articolo 4, paragrafo 2, lettera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A1FL a EFL), ai sensi dell'articolo 4, paragrafo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Da utilizzare in </w:t>
            </w:r>
            <w:r>
              <w:rPr>
                <w:sz w:val="20"/>
              </w:rPr>
              <w:lastRenderedPageBreak/>
              <w:t>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3103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Massetti, sostanze per livellamento, pavimento colato e a riempimento, coperture per pavimenti comprese le strade pubbliche interne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uso interno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3104</w:t>
            </w:r>
          </w:p>
        </w:tc>
        <w:tc>
          <w:tcPr>
            <w:tcW w:w="5436" w:type="dxa"/>
            <w:vMerge w:val="restart"/>
          </w:tcPr>
          <w:p w:rsidR="00C155AB" w:rsidRPr="004363D5" w:rsidRDefault="00C155AB" w:rsidP="00A358E1">
            <w:pPr>
              <w:pStyle w:val="TableParagraph"/>
              <w:spacing w:before="0" w:line="276" w:lineRule="auto"/>
              <w:ind w:left="0" w:right="30"/>
              <w:jc w:val="both"/>
              <w:rPr>
                <w:sz w:val="20"/>
                <w:szCs w:val="20"/>
              </w:rPr>
            </w:pPr>
            <w:r>
              <w:rPr>
                <w:sz w:val="20"/>
              </w:rPr>
              <w:t>Coperture elastiche omogenee ed eterogenee fornite sotto forma di piastrelle, lastre o rotoli, lastre a base di prodotti tessili, plastica, gomma, linoleum, sughero, lastre antistatiche, pavimenti in laminato flessibile e coperture flessibili e resilienti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ai sensi dell'articolo 4, paragrafo 2, lettera b), DFL, EFL, (da A1FL a EFL) ai sensi dell'articolo 4, paragrafo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uso esterno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3105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Prodotti per il rivestimento e per il trattamento superficiale dei pavimenti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di rivestimento per pareti e soffitti, compresi controsoffitti e accessori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Rivestimenti in rotoli, elementi di rivestimento, scandole, assi [tranne le assi in calcestruzzo</w:t>
            </w:r>
            <w:r>
              <w:rPr>
                <w:sz w:val="20"/>
                <w:vertAlign w:val="superscript"/>
              </w:rPr>
              <w:t>c</w:t>
            </w:r>
            <w:r>
              <w:rPr>
                <w:sz w:val="20"/>
              </w:rPr>
              <w:t xml:space="preserve">)], pannelli e profili per il rivestimento di pareti e soffitti per interni ed esterni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Sistemi di controsoffitti per soffitti per interni ed esterni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la protezione antincendio</w:t>
            </w:r>
            <w:r>
              <w:rPr>
                <w:sz w:val="20"/>
                <w:vertAlign w:val="superscript"/>
              </w:rPr>
              <w:t>m</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rinforzo</w:t>
            </w:r>
            <w:r>
              <w:rPr>
                <w:sz w:val="20"/>
                <w:vertAlign w:val="superscript"/>
              </w:rPr>
              <w:t>n</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sicuri (rischio di incidente)</w:t>
            </w:r>
            <w:r>
              <w:rPr>
                <w:sz w:val="20"/>
                <w:vertAlign w:val="superscript"/>
              </w:rPr>
              <w:t>o</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Profili di fissaggio di rivestimenti per pareti e soffitti e telai per fissare controsoffit</w:t>
            </w:r>
            <w:r w:rsidR="00F030BF">
              <w:rPr>
                <w:sz w:val="20"/>
              </w:rPr>
              <w:t>t</w:t>
            </w:r>
            <w:r>
              <w:rPr>
                <w:sz w:val="20"/>
              </w:rPr>
              <w: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A2, B, C) ai </w:t>
            </w:r>
            <w:r>
              <w:rPr>
                <w:sz w:val="20"/>
              </w:rPr>
              <w:lastRenderedPageBreak/>
              <w:t>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Malte e colle per elementi di rivestimento in interni ed esterni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rivestimento per pareti esterne, di protezione dagli agenti atmosferici, con eventuale funzione di isolamento termico esterno, tranne i componenti di tali sistemi forniti separatamente e tranne i sistemi appartenenti ai gruppi 1901, 1902 e 2002</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3206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Telai metallici prefabbricati per fissare soffitti pesanti, trattati o non con vernici antiruggine, saldati o non saldati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 (da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Elementi di giunzione, materiali per saldatura e colle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Elementi di giunzione per parti metalliche strutturali</w:t>
            </w:r>
            <w:r>
              <w:rPr>
                <w:sz w:val="20"/>
                <w:vertAlign w:val="superscript"/>
              </w:rPr>
              <w:t>b</w:t>
            </w:r>
            <w:r>
              <w:rPr>
                <w:sz w:val="20"/>
              </w:rPr>
              <w:t>) di edifici, in particolare rivetti, chiavistelli, perni, bulloni con dadi e rondelle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lastRenderedPageBreak/>
              <w:t>3302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Strumenti di giunzione per prodotti strutturali</w:t>
            </w:r>
            <w:r>
              <w:rPr>
                <w:sz w:val="20"/>
                <w:vertAlign w:val="superscript"/>
              </w:rPr>
              <w:t>b</w:t>
            </w:r>
            <w:r>
              <w:rPr>
                <w:sz w:val="20"/>
              </w:rPr>
              <w:t>) in legno, in particolare morsetti per legno, morsetti ad anello apribili, connettori, perni cilindrici di legno e acciaio, viti per legno, bulloni filettati e chiodi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Piastre di scorrimento e elementi di collegamento di lamiera metallica punzonata per prodotti in legno strutturale</w:t>
            </w:r>
            <w:r>
              <w:rPr>
                <w:sz w:val="20"/>
                <w:vertAlign w:val="superscript"/>
              </w:rPr>
              <w:t>b</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Piastre chiodate tridimensionali per prodotti in legno strutturale</w:t>
            </w:r>
            <w:r>
              <w:rPr>
                <w:sz w:val="20"/>
                <w:vertAlign w:val="superscript"/>
              </w:rPr>
              <w:t>b</w:t>
            </w:r>
            <w:r>
              <w:rPr>
                <w:sz w:val="20"/>
              </w:rPr>
              <w: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 xml:space="preserve">Ancoraggi metallici per calcestruzzo (per sistemi leggeri) per il fissaggio o il sostegno di </w:t>
            </w:r>
            <w:bookmarkStart w:id="0" w:name="_GoBack"/>
            <w:r>
              <w:rPr>
                <w:sz w:val="20"/>
              </w:rPr>
              <w:t>controsoffitti</w:t>
            </w:r>
            <w:bookmarkEnd w:id="0"/>
            <w:r>
              <w:rPr>
                <w:sz w:val="20"/>
              </w:rPr>
              <w:t xml:space="preserve"> leggeri, installazioni, ecc.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Ancoraggi metallici per calcestruzzo (per sistemi pesanti) per il fissaggio o il sostegno di elementi strutturali</w:t>
            </w:r>
            <w:r>
              <w:rPr>
                <w:sz w:val="20"/>
                <w:vertAlign w:val="superscript"/>
              </w:rPr>
              <w:t>b</w:t>
            </w:r>
            <w:r>
              <w:rPr>
                <w:sz w:val="20"/>
              </w:rPr>
              <w:t>) in calcestruzzo oppure di parti pesanti come rivestimenti e controsoffitti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Ancoraggi metallici a iniezione (a infusione) per muratura per il fissaggio o il sostegno di elementi strutturali</w:t>
            </w:r>
            <w:r>
              <w:rPr>
                <w:sz w:val="20"/>
                <w:vertAlign w:val="superscript"/>
              </w:rPr>
              <w:t>b</w:t>
            </w:r>
            <w:r>
              <w:rPr>
                <w:sz w:val="20"/>
              </w:rPr>
              <w:t>) che contribuiscono alla stabilità dell'edificio o di elementi pesanti come rivestimenti e installazioni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Ancoraggi in plastica e altri ancoraggi per calcestruzzo e muratura utilizzati in sistemi quali facciate, comprese quelle termoisolanti, per fissare o supportare elementi stabilizzanti di tali sistemi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3309</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Materiali per saldare parti metalliche strutturali</w:t>
            </w:r>
            <w:r>
              <w:rPr>
                <w:sz w:val="20"/>
                <w:vertAlign w:val="superscript"/>
              </w:rPr>
              <w:t>b</w:t>
            </w:r>
            <w:r>
              <w:rPr>
                <w:sz w:val="20"/>
              </w:rPr>
              <w:t>) di edifici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3310</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Viti prigioniere a autofilettanti in metallo e rivetti con rondelle bloccanti per il fissaggio di sistemi di facciata leggeri e rivestimenti per tetti obliqui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3311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Elementi di fissaggio composti da attacchi in plastica o molle a tazza e viti prigioniere o autofilettanti per gli strati di impermeabilizzazione e isolamento termico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3312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Giunti di dilatazione che permettono il movimento reciproco di pannelli uniti tra loro o tra pannelli e pareti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3313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Colle per parti strutturali</w:t>
            </w:r>
            <w:r>
              <w:rPr>
                <w:sz w:val="20"/>
                <w:vertAlign w:val="superscript"/>
              </w:rPr>
              <w:t>b</w:t>
            </w:r>
            <w:r>
              <w:rPr>
                <w:sz w:val="20"/>
              </w:rPr>
              <w:t>) di edifici e opere d'ingegneria civile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A2, B, C) ai </w:t>
            </w:r>
            <w:r>
              <w:rPr>
                <w:sz w:val="20"/>
              </w:rPr>
              <w:lastRenderedPageBreak/>
              <w:t>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3314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Dispositivi di ancoraggio utilizzati nelle costruzioni per prevenire la caduta dall'alto delle persone o per fermare tale caduta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Tubi, serbatoi e accessori per acqua potabile</w:t>
            </w:r>
            <w:r>
              <w:rPr>
                <w:b/>
                <w:sz w:val="20"/>
                <w:vertAlign w:val="superscript"/>
              </w:rPr>
              <w:t>11</w:t>
            </w:r>
            <w:r>
              <w:rPr>
                <w:b/>
                <w:sz w:val="20"/>
              </w:rPr>
              <w:t>)</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tubi e rubinetti composti dai prodotti dei gruppi da 3402 a 3409</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Tubi per collettori sotto pressione e non per la distribuzione di acqua potabile in edifici e fuori, installati in superficie o interrati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Tubi di connessione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Serbatoi di acqua calda sotto pressione e non, installati in superficie o interrati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Impianti di protezione e di sicurezza, come rilevatori di fuoriuscite, sistemi di protezione anti-traboccamento per serbatoi, ecc.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Adattatori, guarnizioni, leghe per saldare, colle e sigillanti per saldare tra loro tubi rigidi, flessibili e modellabili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Raccordi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Pompe e contatori dell'acqua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3409</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Membrane, resine, vernici di rivestimento, filler e lubrificanti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Tubi, serbatoi e accessori per acqua sanitaria e acqua di alimentazione</w:t>
            </w:r>
            <w:r>
              <w:rPr>
                <w:b/>
                <w:sz w:val="20"/>
                <w:vertAlign w:val="superscript"/>
              </w:rPr>
              <w:t>11</w:t>
            </w:r>
            <w:r>
              <w:rPr>
                <w:b/>
                <w:sz w:val="20"/>
              </w:rPr>
              <w:t>), gas e combustibili liquidi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3501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Prodotti per il trasporto, la distribuzione e l'immagazzinamento dell'acqua sanitaria, come tubi, tubi di collegamento, serbatoi, rilevatori di fuoriuscite, sistemi di protezione anti-traboccamento per serbatoi, adattatori, guarnizioni, leghe per saldare, colle, sigillanti, supporti per tubi (senza ancoraggi), pompe, raccordi, dispositivi di sicurezza e sistemi di tubi e serbatori formati da tali prodotti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impianti di riscaldamento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natura della CRF</w:t>
            </w:r>
            <w:r>
              <w:rPr>
                <w:sz w:val="20"/>
                <w:vertAlign w:val="superscript"/>
              </w:rPr>
              <w:t>p</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3502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 xml:space="preserve">Prodotti per il trasporto, la distribuzione e l'immagazzinamento di gas o combustibili liquidi, da un serbatoio esterno, dall'ultima stazione di riduzione della pressione oppure dalla prima ventola di separazione (sempre fuori dall'edificio) fino all'ingresso nel sistema di riscaldamento dell'acqua, di riscaldamento o refrigerazione dell'edificio, come tubi, tubi di collegamento, serbatoi, rilevatori di fuoriuscite, sistemi di protezione anti-traboccamento per serbatoi, adattatori, guarnizioni, sigillanti, leghe per saldare, colle, supporti per tubi (senza ancoraggi), raccordi, </w:t>
            </w:r>
            <w:r>
              <w:rPr>
                <w:sz w:val="20"/>
              </w:rPr>
              <w:lastRenderedPageBreak/>
              <w:t>dispositivi di sicurezza e sistemi di tubi e serbatoi formati da tali prodotti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lastRenderedPageBreak/>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gli usi a cui si applica la NSA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installare in ambienti che devono essere a prova di incendio</w:t>
            </w:r>
            <w:r>
              <w:rPr>
                <w:sz w:val="20"/>
                <w:vertAlign w:val="superscript"/>
              </w:rPr>
              <w:t>q</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per la distribuzione dell'energia elettrica, la gestione e la comunicazione</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3601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Cavi per la distribuzione dell'energia elettrica, la gestione e la comunicazione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Aca, B1ca, B2ca, Cca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Dca, Eca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Fca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gli usi a cui si applica la NSA per la resistenza antincendio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utilizzare in base alla NSP</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rPr>
              <w:t>3602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3603</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3604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Griglie, canaline, canalette, sostegni, supporti, attacchi per l'alloggiamento di cavi e prodotti per il fissaggio di cavi per la distribuzione dell'energia elettrica, la gestione e la comunicazione</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Prodotti per connettere cavi (scatole e coperture complete) per la distribuzione dell'energia elettrica, la gestione e la comunicazione</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Quadri elettrici a bassa tensione per la distribuzione dell'energia elettrica, la gestione e la comunicazione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gli usi a cui si applica la NSA per la resistenza antincendio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3605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Accessori per cavi (tubi, listelli, canalette e scatole, ecc. per l'installazione di cavi elettrici)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lo scopo a cui si riferisce la NSA sulla propagazione del fuoco e sul contenuto ridotto di elementi alogeni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Camini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3701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Prodotti metallici per sistemi di camini (tranne cappe per camini), inserti per camini in terracotta, ceramica o calcestruzzo, rivestimenti sagomati ed elementi del rivestimento esterno, materiali per inserti in muratura e prefabbricati in acciaio e inserti per camini a se stanti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3702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di scarico dei fumi con inserti in plastica</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 (2+) IV (4)</w:t>
            </w:r>
            <w:r>
              <w:rPr>
                <w:sz w:val="20"/>
                <w:vertAlign w:val="superscript"/>
              </w:rPr>
              <w:t>r</w:t>
            </w:r>
            <w:r>
              <w:rPr>
                <w:sz w:val="20"/>
              </w:rPr>
              <w:t>)</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3703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Cappe per camini tranne le cappe di plastica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Impianti di riscaldamento ed elementi refrattari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3801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3802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3803</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3804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Apparecchi per combustibili solidi per il riscaldamento di ambienti abitativi, come stufe, focolari e apparecchi da incasso (camini, ecc.)</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 xml:space="preserve">Apparecchi a combustibili solidi per cucine per uso domestico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Apparecchi di riscaldamento a combustibili liquidi o gassosi</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Apparecchi di riscaldamento privi di una fonte di energia propria, in particolare termosifoni, convettori, convettori ad aria calda compresi i ventilatori, barre e bocchettoni di riscaldamento, pannelli a irraggiamento per soffitti e altri elementi fissi di riscaldamento, sistemi di riscaldamento da parete e da pavimento</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3805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Elementi refrattari, malte ed elementi di rivestimento per la costruzione di apparecchi a muro per combustibili solidi per il riscaldamento di ambienti abitativi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A358E1">
            <w:pPr>
              <w:pStyle w:val="TableParagraph"/>
              <w:spacing w:before="0" w:line="276" w:lineRule="auto"/>
              <w:ind w:left="0" w:right="30"/>
              <w:jc w:val="center"/>
              <w:rPr>
                <w:b/>
                <w:sz w:val="20"/>
                <w:szCs w:val="20"/>
              </w:rPr>
            </w:pPr>
            <w:r>
              <w:rPr>
                <w:b/>
                <w:sz w:val="20"/>
              </w:rPr>
              <w:t>Impianti e materiali sanitari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Lavelli, lavandini, scarichi, bidet, vasche da bagno, vasche idromassaggio e piatti doccia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Paraventi per docce e vasche e coperture di protezione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Set di moduli per bagno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Orinatoi, vasi W.C., latrine a terra, chimiche e biologiche, gabinetti di macerazione, alla turca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3905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Sciacquoni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3906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Gabinetti pubblici per cantieri e gabinetti prefabbricati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3907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Mastici per unire elementi di impianti sanitari, tranne i mastici per applicazione industriale, per la distribuzione di acqua potabile, a contatto di alimenti e per applicazioni subacquee, quali piscine, tubi di scarico, ecc.</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di protezione antincendio e antiesplosione</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4001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Prodotti di protezione antincendio o per aumentare la resistenza al fuoco, in particolare vernici, finiture o coperture, tranne i prodotti in gesso, i prodotti in lana di vetro e gli elementi prefabbricati in calcestruzzo armato</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Dispositivi tagliafuoco e di circoscrizione del fuoco, come mastici, sigillanti, schiume, elastomeri, ecc. applicati in loco o in prefabbricato, come pannelli, blocchi, cuscini, sacchi, bendaggi, guaine, ecc., imbottiture antincendio per passaggi, tenute per collegamenti lineari, tubi resistenti al fuoco e chiusure antincendio</w:t>
            </w:r>
            <w:r>
              <w:rPr>
                <w:sz w:val="20"/>
                <w:vertAlign w:val="superscript"/>
              </w:rPr>
              <w:t>12</w:t>
            </w:r>
            <w:r>
              <w:rPr>
                <w:sz w:val="20"/>
              </w:rPr>
              <w:t>), come serrande e coperchi tagliafuoco e sportelli di trasportatori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4003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Unità di ventilazione per il controllo naturale o forzato dei fumi e del calore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4004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ventilazione o sistemi di pressostati differenziali per il controllo dei fumi e del calore o loro componenti, come attacchi, otturatori per il fumo, tubi di ventilazione, rilevatori, pannelli di controllo e pannelli di controllo di emergenza, compresa l'alimentazione elettrica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4005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antiesplosione e loro componenti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Sistemi antincendio fissi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Idranti e sistemi antincendio a tubo flessibile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Componenti di sistemi antincendio a sprinkler e simili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Componenti di sistemi antincendio a gas</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Componenti di sistemi antincendio a polvere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Componenti di sistemi antincendio a schiuma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4106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Componenti e dispositivi antincendio ad aerosol</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Componenti e dispositivi di rivelazione e di segnalazione d'incendio</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rivelazione e di segnalazione d'incendio– dispositivi di segnalazione acustica di allarme antincendio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rivelazione e di segnalazione d'incendio – dispositivi di alimentazione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rivelazione e di segnalazione d'incendio – rilevatori di punti di calore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rivelazione e di segnalazione d'incendio – rilevatori di fumo puntuali che utilizzano luce diffusa, luce trasmessa o ionizzazione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rivelazione e di segnalazione d'incendio – rilevatori di fumo lineari che utilizzano raggi ottici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4206</w:t>
            </w:r>
          </w:p>
        </w:tc>
        <w:tc>
          <w:tcPr>
            <w:tcW w:w="5436" w:type="dxa"/>
          </w:tcPr>
          <w:p w:rsidR="00C155AB" w:rsidRPr="004363D5" w:rsidRDefault="00C155AB" w:rsidP="00A358E1">
            <w:pPr>
              <w:pStyle w:val="TableParagraph"/>
              <w:spacing w:before="0" w:line="276" w:lineRule="auto"/>
              <w:ind w:left="0" w:right="30"/>
              <w:jc w:val="both"/>
              <w:rPr>
                <w:sz w:val="20"/>
                <w:szCs w:val="20"/>
              </w:rPr>
            </w:pPr>
            <w:r>
              <w:rPr>
                <w:sz w:val="20"/>
              </w:rPr>
              <w:t xml:space="preserve">Componenti di dispositivi di rivelazione e segnalazione d'incendio </w:t>
            </w:r>
            <w:r>
              <w:rPr>
                <w:sz w:val="20"/>
              </w:rPr>
              <w:lastRenderedPageBreak/>
              <w:t>che non sono compresi nei gruppi da 4201 a 4205 – segnalatori di fumo, di calore, di incendio, centraline di segnalazione di incendi, impianti di trasmissione del segnale di allarme compresi disgiuntori di corto circuito, dispositivi di allarme, dispositivi di entrata e di uscita,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p>
        </w:tc>
        <w:tc>
          <w:tcPr>
            <w:tcW w:w="5436" w:type="dxa"/>
          </w:tcPr>
          <w:p w:rsidR="00C155AB" w:rsidRPr="004363D5" w:rsidRDefault="00C155AB" w:rsidP="00A358E1">
            <w:pPr>
              <w:pStyle w:val="TableParagraph"/>
              <w:spacing w:before="0" w:line="276" w:lineRule="auto"/>
              <w:ind w:left="0" w:right="30"/>
              <w:rPr>
                <w:sz w:val="20"/>
                <w:szCs w:val="20"/>
              </w:rPr>
            </w:pPr>
            <w:r>
              <w:rPr>
                <w:sz w:val="20"/>
              </w:rPr>
              <w:t>segnalatori a pulsanti e relativi dispositivi di alimentazione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4207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Dispositivi combinati di segnalazione di incendi e di allarme, sistemi di segnalazione di incendio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Pitture, vernici e sistemi penetranti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4301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4302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4303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Pitture e vernici e sistemi penetranti per la protezione di parti strutturali di edifici dalla corrosione e dalla degradazione tranne la protezione di strutture in calcestruzzo e la protezione dagli incendi</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Sistemi di pitture per la protezione antiruggine di sistemi di tubazioni metalliche e serbatoi</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Sistemi di pitture per la protezione di isolamenti termici dalla degradazione e di pitture contro l'umidità</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di isolamento acustico e antivibrazione</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4401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4402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 xml:space="preserve">Sistemi contro le vibrazioni e il rumore per pavimenti flottanti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rPr>
              <w:t>Sistemi contro le vibrazioni e il rumore per pareti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4403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Elementi antivibrazione per il fissaggio di installazioni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per la riparazione e la protezione di strutture in calcestruzzo</w:t>
            </w:r>
            <w:r>
              <w:rPr>
                <w:b/>
                <w:sz w:val="20"/>
                <w:vertAlign w:val="superscript"/>
              </w:rPr>
              <w:t>c</w:t>
            </w:r>
            <w:r>
              <w:rPr>
                <w:b/>
                <w:sz w:val="20"/>
              </w:rPr>
              <w:t>)</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4501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4502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4503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Prodotti per la riparazione di strutture in calcestruzzo</w:t>
            </w:r>
            <w:r>
              <w:rPr>
                <w:sz w:val="20"/>
                <w:vertAlign w:val="superscript"/>
              </w:rPr>
              <w:t>c</w:t>
            </w:r>
            <w:r>
              <w:rPr>
                <w:sz w:val="20"/>
              </w:rPr>
              <w:t>), per esempio per il riempimento di cavità, crepe, ecc.</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Prodotti per rafforzare ulteriormente strutture in calcestruzzo</w:t>
            </w:r>
            <w:r>
              <w:rPr>
                <w:sz w:val="20"/>
                <w:vertAlign w:val="superscript"/>
              </w:rPr>
              <w:t>c</w:t>
            </w:r>
            <w:r>
              <w:rPr>
                <w:sz w:val="20"/>
              </w:rPr>
              <w:t>), per esempio piastre metalliche o composite da incollare sulla superficie trattata delle travi, ecc.</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rPr>
              <w:t>Prodotti per la protezione di strutture in calcestruzzo</w:t>
            </w:r>
            <w:r>
              <w:rPr>
                <w:sz w:val="20"/>
                <w:vertAlign w:val="superscript"/>
              </w:rPr>
              <w:t>c</w:t>
            </w:r>
            <w:r>
              <w:rPr>
                <w:sz w:val="20"/>
              </w:rPr>
              <w:t xml:space="preserve">), per esempio per impregnare la superficie del calcestruzzo, per la </w:t>
            </w:r>
            <w:r>
              <w:rPr>
                <w:sz w:val="20"/>
              </w:rPr>
              <w:lastRenderedPageBreak/>
              <w:t>protezione antiruggine di rinforzi, ecc.</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lastRenderedPageBreak/>
              <w:t>In base all'uso: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le parti strutturali</w:t>
            </w:r>
            <w:r>
              <w:rPr>
                <w:sz w:val="20"/>
                <w:vertAlign w:val="superscript"/>
              </w:rPr>
              <w:t>b</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le altre parti</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rPr>
              <w:t>Prodotti speciali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4601</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Silos prefabbricati in calcestruzzo</w:t>
            </w:r>
            <w:r>
              <w:rPr>
                <w:sz w:val="20"/>
                <w:vertAlign w:val="superscript"/>
              </w:rPr>
              <w:t>c</w:t>
            </w:r>
            <w:r>
              <w:rPr>
                <w:sz w:val="20"/>
              </w:rPr>
              <w:t>) per materiali in polvere e container per rifiuti solidi installati in superficie o interrati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Prodotti prefabbricati in calcestruzzo</w:t>
            </w:r>
            <w:r>
              <w:rPr>
                <w:sz w:val="20"/>
                <w:vertAlign w:val="superscript"/>
              </w:rPr>
              <w:t>c</w:t>
            </w:r>
            <w:r>
              <w:rPr>
                <w:sz w:val="20"/>
              </w:rPr>
              <w:t>) per parti sottoposte a pressioni leggere e non portanti degli edifici, tranne tubi, serbatoi ed elementi di recinzione, per esempio scatole per apparecchi di telecomunicazione, piccoli collettori scatolari, elementi di pareti non portanti, pannelli di rivestimento, ecc.</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4603</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Elementi prefabbricati in calcestruzzo</w:t>
            </w:r>
            <w:r>
              <w:rPr>
                <w:sz w:val="20"/>
                <w:vertAlign w:val="superscript"/>
              </w:rPr>
              <w:t>c</w:t>
            </w:r>
            <w:r>
              <w:rPr>
                <w:sz w:val="20"/>
              </w:rPr>
              <w:t>) per recinzioni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4604</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Unità abitative prefabbricate d'installazione con chiusura antincendio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4605</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protezione dalla caduta di rocce per opere d'ingegneria civile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4606</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Ascensori antincendio</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4607</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risanamento delle murature umide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4608</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vetrazione di balconi e loggiati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4609</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Prodotti per le superfici di parchi giochi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uso interno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(A1FL, A2FL, BFL, CFL) ai sensi dell'articolo 4, paragrafo 2, lettera b), DFL, EFL, (da A1FL a EFL) ai sensi dell'articolo 4, paragrafo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uso esterno</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rPr>
              <w:t>4610</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Sistemi di rivestimento impermeabilizzante o di pavimenti e pareti di ambienti umidi, per esempio bagni, lavanderie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4611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Mastici e prodotti per giunti di dilatazione per muri esterni di edifici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gli usi a cui si applica la NSA, suddivisi in base alla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(A1, A2, B, C)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 xml:space="preserve">(A1, A2, B, C) ai sensi dell'articolo 4, </w:t>
            </w:r>
            <w:r>
              <w:rPr>
                <w:sz w:val="20"/>
              </w:rPr>
              <w:lastRenderedPageBreak/>
              <w:t>paragrafo 2, lettera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rPr>
              <w:lastRenderedPageBreak/>
              <w:t>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p>
        </w:tc>
        <w:tc>
          <w:tcPr>
            <w:tcW w:w="5436" w:type="dxa"/>
          </w:tcPr>
          <w:p w:rsidR="00C155AB" w:rsidRPr="004363D5" w:rsidRDefault="00C155AB" w:rsidP="00A358E1">
            <w:pPr>
              <w:pStyle w:val="TableParagraph"/>
              <w:spacing w:before="0" w:line="276" w:lineRule="auto"/>
              <w:ind w:left="0"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(da A1 a E), ai sensi dell'articolo 4, paragrafo 1, F</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rPr>
              <w:t>4612</w:t>
            </w:r>
          </w:p>
        </w:tc>
        <w:tc>
          <w:tcPr>
            <w:tcW w:w="5436" w:type="dxa"/>
          </w:tcPr>
          <w:p w:rsidR="00C155AB" w:rsidRPr="004363D5" w:rsidRDefault="00C155AB" w:rsidP="00A358E1">
            <w:pPr>
              <w:pStyle w:val="TableParagraph"/>
              <w:spacing w:before="0" w:line="276" w:lineRule="auto"/>
              <w:ind w:left="0" w:right="30"/>
              <w:rPr>
                <w:sz w:val="20"/>
                <w:szCs w:val="20"/>
              </w:rPr>
            </w:pPr>
            <w:r>
              <w:rPr>
                <w:sz w:val="20"/>
              </w:rPr>
              <w:t>Ringhiere di protezione per edifici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rPr>
              <w:t>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Sistemi idroisolanti e termoisolanti per la costruzione e la riparazione di balconi, logge e terrazze (sistemi per balconi)</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usi a cui si applicano le normative di sicurezza antincendio, suddivisi in base alla natura della classe di reazione al fuoco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rPr>
              <w:t>4614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rPr>
              <w:t>Condutture e tubi di ventilazione per la ventilazione di edifici e unità di ricircolo del calore</w:t>
            </w:r>
          </w:p>
        </w:tc>
        <w:tc>
          <w:tcPr>
            <w:tcW w:w="1674" w:type="dxa"/>
          </w:tcPr>
          <w:p w:rsidR="00C155AB" w:rsidRPr="004363D5" w:rsidRDefault="00C155AB" w:rsidP="00A358E1">
            <w:pPr>
              <w:pStyle w:val="TableParagraph"/>
              <w:spacing w:before="0" w:line="276" w:lineRule="auto"/>
              <w:ind w:left="0" w:right="30"/>
              <w:rPr>
                <w:sz w:val="20"/>
                <w:szCs w:val="20"/>
              </w:rPr>
            </w:pPr>
            <w:r>
              <w:rPr>
                <w:sz w:val="20"/>
              </w:rPr>
              <w:t>Per usi di base</w:t>
            </w:r>
            <w:r>
              <w:rPr>
                <w:sz w:val="20"/>
                <w:vertAlign w:val="superscript"/>
              </w:rPr>
              <w:t>d</w:t>
            </w:r>
            <w:r>
              <w:rPr>
                <w:sz w:val="20"/>
              </w:rPr>
              <w:t>)</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rPr>
              <w:t>Per usi a cui si applicano le normative di sicurezza antincendio, suddivisi in base alla natura della classe di reazione al fuoco (CRF):</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suscettibile di modifica durante il processo produttivo, ai sensi dell'articolo 4, paragrafo 2, lettera a)</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classificata senza esecuzione di prove, ai sensi dell'articolo 4, paragrafo 1</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rPr>
              <w:t>CRF di natura diversa dalle precedenti, ai sensi dell'articolo 4, paragrafo 2, lettera b)</w:t>
            </w:r>
          </w:p>
        </w:tc>
        <w:tc>
          <w:tcPr>
            <w:tcW w:w="597" w:type="dxa"/>
          </w:tcPr>
          <w:p w:rsidR="00C155AB" w:rsidRPr="004363D5" w:rsidRDefault="00C155AB" w:rsidP="00A358E1">
            <w:pPr>
              <w:pStyle w:val="TableParagraph"/>
              <w:spacing w:before="0" w:line="276" w:lineRule="auto"/>
              <w:ind w:left="0" w:right="30"/>
              <w:rPr>
                <w:sz w:val="20"/>
                <w:szCs w:val="20"/>
              </w:rPr>
            </w:pPr>
            <w:r>
              <w:rPr>
                <w:sz w:val="20"/>
              </w:rPr>
              <w:t>III (3)</w:t>
            </w:r>
          </w:p>
        </w:tc>
      </w:tr>
    </w:tbl>
    <w:p w:rsidR="00C202C6" w:rsidRPr="004363D5" w:rsidRDefault="00C202C6" w:rsidP="00A358E1">
      <w:pPr>
        <w:pStyle w:val="BodyText"/>
        <w:spacing w:line="276" w:lineRule="auto"/>
        <w:ind w:right="30"/>
        <w:rPr>
          <w:sz w:val="20"/>
          <w:szCs w:val="20"/>
        </w:rPr>
      </w:pPr>
    </w:p>
    <w:p w:rsidR="009A7616" w:rsidRPr="004363D5" w:rsidRDefault="00F72AF9" w:rsidP="00A358E1">
      <w:pPr>
        <w:pStyle w:val="BodyText"/>
        <w:spacing w:line="276" w:lineRule="auto"/>
        <w:ind w:left="450" w:right="30"/>
        <w:rPr>
          <w:sz w:val="20"/>
          <w:szCs w:val="20"/>
        </w:rPr>
      </w:pPr>
      <w:r>
        <w:rPr>
          <w:sz w:val="20"/>
        </w:rPr>
        <w:t>Abbreviazioni utilizzate:</w:t>
      </w:r>
    </w:p>
    <w:p w:rsidR="00814F6F" w:rsidRPr="004363D5" w:rsidRDefault="00F72AF9" w:rsidP="00A358E1">
      <w:pPr>
        <w:pStyle w:val="BodyText"/>
        <w:spacing w:line="276" w:lineRule="auto"/>
        <w:ind w:left="450" w:right="30"/>
        <w:rPr>
          <w:sz w:val="20"/>
          <w:szCs w:val="20"/>
        </w:rPr>
      </w:pPr>
      <w:r>
        <w:rPr>
          <w:sz w:val="20"/>
        </w:rPr>
        <w:t xml:space="preserve">ETICS – External Thermal Insulation Composite System (sistema composito di isolamento termico); </w:t>
      </w:r>
    </w:p>
    <w:p w:rsidR="009A7616" w:rsidRPr="004363D5" w:rsidRDefault="00F72AF9" w:rsidP="00A358E1">
      <w:pPr>
        <w:pStyle w:val="BodyText"/>
        <w:spacing w:line="276" w:lineRule="auto"/>
        <w:ind w:left="450" w:right="30"/>
        <w:rPr>
          <w:sz w:val="20"/>
          <w:szCs w:val="20"/>
        </w:rPr>
      </w:pPr>
      <w:r>
        <w:rPr>
          <w:sz w:val="20"/>
        </w:rPr>
        <w:t>NSP – normativa sulle sostanze pericolose;</w:t>
      </w:r>
    </w:p>
    <w:p w:rsidR="00814F6F" w:rsidRPr="004363D5" w:rsidRDefault="00F72AF9" w:rsidP="00A358E1">
      <w:pPr>
        <w:pStyle w:val="BodyText"/>
        <w:spacing w:line="276" w:lineRule="auto"/>
        <w:ind w:left="450" w:right="30"/>
        <w:rPr>
          <w:sz w:val="20"/>
          <w:szCs w:val="20"/>
        </w:rPr>
      </w:pPr>
      <w:r>
        <w:rPr>
          <w:sz w:val="20"/>
        </w:rPr>
        <w:t xml:space="preserve">NSA – normativa sulla sicurezza antincendio; </w:t>
      </w:r>
    </w:p>
    <w:p w:rsidR="009A7616" w:rsidRPr="004363D5" w:rsidRDefault="00F72AF9" w:rsidP="00A358E1">
      <w:pPr>
        <w:pStyle w:val="BodyText"/>
        <w:spacing w:line="276" w:lineRule="auto"/>
        <w:ind w:left="450" w:right="30"/>
        <w:rPr>
          <w:sz w:val="20"/>
          <w:szCs w:val="20"/>
        </w:rPr>
      </w:pPr>
      <w:r>
        <w:rPr>
          <w:sz w:val="20"/>
        </w:rPr>
        <w:t>PTFE – politetrafluoroetilene;</w:t>
      </w:r>
    </w:p>
    <w:p w:rsidR="009A7616" w:rsidRPr="004363D5" w:rsidRDefault="00F72AF9" w:rsidP="00A358E1">
      <w:pPr>
        <w:pStyle w:val="BodyText"/>
        <w:spacing w:line="276" w:lineRule="auto"/>
        <w:ind w:left="450" w:right="30"/>
        <w:rPr>
          <w:sz w:val="20"/>
          <w:szCs w:val="20"/>
        </w:rPr>
      </w:pPr>
      <w:r>
        <w:rPr>
          <w:sz w:val="20"/>
        </w:rPr>
        <w:t>RFE – reazione al fuoco esterno;</w:t>
      </w:r>
    </w:p>
    <w:p w:rsidR="00814F6F" w:rsidRPr="004363D5" w:rsidRDefault="00F72AF9" w:rsidP="00A358E1">
      <w:pPr>
        <w:pStyle w:val="BodyText"/>
        <w:spacing w:line="276" w:lineRule="auto"/>
        <w:ind w:left="450" w:right="30"/>
        <w:rPr>
          <w:sz w:val="20"/>
          <w:szCs w:val="20"/>
        </w:rPr>
      </w:pPr>
      <w:r>
        <w:rPr>
          <w:sz w:val="20"/>
        </w:rPr>
        <w:t xml:space="preserve">SVP – sistema di valutazione delle prestazioni; </w:t>
      </w:r>
    </w:p>
    <w:p w:rsidR="009A7616" w:rsidRPr="004363D5" w:rsidRDefault="00F72AF9" w:rsidP="00A358E1">
      <w:pPr>
        <w:pStyle w:val="BodyText"/>
        <w:spacing w:line="276" w:lineRule="auto"/>
        <w:ind w:left="450" w:right="30"/>
        <w:rPr>
          <w:sz w:val="20"/>
          <w:szCs w:val="20"/>
        </w:rPr>
      </w:pPr>
      <w:r>
        <w:rPr>
          <w:sz w:val="20"/>
        </w:rPr>
        <w:t>CRF – classe di reazione al fuoco,</w:t>
      </w:r>
    </w:p>
    <w:p w:rsidR="009A7616" w:rsidRPr="004363D5" w:rsidRDefault="009A7616" w:rsidP="00A358E1">
      <w:pPr>
        <w:pStyle w:val="BodyText"/>
        <w:spacing w:line="276" w:lineRule="auto"/>
        <w:ind w:left="450" w:right="30"/>
        <w:rPr>
          <w:sz w:val="20"/>
          <w:szCs w:val="20"/>
        </w:rPr>
      </w:pPr>
    </w:p>
    <w:p w:rsidR="009A7616" w:rsidRPr="004363D5" w:rsidRDefault="00F72AF9" w:rsidP="00A358E1">
      <w:pPr>
        <w:pStyle w:val="BodyText"/>
        <w:spacing w:line="276" w:lineRule="auto"/>
        <w:ind w:left="450" w:right="30"/>
        <w:rPr>
          <w:sz w:val="20"/>
          <w:szCs w:val="20"/>
        </w:rPr>
      </w:pPr>
      <w:r>
        <w:rPr>
          <w:sz w:val="20"/>
        </w:rPr>
        <w:t>Note esplicative:</w:t>
      </w:r>
    </w:p>
    <w:p w:rsidR="009A7616" w:rsidRPr="004363D5" w:rsidRDefault="00F72AF9" w:rsidP="00A358E1">
      <w:pPr>
        <w:pStyle w:val="BodyText"/>
        <w:spacing w:line="276" w:lineRule="auto"/>
        <w:ind w:left="450" w:right="30"/>
        <w:jc w:val="both"/>
        <w:rPr>
          <w:sz w:val="20"/>
          <w:szCs w:val="20"/>
        </w:rPr>
      </w:pPr>
      <w:r>
        <w:rPr>
          <w:sz w:val="20"/>
          <w:vertAlign w:val="superscript"/>
        </w:rPr>
        <w:t>a</w:t>
      </w:r>
      <w:r>
        <w:rPr>
          <w:sz w:val="20"/>
        </w:rPr>
        <w:t>) I sistemi di valutazione delle prestazioni I+, I, II+, III e IV sono conformi all'articolo 3, paragrafo 1 e si applicano quando i prodotti sono disciplinati da norme specifiche oppure da valutazioni tecniche della Repubblica slovacca. Se tali prodotti sono disciplinati da norme armonizzate o da valutazioni tecniche europee, si utilizzano i sistemi di valutazione delle prestazioni di cui all'articolo 3, paragrafo 4. Per i prodotti dei gruppi ai quali si applicano i documenti per la valutazione europea ai sensi dell'articolo 2, punto 12, del regolamento (UE) n. 305/2011, i sistemi specifici di valutazione delle prestazioni ai sensi dell'articolo 3, paragrafo 4, sono indicati tra parentesi e si applicano se il prodotto è conforme alla valutazione tecnica europea emessa in base al documento per la valutazione europea. Se tuttavia tale prodotto è a norma della valutazione tecnica della Repubblica slovacca, si applicano i sistemi specifici di valutazione delle prestazioni di cui all'articolo 3, paragrafo 1.</w:t>
      </w:r>
    </w:p>
    <w:p w:rsidR="009A7616" w:rsidRPr="004363D5" w:rsidRDefault="00F72AF9" w:rsidP="00A358E1">
      <w:pPr>
        <w:pStyle w:val="BodyText"/>
        <w:spacing w:line="276" w:lineRule="auto"/>
        <w:ind w:left="450" w:right="30"/>
        <w:jc w:val="both"/>
        <w:rPr>
          <w:sz w:val="20"/>
          <w:szCs w:val="20"/>
        </w:rPr>
      </w:pPr>
      <w:r>
        <w:rPr>
          <w:sz w:val="20"/>
          <w:vertAlign w:val="superscript"/>
        </w:rPr>
        <w:t>b</w:t>
      </w:r>
      <w:r>
        <w:rPr>
          <w:sz w:val="20"/>
        </w:rPr>
        <w:t>) Il termine "strutturale" indica lo scopo del prodotto nell'edificio come parte della struttura della costruzione che ne garantisce la stabilità (elemento portante) oppure come elemento autonomo che sostiene anche carichi esterni (per esempio, il carico del vento).</w:t>
      </w:r>
    </w:p>
    <w:p w:rsidR="009A7616" w:rsidRPr="004363D5" w:rsidRDefault="00F72AF9" w:rsidP="00A358E1">
      <w:pPr>
        <w:pStyle w:val="BodyText"/>
        <w:spacing w:line="276" w:lineRule="auto"/>
        <w:ind w:left="450" w:right="30"/>
        <w:jc w:val="both"/>
        <w:rPr>
          <w:sz w:val="20"/>
          <w:szCs w:val="20"/>
        </w:rPr>
      </w:pPr>
      <w:r>
        <w:rPr>
          <w:sz w:val="20"/>
          <w:vertAlign w:val="superscript"/>
        </w:rPr>
        <w:t>c</w:t>
      </w:r>
      <w:r>
        <w:rPr>
          <w:sz w:val="20"/>
        </w:rPr>
        <w:t>) I termini "in calcestruzzo" oppure "di calcestruzzo" indicano i prodotti in calcestruzzo denso, leggero o poroso, armato o non armato.</w:t>
      </w:r>
    </w:p>
    <w:p w:rsidR="009A7616" w:rsidRPr="004363D5" w:rsidRDefault="00F72AF9" w:rsidP="00A358E1">
      <w:pPr>
        <w:pStyle w:val="BodyText"/>
        <w:spacing w:line="276" w:lineRule="auto"/>
        <w:ind w:left="450" w:right="30"/>
        <w:jc w:val="both"/>
        <w:rPr>
          <w:sz w:val="20"/>
          <w:szCs w:val="20"/>
        </w:rPr>
      </w:pPr>
      <w:r>
        <w:rPr>
          <w:sz w:val="20"/>
          <w:vertAlign w:val="superscript"/>
        </w:rPr>
        <w:t>d</w:t>
      </w:r>
      <w:r>
        <w:rPr>
          <w:sz w:val="20"/>
        </w:rPr>
        <w:t>) L'"uso di base" è l'uso del prodotto in edilizia riguardo al quale non si dichiara per il gruppo o i gruppi di prodotti uno scopo o uso specifico in quelle costruzioni o parti di esse alle quali si applicano leggi, requisiti o caratteristiche speciali descritti nel testo sotto all'uso di base. Se si applicano uno o più sistemi di valutazione delle prestazioni richiesti per il rispetto delle specifiche, tale sistema o tali sistemi si applicano insieme al sistema determinato per l'uso di base e il produttore emette soltanto una dichiarazione di prestazione.</w:t>
      </w:r>
    </w:p>
    <w:p w:rsidR="009A7616" w:rsidRPr="004363D5" w:rsidRDefault="00F72AF9" w:rsidP="00A358E1">
      <w:pPr>
        <w:pStyle w:val="BodyText"/>
        <w:spacing w:line="276" w:lineRule="auto"/>
        <w:ind w:left="450" w:right="30"/>
        <w:jc w:val="both"/>
        <w:rPr>
          <w:sz w:val="20"/>
          <w:szCs w:val="20"/>
        </w:rPr>
      </w:pPr>
      <w:r>
        <w:rPr>
          <w:sz w:val="20"/>
          <w:vertAlign w:val="superscript"/>
        </w:rPr>
        <w:t>e</w:t>
      </w:r>
      <w:r>
        <w:rPr>
          <w:sz w:val="20"/>
        </w:rPr>
        <w:t>) Si applica ai gruppi 0401 e 0404.</w:t>
      </w:r>
    </w:p>
    <w:p w:rsidR="009A7616" w:rsidRPr="004363D5" w:rsidRDefault="00F72AF9" w:rsidP="00A358E1">
      <w:pPr>
        <w:pStyle w:val="BodyText"/>
        <w:spacing w:line="276" w:lineRule="auto"/>
        <w:ind w:left="450" w:right="30"/>
        <w:jc w:val="both"/>
        <w:rPr>
          <w:sz w:val="20"/>
          <w:szCs w:val="20"/>
        </w:rPr>
      </w:pPr>
      <w:r>
        <w:rPr>
          <w:sz w:val="20"/>
          <w:vertAlign w:val="superscript"/>
        </w:rPr>
        <w:t>f</w:t>
      </w:r>
      <w:r>
        <w:rPr>
          <w:sz w:val="20"/>
        </w:rPr>
        <w:t>) Si applica ai gruppi 0404 e 0405.</w:t>
      </w:r>
    </w:p>
    <w:p w:rsidR="009A7616" w:rsidRPr="004363D5" w:rsidRDefault="00F72AF9" w:rsidP="00A358E1">
      <w:pPr>
        <w:pStyle w:val="BodyText"/>
        <w:spacing w:line="276" w:lineRule="auto"/>
        <w:ind w:left="450" w:right="30"/>
        <w:jc w:val="both"/>
        <w:rPr>
          <w:sz w:val="20"/>
          <w:szCs w:val="20"/>
        </w:rPr>
      </w:pPr>
      <w:r>
        <w:rPr>
          <w:sz w:val="20"/>
          <w:vertAlign w:val="superscript"/>
        </w:rPr>
        <w:t>g</w:t>
      </w:r>
      <w:r>
        <w:rPr>
          <w:sz w:val="20"/>
        </w:rPr>
        <w:t>) La composizione e le modalità di fabbricazione della malta proposta sono selezionate al fine di ottenere prestazioni specifiche (concetto di qualità). La malta a composizione specificata è fabbricata in base a una formula prescritta (concetto di formula).</w:t>
      </w:r>
    </w:p>
    <w:p w:rsidR="009A7616" w:rsidRPr="004363D5" w:rsidRDefault="00F72AF9" w:rsidP="00A358E1">
      <w:pPr>
        <w:pStyle w:val="BodyText"/>
        <w:spacing w:line="276" w:lineRule="auto"/>
        <w:ind w:left="450" w:right="30"/>
        <w:jc w:val="both"/>
        <w:rPr>
          <w:sz w:val="20"/>
          <w:szCs w:val="20"/>
        </w:rPr>
      </w:pPr>
      <w:r>
        <w:rPr>
          <w:sz w:val="20"/>
          <w:vertAlign w:val="superscript"/>
        </w:rPr>
        <w:t>h</w:t>
      </w:r>
      <w:r>
        <w:rPr>
          <w:sz w:val="20"/>
        </w:rPr>
        <w:t>) Il tipo I comprende l'aggiunta di materiali inerti o quasi inerti. Il tipo II comprende l'aggiunta di materiali</w:t>
      </w:r>
    </w:p>
    <w:p w:rsidR="009A7616" w:rsidRPr="004363D5" w:rsidRDefault="00F72AF9" w:rsidP="00A358E1">
      <w:pPr>
        <w:pStyle w:val="BodyText"/>
        <w:spacing w:line="276" w:lineRule="auto"/>
        <w:ind w:left="450" w:right="30"/>
        <w:rPr>
          <w:sz w:val="20"/>
          <w:szCs w:val="20"/>
        </w:rPr>
      </w:pPr>
      <w:r>
        <w:rPr>
          <w:sz w:val="20"/>
        </w:rPr>
        <w:t>attivi.</w:t>
      </w:r>
    </w:p>
    <w:p w:rsidR="009A7616" w:rsidRPr="004363D5" w:rsidRDefault="00F72AF9" w:rsidP="00A358E1">
      <w:pPr>
        <w:pStyle w:val="BodyText"/>
        <w:spacing w:line="276" w:lineRule="auto"/>
        <w:ind w:left="450" w:right="30"/>
        <w:rPr>
          <w:sz w:val="20"/>
          <w:szCs w:val="20"/>
        </w:rPr>
      </w:pPr>
      <w:r>
        <w:rPr>
          <w:sz w:val="20"/>
          <w:vertAlign w:val="superscript"/>
        </w:rPr>
        <w:t>i</w:t>
      </w:r>
      <w:r>
        <w:rPr>
          <w:sz w:val="20"/>
        </w:rPr>
        <w:t>) Gli elementi di muratura della categoria I hanno una resistenza garantita alla pressione con una probabilità di cedimento inferiore al 5 %, a differenza della categoria II con affidabilità non garantita.</w:t>
      </w:r>
    </w:p>
    <w:p w:rsidR="009A7616" w:rsidRPr="004363D5" w:rsidRDefault="00F72AF9" w:rsidP="00A358E1">
      <w:pPr>
        <w:pStyle w:val="BodyText"/>
        <w:spacing w:line="276" w:lineRule="auto"/>
        <w:ind w:left="450" w:right="30"/>
        <w:rPr>
          <w:sz w:val="20"/>
          <w:szCs w:val="20"/>
        </w:rPr>
      </w:pPr>
      <w:r>
        <w:rPr>
          <w:sz w:val="20"/>
          <w:vertAlign w:val="superscript"/>
        </w:rPr>
        <w:t>j</w:t>
      </w:r>
      <w:r>
        <w:rPr>
          <w:sz w:val="20"/>
        </w:rPr>
        <w:t>) Si applica solo agli elementi con materiali termoisolanti integrati e si applica il sistema di valutazione</w:t>
      </w:r>
    </w:p>
    <w:p w:rsidR="009A7616" w:rsidRPr="004363D5" w:rsidRDefault="00F72AF9" w:rsidP="00A358E1">
      <w:pPr>
        <w:pStyle w:val="BodyText"/>
        <w:spacing w:line="276" w:lineRule="auto"/>
        <w:ind w:left="450" w:right="30"/>
        <w:rPr>
          <w:sz w:val="20"/>
          <w:szCs w:val="20"/>
        </w:rPr>
      </w:pPr>
      <w:r>
        <w:rPr>
          <w:sz w:val="20"/>
        </w:rPr>
        <w:t>delle prestazioni in base alla categoria dell'elemento.</w:t>
      </w:r>
    </w:p>
    <w:p w:rsidR="009A7616" w:rsidRPr="004363D5" w:rsidRDefault="00F72AF9" w:rsidP="00A358E1">
      <w:pPr>
        <w:pStyle w:val="BodyText"/>
        <w:spacing w:line="276" w:lineRule="auto"/>
        <w:ind w:left="450" w:right="30"/>
        <w:rPr>
          <w:sz w:val="20"/>
          <w:szCs w:val="20"/>
        </w:rPr>
      </w:pPr>
      <w:r>
        <w:rPr>
          <w:sz w:val="20"/>
          <w:vertAlign w:val="superscript"/>
        </w:rPr>
        <w:t>k</w:t>
      </w:r>
      <w:r>
        <w:rPr>
          <w:sz w:val="20"/>
        </w:rPr>
        <w:t>) I sistemi di tipo I e III, a differenza dei sistemi di tipo II e IV, contengono elementi che riducono il rischio in caso di cedimento di giunti incollati.</w:t>
      </w:r>
    </w:p>
    <w:p w:rsidR="009A7616" w:rsidRPr="004363D5" w:rsidRDefault="00F72AF9" w:rsidP="00A358E1">
      <w:pPr>
        <w:pStyle w:val="BodyText"/>
        <w:spacing w:line="276" w:lineRule="auto"/>
        <w:ind w:left="450" w:right="30"/>
        <w:rPr>
          <w:sz w:val="20"/>
          <w:szCs w:val="20"/>
        </w:rPr>
      </w:pPr>
      <w:r>
        <w:rPr>
          <w:sz w:val="20"/>
          <w:vertAlign w:val="superscript"/>
        </w:rPr>
        <w:t>l</w:t>
      </w:r>
      <w:r>
        <w:rPr>
          <w:sz w:val="20"/>
        </w:rPr>
        <w:t>) Si applica al gruppo 2104.</w:t>
      </w:r>
    </w:p>
    <w:p w:rsidR="009A7616" w:rsidRPr="004363D5" w:rsidRDefault="00F72AF9" w:rsidP="00A358E1">
      <w:pPr>
        <w:pStyle w:val="BodyText"/>
        <w:spacing w:line="276" w:lineRule="auto"/>
        <w:ind w:left="450" w:right="30"/>
        <w:rPr>
          <w:sz w:val="20"/>
          <w:szCs w:val="20"/>
        </w:rPr>
      </w:pPr>
      <w:r>
        <w:rPr>
          <w:sz w:val="20"/>
          <w:vertAlign w:val="superscript"/>
        </w:rPr>
        <w:t>m</w:t>
      </w:r>
      <w:r>
        <w:rPr>
          <w:sz w:val="20"/>
        </w:rPr>
        <w:t>) Si applica solo ai pannelli e ai controsoffitti.</w:t>
      </w:r>
    </w:p>
    <w:p w:rsidR="009A7616" w:rsidRPr="004363D5" w:rsidRDefault="00F72AF9" w:rsidP="00A358E1">
      <w:pPr>
        <w:pStyle w:val="BodyText"/>
        <w:spacing w:line="276" w:lineRule="auto"/>
        <w:ind w:left="450" w:right="30"/>
        <w:rPr>
          <w:sz w:val="20"/>
          <w:szCs w:val="20"/>
        </w:rPr>
      </w:pPr>
      <w:r>
        <w:rPr>
          <w:sz w:val="20"/>
          <w:vertAlign w:val="superscript"/>
        </w:rPr>
        <w:t>n</w:t>
      </w:r>
      <w:r>
        <w:rPr>
          <w:sz w:val="20"/>
        </w:rPr>
        <w:t>) Si applica solo ai pannelli che hanno anche funzione di elementi di rinforzo per pareti o soffitti.</w:t>
      </w:r>
    </w:p>
    <w:p w:rsidR="009A7616" w:rsidRPr="004363D5" w:rsidRDefault="00F72AF9" w:rsidP="00A358E1">
      <w:pPr>
        <w:pStyle w:val="BodyText"/>
        <w:spacing w:line="276" w:lineRule="auto"/>
        <w:ind w:left="450" w:right="30"/>
        <w:rPr>
          <w:sz w:val="20"/>
          <w:szCs w:val="20"/>
        </w:rPr>
      </w:pPr>
      <w:r>
        <w:rPr>
          <w:sz w:val="20"/>
          <w:vertAlign w:val="superscript"/>
        </w:rPr>
        <w:t>o</w:t>
      </w:r>
      <w:r>
        <w:rPr>
          <w:sz w:val="20"/>
        </w:rPr>
        <w:t>) Si applica solo alle piastrelle e ai pannelli in materiali fragili, alle piastrelle e ai pannelli per controsoffitti.</w:t>
      </w:r>
    </w:p>
    <w:p w:rsidR="009A7616" w:rsidRPr="004363D5" w:rsidRDefault="00F72AF9" w:rsidP="00A358E1">
      <w:pPr>
        <w:pStyle w:val="BodyText"/>
        <w:spacing w:line="276" w:lineRule="auto"/>
        <w:ind w:left="450" w:right="30"/>
        <w:rPr>
          <w:sz w:val="20"/>
          <w:szCs w:val="20"/>
        </w:rPr>
      </w:pPr>
      <w:r>
        <w:rPr>
          <w:sz w:val="20"/>
          <w:vertAlign w:val="superscript"/>
        </w:rPr>
        <w:t>p</w:t>
      </w:r>
      <w:r>
        <w:rPr>
          <w:sz w:val="20"/>
        </w:rPr>
        <w:t>) Si applica solo ai supporti per tubi, ai raccordi e ai dispositivi di sicurezza.</w:t>
      </w:r>
    </w:p>
    <w:p w:rsidR="009A7616" w:rsidRPr="004363D5" w:rsidRDefault="00F72AF9" w:rsidP="00A358E1">
      <w:pPr>
        <w:pStyle w:val="BodyText"/>
        <w:spacing w:line="276" w:lineRule="auto"/>
        <w:ind w:left="450" w:right="30"/>
        <w:rPr>
          <w:sz w:val="20"/>
          <w:szCs w:val="20"/>
        </w:rPr>
      </w:pPr>
      <w:r>
        <w:rPr>
          <w:sz w:val="20"/>
          <w:vertAlign w:val="superscript"/>
        </w:rPr>
        <w:lastRenderedPageBreak/>
        <w:t>q</w:t>
      </w:r>
      <w:r>
        <w:rPr>
          <w:sz w:val="20"/>
        </w:rPr>
        <w:t>) Si applica solo ai serbatoi.</w:t>
      </w:r>
    </w:p>
    <w:p w:rsidR="009A7616" w:rsidRPr="004363D5" w:rsidRDefault="00F72AF9" w:rsidP="00A358E1">
      <w:pPr>
        <w:pStyle w:val="BodyText"/>
        <w:spacing w:line="276" w:lineRule="auto"/>
        <w:ind w:left="450" w:right="30"/>
        <w:rPr>
          <w:sz w:val="20"/>
          <w:szCs w:val="20"/>
        </w:rPr>
      </w:pPr>
      <w:r>
        <w:rPr>
          <w:sz w:val="20"/>
          <w:vertAlign w:val="superscript"/>
        </w:rPr>
        <w:t>r</w:t>
      </w:r>
      <w:r>
        <w:rPr>
          <w:sz w:val="20"/>
        </w:rPr>
        <w:t>) Si applica solo alle cappe di camini.".</w:t>
      </w:r>
    </w:p>
    <w:p w:rsidR="0026606D" w:rsidRPr="004363D5" w:rsidRDefault="0026606D" w:rsidP="00A358E1">
      <w:pPr>
        <w:spacing w:line="276" w:lineRule="auto"/>
        <w:ind w:right="30"/>
        <w:rPr>
          <w:sz w:val="20"/>
          <w:szCs w:val="20"/>
        </w:rPr>
      </w:pPr>
    </w:p>
    <w:p w:rsidR="009A7616" w:rsidRPr="004363D5"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Le note da 9 a 12 recitano:</w:t>
      </w:r>
    </w:p>
    <w:p w:rsidR="009A7616" w:rsidRPr="004363D5" w:rsidRDefault="00F72AF9" w:rsidP="00A358E1">
      <w:pPr>
        <w:spacing w:line="276" w:lineRule="auto"/>
        <w:ind w:right="30"/>
        <w:jc w:val="both"/>
        <w:rPr>
          <w:sz w:val="20"/>
          <w:szCs w:val="20"/>
        </w:rPr>
      </w:pPr>
      <w:r>
        <w:rPr>
          <w:sz w:val="20"/>
        </w:rPr>
        <w:t>"</w:t>
      </w:r>
      <w:r>
        <w:rPr>
          <w:sz w:val="20"/>
          <w:vertAlign w:val="superscript"/>
        </w:rPr>
        <w:t>9</w:t>
      </w:r>
      <w:r>
        <w:rPr>
          <w:sz w:val="20"/>
        </w:rPr>
        <w:t>) Decreto del ministero dell'Ambiente della Repubblica slovacca n. 119/2016 Racc. che stabilisce le modalità di svolgimento della sorveglianza tecnica di sicurezza professionale delle opere idrauliche e del controllo tecnico di sicurezza.</w:t>
      </w:r>
    </w:p>
    <w:p w:rsidR="009A7616" w:rsidRPr="004363D5" w:rsidRDefault="00F72AF9" w:rsidP="00A358E1">
      <w:pPr>
        <w:spacing w:line="276" w:lineRule="auto"/>
        <w:ind w:right="30"/>
        <w:rPr>
          <w:sz w:val="20"/>
          <w:szCs w:val="20"/>
        </w:rPr>
      </w:pPr>
      <w:r>
        <w:rPr>
          <w:sz w:val="20"/>
          <w:vertAlign w:val="superscript"/>
        </w:rPr>
        <w:t>10</w:t>
      </w:r>
      <w:r>
        <w:rPr>
          <w:sz w:val="20"/>
        </w:rPr>
        <w:t>) STN 73 6114 Carreggiate per vie di comunicazione terrestri. Disposizioni fondamentali per la progettazione (73 6114).</w:t>
      </w:r>
    </w:p>
    <w:p w:rsidR="009A7616" w:rsidRPr="004363D5" w:rsidRDefault="00F72AF9" w:rsidP="00A358E1">
      <w:pPr>
        <w:spacing w:line="276" w:lineRule="auto"/>
        <w:ind w:right="30"/>
        <w:rPr>
          <w:sz w:val="20"/>
          <w:szCs w:val="20"/>
        </w:rPr>
      </w:pPr>
      <w:r>
        <w:rPr>
          <w:sz w:val="20"/>
          <w:vertAlign w:val="superscript"/>
        </w:rPr>
        <w:t>11</w:t>
      </w:r>
      <w:r>
        <w:rPr>
          <w:sz w:val="20"/>
        </w:rPr>
        <w:t>) STN 75 0150 Gestione delle acque. Nomenclatura della gestione delle acque (75 0150).</w:t>
      </w:r>
    </w:p>
    <w:p w:rsidR="009A7616" w:rsidRPr="004363D5" w:rsidRDefault="00F72AF9" w:rsidP="00A358E1">
      <w:pPr>
        <w:spacing w:line="276" w:lineRule="auto"/>
        <w:ind w:right="30"/>
        <w:rPr>
          <w:sz w:val="20"/>
          <w:szCs w:val="20"/>
        </w:rPr>
      </w:pPr>
      <w:r>
        <w:rPr>
          <w:sz w:val="20"/>
          <w:vertAlign w:val="superscript"/>
        </w:rPr>
        <w:t>12</w:t>
      </w:r>
      <w:r>
        <w:rPr>
          <w:sz w:val="20"/>
        </w:rPr>
        <w:t>) Decreto del ministero degli Interni della Repubblica slovacca n. 478/2008 Racc. sulle caratteristiche, sulle condizioni specifiche di gestione e sul regolare controllo delle porte tagliafuoco.".</w:t>
      </w:r>
    </w:p>
    <w:p w:rsidR="00814F6F" w:rsidRPr="004363D5" w:rsidRDefault="00814F6F" w:rsidP="00A358E1">
      <w:pPr>
        <w:spacing w:line="276" w:lineRule="auto"/>
        <w:ind w:right="30"/>
        <w:jc w:val="center"/>
        <w:rPr>
          <w:b/>
          <w:sz w:val="20"/>
          <w:szCs w:val="20"/>
        </w:rPr>
      </w:pPr>
    </w:p>
    <w:p w:rsidR="009A7616" w:rsidRPr="004363D5" w:rsidRDefault="00F72AF9" w:rsidP="00A358E1">
      <w:pPr>
        <w:spacing w:line="276" w:lineRule="auto"/>
        <w:ind w:right="30"/>
        <w:jc w:val="center"/>
        <w:rPr>
          <w:b/>
          <w:sz w:val="20"/>
          <w:szCs w:val="20"/>
        </w:rPr>
      </w:pPr>
      <w:r>
        <w:rPr>
          <w:b/>
          <w:sz w:val="20"/>
        </w:rPr>
        <w:t>Articolo II</w:t>
      </w:r>
    </w:p>
    <w:p w:rsidR="009A7616" w:rsidRPr="004363D5" w:rsidRDefault="00F72AF9" w:rsidP="00A358E1">
      <w:pPr>
        <w:spacing w:line="276" w:lineRule="auto"/>
        <w:ind w:right="30"/>
        <w:rPr>
          <w:sz w:val="20"/>
          <w:szCs w:val="20"/>
        </w:rPr>
      </w:pPr>
      <w:r>
        <w:rPr>
          <w:sz w:val="20"/>
        </w:rPr>
        <w:t>Il presente decreto entra in vigore il 1° marzo 2020.</w:t>
      </w:r>
    </w:p>
    <w:p w:rsidR="009A7616" w:rsidRPr="004363D5" w:rsidRDefault="009A7616" w:rsidP="00A358E1">
      <w:pPr>
        <w:pStyle w:val="BodyText"/>
        <w:spacing w:line="276" w:lineRule="auto"/>
        <w:ind w:right="30"/>
        <w:rPr>
          <w:sz w:val="20"/>
          <w:szCs w:val="20"/>
        </w:rPr>
      </w:pPr>
    </w:p>
    <w:p w:rsidR="009A7616" w:rsidRPr="004363D5" w:rsidRDefault="00F72AF9" w:rsidP="00A358E1">
      <w:pPr>
        <w:spacing w:line="276" w:lineRule="auto"/>
        <w:ind w:right="30"/>
        <w:jc w:val="center"/>
        <w:rPr>
          <w:b/>
          <w:sz w:val="20"/>
          <w:szCs w:val="20"/>
        </w:rPr>
      </w:pPr>
      <w:r>
        <w:rPr>
          <w:b/>
          <w:sz w:val="20"/>
        </w:rPr>
        <w:t>Arpád Érsek, firma sull'originale</w:t>
      </w:r>
    </w:p>
    <w:p w:rsidR="0026606D" w:rsidRPr="004363D5" w:rsidRDefault="0026606D" w:rsidP="00A358E1">
      <w:pPr>
        <w:spacing w:line="276" w:lineRule="auto"/>
        <w:ind w:right="30"/>
        <w:jc w:val="center"/>
        <w:rPr>
          <w:sz w:val="20"/>
          <w:szCs w:val="20"/>
        </w:rPr>
      </w:pPr>
    </w:p>
    <w:p w:rsidR="009A7616" w:rsidRPr="004363D5" w:rsidRDefault="009A7616" w:rsidP="00A358E1">
      <w:pPr>
        <w:pStyle w:val="BodyText"/>
        <w:spacing w:line="276" w:lineRule="auto"/>
        <w:ind w:right="30"/>
        <w:rPr>
          <w:b/>
          <w:sz w:val="20"/>
          <w:szCs w:val="20"/>
        </w:rPr>
      </w:pPr>
    </w:p>
    <w:p w:rsidR="00814F6F" w:rsidRPr="004363D5" w:rsidRDefault="00814F6F" w:rsidP="00A358E1">
      <w:pPr>
        <w:pStyle w:val="BodyText"/>
        <w:spacing w:line="276" w:lineRule="auto"/>
        <w:ind w:right="30"/>
        <w:rPr>
          <w:b/>
          <w:sz w:val="20"/>
          <w:szCs w:val="20"/>
        </w:rPr>
      </w:pPr>
      <w:r>
        <w:br w:type="page"/>
      </w: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F030BF" w:rsidP="00A358E1">
      <w:pPr>
        <w:pStyle w:val="BodyText"/>
        <w:spacing w:line="276" w:lineRule="auto"/>
        <w:ind w:right="30"/>
        <w:rPr>
          <w:b/>
          <w:sz w:val="20"/>
          <w:szCs w:val="20"/>
        </w:rPr>
      </w:pPr>
      <w:r>
        <w:rPr>
          <w:sz w:val="20"/>
          <w:szCs w:val="20"/>
        </w:rPr>
        <w:pict>
          <v:shape id="_x0000_s1026" style="position:absolute;margin-left:55.25pt;margin-top:11.85pt;width:484.7pt;height:.1pt;z-index:-251658752;mso-wrap-distance-left:0;mso-wrap-distance-right:0;mso-position-horizontal-relative:page" coordorigin="1105,237" coordsize="9694,0" path="m1105,237r9694,e" filled="f" strokeweight=".39969mm">
            <v:path arrowok="t"/>
            <w10:wrap type="topAndBottom" anchorx="page"/>
          </v:shape>
        </w:pict>
      </w:r>
    </w:p>
    <w:p w:rsidR="009A7616" w:rsidRPr="004363D5" w:rsidRDefault="009A7616" w:rsidP="00A358E1">
      <w:pPr>
        <w:pStyle w:val="BodyText"/>
        <w:spacing w:line="276" w:lineRule="auto"/>
        <w:ind w:right="30"/>
        <w:rPr>
          <w:b/>
          <w:sz w:val="20"/>
          <w:szCs w:val="20"/>
        </w:rPr>
      </w:pPr>
    </w:p>
    <w:p w:rsidR="009A7616" w:rsidRPr="004363D5" w:rsidRDefault="00F72AF9" w:rsidP="00A358E1">
      <w:pPr>
        <w:spacing w:line="276" w:lineRule="auto"/>
        <w:ind w:right="30"/>
        <w:jc w:val="center"/>
        <w:rPr>
          <w:sz w:val="20"/>
          <w:szCs w:val="20"/>
        </w:rPr>
      </w:pPr>
      <w:r>
        <w:rPr>
          <w:sz w:val="20"/>
        </w:rPr>
        <w:t xml:space="preserve">La Gazzetta ufficiale della Repubblica slovacca e i contenuti del portale giuridico e d'informazione Slov-Lex, disponibile all'indirizzo </w:t>
      </w:r>
      <w:hyperlink r:id="rId11">
        <w:r>
          <w:rPr>
            <w:sz w:val="20"/>
            <w:szCs w:val="20"/>
          </w:rPr>
          <w:t>www.slov-lex.sk</w:t>
        </w:r>
      </w:hyperlink>
      <w:r>
        <w:rPr>
          <w:sz w:val="20"/>
        </w:rPr>
        <w:t>, sono pubblicati e amministrati dal</w:t>
      </w:r>
    </w:p>
    <w:p w:rsidR="009A7616" w:rsidRPr="004363D5" w:rsidRDefault="00F72AF9" w:rsidP="00A358E1">
      <w:pPr>
        <w:spacing w:line="276" w:lineRule="auto"/>
        <w:ind w:right="30"/>
        <w:jc w:val="center"/>
        <w:rPr>
          <w:sz w:val="20"/>
          <w:szCs w:val="20"/>
        </w:rPr>
      </w:pPr>
      <w:r>
        <w:rPr>
          <w:sz w:val="20"/>
        </w:rPr>
        <w:t>ministero della Giustizia della Repubblica slovacca, Župné námestie 13, 813 11 Bratislava,</w:t>
      </w:r>
      <w:r>
        <w:rPr>
          <w:sz w:val="20"/>
        </w:rPr>
        <w:br/>
        <w:t xml:space="preserve">tel.: 02 888 91 131, e-mail: </w:t>
      </w:r>
      <w:hyperlink r:id="rId12">
        <w:r>
          <w:rPr>
            <w:sz w:val="20"/>
            <w:szCs w:val="20"/>
          </w:rPr>
          <w:t>helpdesk@slov-lex.sk.</w:t>
        </w:r>
      </w:hyperlink>
    </w:p>
    <w:sectPr w:rsidR="009A7616" w:rsidRPr="004363D5" w:rsidSect="003E0348">
      <w:headerReference w:type="even" r:id="rId13"/>
      <w:headerReference w:type="default" r:id="rId14"/>
      <w:footerReference w:type="even" r:id="rId15"/>
      <w:footerReference w:type="default" r:id="rId16"/>
      <w:headerReference w:type="first" r:id="rId17"/>
      <w:footerReference w:type="first" r:id="rId18"/>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17" w:rsidRDefault="00B76517">
      <w:r>
        <w:separator/>
      </w:r>
    </w:p>
  </w:endnote>
  <w:endnote w:type="continuationSeparator" w:id="0">
    <w:p w:rsidR="00B76517" w:rsidRDefault="00B7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17" w:rsidRDefault="00B76517">
      <w:r>
        <w:separator/>
      </w:r>
    </w:p>
  </w:footnote>
  <w:footnote w:type="continuationSeparator" w:id="0">
    <w:p w:rsidR="00B76517" w:rsidRDefault="00B7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2F5637" w:rsidTr="001800E3">
      <w:tc>
        <w:tcPr>
          <w:tcW w:w="1728" w:type="dxa"/>
        </w:tcPr>
        <w:p w:rsidR="002F5637" w:rsidRPr="003703E1" w:rsidRDefault="002F5637" w:rsidP="003E0348">
          <w:pPr>
            <w:spacing w:before="24"/>
            <w:ind w:left="20"/>
            <w:rPr>
              <w:rFonts w:ascii="Palatino Linotype" w:hAnsi="Palatino Linotype"/>
              <w:w w:val="110"/>
              <w:sz w:val="20"/>
            </w:rPr>
          </w:pPr>
          <w:r>
            <w:rPr>
              <w:rFonts w:ascii="Palatino Linotype" w:hAnsi="Palatino Linotype"/>
              <w:sz w:val="20"/>
            </w:rPr>
            <w:t xml:space="preserve">Pagina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F030BF">
            <w:rPr>
              <w:rFonts w:ascii="Palatino Linotype" w:hAnsi="Palatino Linotype"/>
              <w:noProof/>
              <w:sz w:val="20"/>
            </w:rPr>
            <w:t>24</w:t>
          </w:r>
          <w:r w:rsidRPr="003703E1">
            <w:rPr>
              <w:rFonts w:ascii="Palatino Linotype" w:hAnsi="Palatino Linotype"/>
              <w:sz w:val="20"/>
            </w:rPr>
            <w:fldChar w:fldCharType="end"/>
          </w:r>
        </w:p>
      </w:tc>
      <w:tc>
        <w:tcPr>
          <w:tcW w:w="5310" w:type="dxa"/>
        </w:tcPr>
        <w:p w:rsidR="002F5637" w:rsidRPr="003703E1" w:rsidRDefault="002F5637" w:rsidP="003E0348">
          <w:pPr>
            <w:spacing w:before="24"/>
            <w:ind w:left="20"/>
            <w:jc w:val="center"/>
            <w:rPr>
              <w:rFonts w:ascii="Palatino Linotype" w:hAnsi="Palatino Linotype"/>
              <w:w w:val="110"/>
              <w:sz w:val="20"/>
            </w:rPr>
          </w:pPr>
          <w:r>
            <w:rPr>
              <w:rFonts w:ascii="Palatino Linotype" w:hAnsi="Palatino Linotype"/>
              <w:sz w:val="20"/>
            </w:rPr>
            <w:t>Gazzetta ufficiale della Repubblica slovacca</w:t>
          </w:r>
        </w:p>
      </w:tc>
      <w:tc>
        <w:tcPr>
          <w:tcW w:w="2208" w:type="dxa"/>
        </w:tcPr>
        <w:p w:rsidR="002F5637" w:rsidRPr="003E0348" w:rsidRDefault="002F5637" w:rsidP="003E0348">
          <w:pPr>
            <w:spacing w:before="60"/>
            <w:ind w:left="20"/>
            <w:jc w:val="right"/>
            <w:rPr>
              <w:b/>
              <w:sz w:val="20"/>
            </w:rPr>
          </w:pPr>
          <w:r>
            <w:rPr>
              <w:b/>
              <w:sz w:val="20"/>
            </w:rPr>
            <w:t>17/2020 Racc.</w:t>
          </w:r>
        </w:p>
      </w:tc>
    </w:tr>
  </w:tbl>
  <w:p w:rsidR="002F5637" w:rsidRDefault="002F5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2F5637" w:rsidTr="001800E3">
      <w:tc>
        <w:tcPr>
          <w:tcW w:w="2538" w:type="dxa"/>
        </w:tcPr>
        <w:p w:rsidR="002F5637" w:rsidRPr="003E0348" w:rsidRDefault="002F5637" w:rsidP="003E0348">
          <w:pPr>
            <w:spacing w:before="24"/>
            <w:ind w:left="20"/>
            <w:rPr>
              <w:rFonts w:ascii="Palatino Linotype"/>
              <w:sz w:val="20"/>
            </w:rPr>
          </w:pPr>
          <w:r>
            <w:rPr>
              <w:b/>
              <w:sz w:val="20"/>
            </w:rPr>
            <w:t>17/2020 Racc.</w:t>
          </w:r>
        </w:p>
      </w:tc>
      <w:tc>
        <w:tcPr>
          <w:tcW w:w="4500" w:type="dxa"/>
        </w:tcPr>
        <w:p w:rsidR="002F5637" w:rsidRPr="003703E1" w:rsidRDefault="002F5637" w:rsidP="003E0348">
          <w:pPr>
            <w:spacing w:before="24"/>
            <w:ind w:left="20"/>
            <w:jc w:val="center"/>
            <w:rPr>
              <w:rFonts w:ascii="Palatino Linotype" w:hAnsi="Palatino Linotype"/>
              <w:w w:val="110"/>
              <w:sz w:val="20"/>
            </w:rPr>
          </w:pPr>
          <w:r>
            <w:rPr>
              <w:rFonts w:ascii="Palatino Linotype" w:hAnsi="Palatino Linotype"/>
              <w:sz w:val="20"/>
            </w:rPr>
            <w:t>Gazzetta ufficiale della Repubblica slovacca</w:t>
          </w:r>
        </w:p>
      </w:tc>
      <w:tc>
        <w:tcPr>
          <w:tcW w:w="2208" w:type="dxa"/>
        </w:tcPr>
        <w:p w:rsidR="002F5637" w:rsidRPr="003703E1" w:rsidRDefault="002F5637" w:rsidP="003E0348">
          <w:pPr>
            <w:spacing w:before="60"/>
            <w:ind w:left="20"/>
            <w:jc w:val="right"/>
            <w:rPr>
              <w:rFonts w:ascii="Palatino Linotype" w:hAnsi="Palatino Linotype"/>
              <w:w w:val="110"/>
              <w:sz w:val="20"/>
            </w:rPr>
          </w:pPr>
          <w:r>
            <w:rPr>
              <w:rFonts w:ascii="Palatino Linotype" w:hAnsi="Palatino Linotype"/>
              <w:sz w:val="20"/>
            </w:rPr>
            <w:t xml:space="preserve">Pagina </w:t>
          </w:r>
          <w:r w:rsidRPr="003703E1">
            <w:rPr>
              <w:rFonts w:ascii="Palatino Linotype" w:hAnsi="Palatino Linotype"/>
              <w:sz w:val="20"/>
            </w:rPr>
            <w:fldChar w:fldCharType="begin"/>
          </w:r>
          <w:r w:rsidRPr="003703E1">
            <w:rPr>
              <w:rFonts w:ascii="Palatino Linotype" w:hAnsi="Palatino Linotype"/>
              <w:sz w:val="20"/>
            </w:rPr>
            <w:instrText xml:space="preserve"> PAGE </w:instrText>
          </w:r>
          <w:r w:rsidRPr="003703E1">
            <w:rPr>
              <w:rFonts w:ascii="Palatino Linotype" w:hAnsi="Palatino Linotype"/>
              <w:sz w:val="20"/>
            </w:rPr>
            <w:fldChar w:fldCharType="separate"/>
          </w:r>
          <w:r w:rsidR="00F030BF">
            <w:rPr>
              <w:rFonts w:ascii="Palatino Linotype" w:hAnsi="Palatino Linotype"/>
              <w:noProof/>
              <w:sz w:val="20"/>
            </w:rPr>
            <w:t>23</w:t>
          </w:r>
          <w:r w:rsidRPr="003703E1">
            <w:rPr>
              <w:rFonts w:ascii="Palatino Linotype" w:hAnsi="Palatino Linotype"/>
              <w:sz w:val="20"/>
            </w:rPr>
            <w:fldChar w:fldCharType="end"/>
          </w:r>
        </w:p>
      </w:tc>
    </w:tr>
  </w:tbl>
  <w:p w:rsidR="002F5637" w:rsidRDefault="002F5637" w:rsidP="003E0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E3FFC"/>
    <w:rsid w:val="00111869"/>
    <w:rsid w:val="001800E3"/>
    <w:rsid w:val="002266FA"/>
    <w:rsid w:val="0026606D"/>
    <w:rsid w:val="00285C62"/>
    <w:rsid w:val="002954D2"/>
    <w:rsid w:val="002F5637"/>
    <w:rsid w:val="003173AE"/>
    <w:rsid w:val="003703E1"/>
    <w:rsid w:val="003D70E5"/>
    <w:rsid w:val="003E0348"/>
    <w:rsid w:val="004363D5"/>
    <w:rsid w:val="0060285B"/>
    <w:rsid w:val="00814F6F"/>
    <w:rsid w:val="00856642"/>
    <w:rsid w:val="008C0386"/>
    <w:rsid w:val="008E04D0"/>
    <w:rsid w:val="00930B99"/>
    <w:rsid w:val="009A7616"/>
    <w:rsid w:val="00A065E5"/>
    <w:rsid w:val="00A358E1"/>
    <w:rsid w:val="00A6117D"/>
    <w:rsid w:val="00A628A8"/>
    <w:rsid w:val="00AD3858"/>
    <w:rsid w:val="00B76517"/>
    <w:rsid w:val="00BE0393"/>
    <w:rsid w:val="00C155AB"/>
    <w:rsid w:val="00C202C6"/>
    <w:rsid w:val="00CB0C3B"/>
    <w:rsid w:val="00E73EEB"/>
    <w:rsid w:val="00E74E1E"/>
    <w:rsid w:val="00F030BF"/>
    <w:rsid w:val="00F43CFB"/>
    <w:rsid w:val="00F72AF9"/>
    <w:rsid w:val="00F90EC5"/>
    <w:rsid w:val="00FC2E47"/>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8E8B791-298B-42DD-A307-F421F557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it-IT"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it-IT" w:eastAsia="sk-SK" w:bidi="sk-SK"/>
    </w:rPr>
  </w:style>
  <w:style w:type="table" w:styleId="TableGrid">
    <w:name w:val="Table Grid"/>
    <w:basedOn w:val="Table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1C393-C4D2-47C3-A1E1-AFD1DBC7B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34</Pages>
  <Words>9598</Words>
  <Characters>54709</Characters>
  <Application>Microsoft Office Word</Application>
  <DocSecurity>0</DocSecurity>
  <Lines>455</Lines>
  <Paragraphs>128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17</vt:lpstr>
      <vt:lpstr>Poznámky pod čiarou k odkazom 9 až 12 znejú:</vt:lpstr>
    </vt:vector>
  </TitlesOfParts>
  <Company>Microsoft</Company>
  <LinksUpToDate>false</LinksUpToDate>
  <CharactersWithSpaces>64179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EXT_CASINI, Alice</cp:lastModifiedBy>
  <cp:revision>31</cp:revision>
  <dcterms:created xsi:type="dcterms:W3CDTF">2020-01-30T05:27:00Z</dcterms:created>
  <dcterms:modified xsi:type="dcterms:W3CDTF">2020-08-02T13:00:00Z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