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538"/>
      </w:tblGrid>
      <w:tr w:rsidR="00CD661C" w:rsidRPr="00927455" w14:paraId="04BB6C8C" w14:textId="77777777" w:rsidTr="002A0E41">
        <w:tc>
          <w:tcPr>
            <w:tcW w:w="4538" w:type="dxa"/>
          </w:tcPr>
          <w:p w14:paraId="78D5941D" w14:textId="07F519F8" w:rsidR="00CD661C" w:rsidRPr="00927455" w:rsidRDefault="00CD661C" w:rsidP="0036720F">
            <w:pPr>
              <w:jc w:val="center"/>
              <w:rPr>
                <w:b/>
              </w:rPr>
            </w:pPr>
            <w:r>
              <w:rPr>
                <w:b/>
              </w:rPr>
              <mc:AlternateContent>
                <mc:Choice Requires="wps">
                  <w:drawing>
                    <wp:anchor distT="45720" distB="45720" distL="114300" distR="114300" simplePos="0" relativeHeight="251662336" behindDoc="0" locked="0" layoutInCell="1" allowOverlap="0" wp14:anchorId="60F2005B" wp14:editId="2D4EE1CA">
                      <wp:simplePos x="0" y="0"/>
                      <wp:positionH relativeFrom="page">
                        <wp:posOffset>0</wp:posOffset>
                      </wp:positionH>
                      <wp:positionV relativeFrom="page">
                        <wp:posOffset>-540385</wp:posOffset>
                      </wp:positionV>
                      <wp:extent cx="2282400" cy="511200"/>
                      <wp:effectExtent l="0" t="0" r="0" b="508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400" cy="511200"/>
                              </a:xfrm>
                              <a:prstGeom prst="rect">
                                <a:avLst/>
                              </a:prstGeom>
                              <a:noFill/>
                              <a:ln w="9525">
                                <a:noFill/>
                                <a:miter lim="800000"/>
                                <a:headEnd/>
                                <a:tailEnd/>
                              </a:ln>
                            </wps:spPr>
                            <wps:txbx>
                              <w:txbxContent>
                                <w:p w14:paraId="349E3771" w14:textId="44371C9A" w:rsidR="00CD661C" w:rsidRPr="00734655" w:rsidRDefault="00CD661C" w:rsidP="004E302B">
                                  <w:pPr>
                                    <w:tabs>
                                      <w:tab w:val="right" w:pos="3544"/>
                                    </w:tabs>
                                    <w:spacing w:after="0" w:line="240" w:lineRule="auto"/>
                                    <w:jc w:val="right"/>
                                    <w:rPr>
                                      <w:rFonts w:eastAsia="Times New Roman" w:cs="Arial"/>
                                      <w:b/>
                                      <w:bCs/>
                                      <w:sz w:val="28"/>
                                      <w:szCs w:val="16"/>
                                      <w:lang w:val="fr-BE" w:eastAsia="nl-B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F2005B" id="_x0000_t202" coordsize="21600,21600" o:spt="202" path="m,l,21600r21600,l21600,xe">
                      <v:stroke joinstyle="miter"/>
                      <v:path gradientshapeok="t" o:connecttype="rect"/>
                    </v:shapetype>
                    <v:shape id="Zone de texte 2" o:spid="_x0000_s1026" type="#_x0000_t202" style="position:absolute;left:0;text-align:left;margin-left:0;margin-top:-42.55pt;width:179.7pt;height:40.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" o:allowoverlap="f" filled="f" stroked="f">
                      <v:textbox style="mso-fit-shape-to-text:t">
                        <w:txbxContent>
                          <w:p w14:paraId="349E3771" w14:textId="44371C9A" w:rsidR="00CD661C" w:rsidRPr="00734655" w:rsidRDefault="00CD661C" w:rsidP="004E302B">
                            <w:pPr>
                              <w:tabs>
                                <w:tab w:val="right" w:pos="3544"/>
                              </w:tabs>
                              <w:spacing w:after="0" w:line="240" w:lineRule="auto"/>
                              <w:jc w:val="right"/>
                              <w:rPr>
                                <w:rFonts w:eastAsia="Times New Roman" w:cs="Arial"/>
                                <w:b/>
                                <w:bCs/>
                                <w:sz w:val="28"/>
                                <w:szCs w:val="16"/>
                                <w:lang w:val="fr-BE" w:eastAsia="nl-BE"/>
                              </w:rPr>
                            </w:pPr>
                          </w:p>
                        </w:txbxContent>
                      </v:textbox>
                      <w10:wrap anchorx="page" anchory="page"/>
                    </v:shape>
                  </w:pict>
                </mc:Fallback>
              </mc:AlternateContent>
            </w:r>
            <w:r>
              <w:rPr>
                <w:b/>
              </w:rPr>
              <mc:AlternateContent>
                <mc:Choice Requires="wps">
                  <w:drawing>
                    <wp:anchor distT="45720" distB="45720" distL="114300" distR="114300" simplePos="0" relativeHeight="251663360" behindDoc="0" locked="0" layoutInCell="1" allowOverlap="0" wp14:anchorId="2B6BE764" wp14:editId="4638D4F4">
                      <wp:simplePos x="0" y="0"/>
                      <wp:positionH relativeFrom="page">
                        <wp:posOffset>3477895</wp:posOffset>
                      </wp:positionH>
                      <wp:positionV relativeFrom="page">
                        <wp:posOffset>-540385</wp:posOffset>
                      </wp:positionV>
                      <wp:extent cx="2282400" cy="3528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400" cy="352800"/>
                              </a:xfrm>
                              <a:prstGeom prst="rect">
                                <a:avLst/>
                              </a:prstGeom>
                              <a:noFill/>
                              <a:ln w="9525">
                                <a:noFill/>
                                <a:miter lim="800000"/>
                                <a:headEnd/>
                                <a:tailEnd/>
                              </a:ln>
                            </wps:spPr>
                            <wps:txbx>
                              <w:txbxContent>
                                <w:p w14:paraId="34C1C025" w14:textId="2168955F" w:rsidR="00CD661C" w:rsidRPr="00734655" w:rsidRDefault="00CD661C" w:rsidP="004E302B">
                                  <w:pPr>
                                    <w:spacing w:after="0" w:line="259" w:lineRule="auto"/>
                                    <w:jc w:val="right"/>
                                    <w:rPr>
                                      <w:rFonts w:eastAsia="Times New Roman" w:cs="Arial"/>
                                      <w:b/>
                                      <w:bCs/>
                                      <w:sz w:val="28"/>
                                      <w:szCs w:val="16"/>
                                      <w:lang w:val="fr-BE" w:eastAsia="nl-B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6BE764" id="_x0000_s1027" type="#_x0000_t202" style="position:absolute;left:0;text-align:left;margin-left:273.85pt;margin-top:-42.55pt;width:179.7pt;height:27.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" o:allowoverlap="f" filled="f" stroked="f">
                      <v:textbox style="mso-fit-shape-to-text:t">
                        <w:txbxContent>
                          <w:p w14:paraId="34C1C025" w14:textId="2168955F" w:rsidR="00CD661C" w:rsidRPr="00734655" w:rsidRDefault="00CD661C" w:rsidP="004E302B">
                            <w:pPr>
                              <w:spacing w:after="0" w:line="259" w:lineRule="auto"/>
                              <w:jc w:val="right"/>
                              <w:rPr>
                                <w:rFonts w:eastAsia="Times New Roman" w:cs="Arial"/>
                                <w:b/>
                                <w:bCs/>
                                <w:sz w:val="28"/>
                                <w:szCs w:val="16"/>
                                <w:lang w:val="fr-BE" w:eastAsia="nl-BE"/>
                              </w:rPr>
                            </w:pPr>
                          </w:p>
                        </w:txbxContent>
                      </v:textbox>
                      <w10:wrap anchorx="page" anchory="page"/>
                    </v:shape>
                  </w:pict>
                </mc:Fallback>
              </mc:AlternateContent>
            </w:r>
            <w:r>
              <w:rPr>
                <w:b/>
              </w:rPr>
              <w:t xml:space="preserve">KINGDOM OF BELGIUM</w:t>
            </w:r>
          </w:p>
          <w:p w14:paraId="34A01B17" w14:textId="77777777" w:rsidR="00CD661C" w:rsidRPr="00927455" w:rsidRDefault="00CD661C" w:rsidP="0036720F">
            <w:pPr>
              <w:jc w:val="center"/>
              <w:rPr>
                <w:b/>
              </w:rPr>
            </w:pPr>
          </w:p>
        </w:tc>
      </w:tr>
      <w:tr w:rsidR="00CD661C" w:rsidRPr="00927455" w14:paraId="259E2637" w14:textId="77777777" w:rsidTr="002A0E41">
        <w:tc>
          <w:tcPr>
            <w:tcW w:w="4538" w:type="dxa"/>
          </w:tcPr>
          <w:p w14:paraId="253FF8B9" w14:textId="77777777" w:rsidR="00CD661C" w:rsidRPr="00927455" w:rsidRDefault="00CD661C" w:rsidP="0036720F">
            <w:pPr>
              <w:jc w:val="center"/>
              <w:rPr>
                <w:b/>
              </w:rPr>
            </w:pPr>
            <w:r>
              <w:rPr>
                <w:b/>
              </w:rPr>
              <w:t xml:space="preserve">FPS Interior Belgium (FEDERAL PUBLIC SERVICE HOME AFFAIRS)</w:t>
            </w:r>
          </w:p>
          <w:p w14:paraId="22359E16" w14:textId="77777777" w:rsidR="00CD661C" w:rsidRPr="00927455" w:rsidRDefault="00CD661C" w:rsidP="0036720F">
            <w:pPr>
              <w:jc w:val="center"/>
              <w:rPr>
                <w:b/>
              </w:rPr>
            </w:pPr>
          </w:p>
        </w:tc>
      </w:tr>
      <w:tr w:rsidR="00CD661C" w:rsidRPr="00927455" w14:paraId="70880DB1" w14:textId="77777777" w:rsidTr="002A0E41">
        <w:tc>
          <w:tcPr>
            <w:tcW w:w="4538" w:type="dxa"/>
          </w:tcPr>
          <w:p w14:paraId="3F2CBFC2" w14:textId="619169F1" w:rsidR="00CD661C" w:rsidRPr="00927455" w:rsidRDefault="00CD661C">
            <w:r>
              <w:t xml:space="preserve">Royal Decree of [date] 2022 amending the Royal Decree of 7 July 1994 adopting basic fire and explosion prevention standards for buildings</w:t>
            </w:r>
          </w:p>
          <w:p w14:paraId="32C53CA9" w14:textId="77777777" w:rsidR="00CD661C" w:rsidRPr="00927455" w:rsidRDefault="00CD661C"/>
        </w:tc>
      </w:tr>
      <w:tr w:rsidR="00CD661C" w:rsidRPr="00927455" w14:paraId="63674FFA" w14:textId="77777777" w:rsidTr="002A0E41">
        <w:tc>
          <w:tcPr>
            <w:tcW w:w="4538" w:type="dxa"/>
          </w:tcPr>
          <w:p w14:paraId="2E822BF3" w14:textId="77777777" w:rsidR="00CD661C" w:rsidRPr="00927455" w:rsidRDefault="00CD661C">
            <w:r>
              <w:t xml:space="preserve">PHILIPPE, King of the Belgians,</w:t>
            </w:r>
          </w:p>
          <w:p w14:paraId="52DCCB70" w14:textId="77777777" w:rsidR="00CD661C" w:rsidRPr="00927455" w:rsidRDefault="00CD661C"/>
        </w:tc>
      </w:tr>
      <w:tr w:rsidR="00CD661C" w:rsidRPr="00927455" w14:paraId="0C6C748A" w14:textId="77777777" w:rsidTr="002A0E41">
        <w:tc>
          <w:tcPr>
            <w:tcW w:w="4538" w:type="dxa"/>
          </w:tcPr>
          <w:p w14:paraId="0D741B31" w14:textId="77777777" w:rsidR="00CD661C" w:rsidRPr="00927455" w:rsidRDefault="00CD661C">
            <w:r>
              <w:t xml:space="preserve">To all who are here now or will be hereafter, Greetings.</w:t>
            </w:r>
          </w:p>
          <w:p w14:paraId="3A43D375" w14:textId="77777777" w:rsidR="00CD661C" w:rsidRPr="00927455" w:rsidRDefault="00CD661C"/>
        </w:tc>
      </w:tr>
      <w:tr w:rsidR="00CD661C" w:rsidRPr="00927455" w14:paraId="258C437A" w14:textId="77777777" w:rsidTr="002A0E41">
        <w:tc>
          <w:tcPr>
            <w:tcW w:w="4538" w:type="dxa"/>
          </w:tcPr>
          <w:p w14:paraId="37BF8516" w14:textId="77777777" w:rsidR="00CD661C" w:rsidRPr="00927455" w:rsidRDefault="00CD661C">
            <w:r>
              <w:t xml:space="preserve">Having regard to the Act of 30 July 1979 on fire and explosion prevention and mandatory civil liability insurance in such cases, Article 2(§ 1) as amended in the Act of 22 December 2003;</w:t>
            </w:r>
          </w:p>
          <w:p w14:paraId="49616440" w14:textId="77777777" w:rsidR="00CD661C" w:rsidRPr="00927455" w:rsidRDefault="00CD661C"/>
        </w:tc>
      </w:tr>
      <w:tr w:rsidR="00CD661C" w:rsidRPr="00927455" w14:paraId="51A89A85" w14:textId="77777777" w:rsidTr="002A0E41">
        <w:tc>
          <w:tcPr>
            <w:tcW w:w="4538" w:type="dxa"/>
          </w:tcPr>
          <w:p w14:paraId="11056216" w14:textId="0FB85D8D" w:rsidR="00CD661C" w:rsidRPr="00927455" w:rsidRDefault="00CD661C">
            <w:r>
              <w:t xml:space="preserve">Having regard to the Royal Decree of 7 July 1994 adopting basic fire and explosion prevention standards for buildings;</w:t>
            </w:r>
          </w:p>
          <w:p w14:paraId="16909367" w14:textId="77777777" w:rsidR="00CD661C" w:rsidRPr="00927455" w:rsidRDefault="00CD661C"/>
        </w:tc>
      </w:tr>
      <w:tr w:rsidR="00CD661C" w:rsidRPr="00927455" w14:paraId="4DCBD345" w14:textId="77777777" w:rsidTr="002A0E41">
        <w:tc>
          <w:tcPr>
            <w:tcW w:w="4538" w:type="dxa"/>
          </w:tcPr>
          <w:p w14:paraId="4C3CBCC7" w14:textId="77777777" w:rsidR="00CD661C" w:rsidRPr="00927455" w:rsidRDefault="00CD661C" w:rsidP="00A62618">
            <w:r>
              <w:t xml:space="preserve">Having regard to the opinions of the – Belgian High Council for Fire and Explosion</w:t>
            </w:r>
            <w:r>
              <w:br/>
            </w:r>
            <w:r>
              <w:t xml:space="preserve">Safety of 17 January 2019 (façades), 16 May 2019 (car parks), 21 November 2019 (various provisions), 16 January 2020 (boiler sections and lifts) and 19 November 2020 (final text);</w:t>
            </w:r>
            <w:r>
              <w:t xml:space="preserve"> </w:t>
            </w:r>
          </w:p>
          <w:p w14:paraId="5122FDAD" w14:textId="77777777" w:rsidR="00CD661C" w:rsidRPr="00927455" w:rsidRDefault="00CD661C" w:rsidP="00A62618"/>
        </w:tc>
      </w:tr>
      <w:tr w:rsidR="00CD661C" w:rsidRPr="00927455" w14:paraId="6311EED8" w14:textId="77777777" w:rsidTr="002A0E41">
        <w:tc>
          <w:tcPr>
            <w:tcW w:w="4538" w:type="dxa"/>
          </w:tcPr>
          <w:p w14:paraId="1F74D1C3" w14:textId="77777777" w:rsidR="00CD661C" w:rsidRPr="00927455" w:rsidRDefault="00CD661C">
            <w:r>
              <w:t xml:space="preserve">Having regard to completion of the formalities prescribed in the Directive 2015/1535/EC of the European Parliament and of the Council, which gives a procedure for the provision of information in the field of technical standards and regulations;</w:t>
            </w:r>
          </w:p>
          <w:p w14:paraId="5F9FFB8E" w14:textId="77777777" w:rsidR="00CD661C" w:rsidRPr="00927455" w:rsidRDefault="00CD661C"/>
        </w:tc>
      </w:tr>
      <w:tr w:rsidR="00CD661C" w:rsidRPr="00927455" w14:paraId="3F723039" w14:textId="77777777" w:rsidTr="002A0E41">
        <w:tc>
          <w:tcPr>
            <w:tcW w:w="4538" w:type="dxa"/>
          </w:tcPr>
          <w:p w14:paraId="4204C876" w14:textId="77777777" w:rsidR="00CD661C" w:rsidRPr="00927455" w:rsidRDefault="00CD661C">
            <w:r>
              <w:t xml:space="preserve">Having regard to the regulatory impact analysis conducted in accordance with the Articles 6 and 7 of the Act of 15 December 2013 setting out various provisions on administrative simplification;</w:t>
            </w:r>
          </w:p>
          <w:p w14:paraId="4C8B283D" w14:textId="77777777" w:rsidR="00CD661C" w:rsidRPr="00927455" w:rsidRDefault="00CD661C"/>
        </w:tc>
      </w:tr>
      <w:tr w:rsidR="00CD661C" w:rsidRPr="00927455" w14:paraId="1B98AF2E" w14:textId="77777777" w:rsidTr="002A0E41">
        <w:tc>
          <w:tcPr>
            <w:tcW w:w="4538" w:type="dxa"/>
          </w:tcPr>
          <w:p w14:paraId="1AB0D4C6" w14:textId="77777777" w:rsidR="00CD661C" w:rsidRPr="00927455" w:rsidRDefault="00CD661C">
            <w:r>
              <w:t xml:space="preserve">Having regard to the opinion of the Inspector of Finance, issued on [date];</w:t>
            </w:r>
          </w:p>
          <w:p w14:paraId="0CDF7026" w14:textId="77777777" w:rsidR="00CD661C" w:rsidRPr="00927455" w:rsidRDefault="00CD661C"/>
        </w:tc>
      </w:tr>
      <w:tr w:rsidR="00CD661C" w:rsidRPr="00927455" w14:paraId="1FA6E55F" w14:textId="77777777" w:rsidTr="002A0E41">
        <w:tc>
          <w:tcPr>
            <w:tcW w:w="4538" w:type="dxa"/>
          </w:tcPr>
          <w:p w14:paraId="4B853334" w14:textId="77777777" w:rsidR="00CD661C" w:rsidRPr="00927455" w:rsidRDefault="00CD661C" w:rsidP="00CF2C15">
            <w:r>
              <w:t xml:space="preserve">Having regard to opinion **.***/* of the Council of State, issued on [date], pursuant to Article 3,§ 1, of the coordinated Laws on the Council of State;</w:t>
            </w:r>
          </w:p>
          <w:p w14:paraId="500A3445" w14:textId="77777777" w:rsidR="00CD661C" w:rsidRPr="00927455" w:rsidRDefault="00CD661C" w:rsidP="00CF2C15"/>
        </w:tc>
      </w:tr>
      <w:tr w:rsidR="00CD661C" w:rsidRPr="00927455" w14:paraId="0BB761FC" w14:textId="77777777" w:rsidTr="002A0E41">
        <w:tc>
          <w:tcPr>
            <w:tcW w:w="4538" w:type="dxa"/>
          </w:tcPr>
          <w:p w14:paraId="60BA276E" w14:textId="77777777" w:rsidR="00CD661C" w:rsidRPr="00927455" w:rsidRDefault="00CD661C">
            <w:r>
              <w:t xml:space="preserve">At the proposal of the Minister of Interior and on the recommendation of the Ministers convened in the Council,</w:t>
            </w:r>
          </w:p>
          <w:p w14:paraId="60879075" w14:textId="77777777" w:rsidR="00CD661C" w:rsidRPr="00927455" w:rsidRDefault="00CD661C"/>
        </w:tc>
      </w:tr>
      <w:tr w:rsidR="00CD661C" w:rsidRPr="00927455" w14:paraId="761218E9" w14:textId="77777777" w:rsidTr="002A0E41">
        <w:tc>
          <w:tcPr>
            <w:tcW w:w="4538" w:type="dxa"/>
          </w:tcPr>
          <w:p w14:paraId="1536C52F" w14:textId="77777777" w:rsidR="00CD661C" w:rsidRPr="00927455" w:rsidRDefault="00CD661C">
            <w:r>
              <w:t xml:space="preserve">We have decided and hereby decree:</w:t>
            </w:r>
          </w:p>
          <w:p w14:paraId="71375E3C" w14:textId="77777777" w:rsidR="00CD661C" w:rsidRPr="00927455" w:rsidRDefault="00CD661C"/>
        </w:tc>
      </w:tr>
      <w:tr w:rsidR="00CD661C" w:rsidRPr="00927455" w14:paraId="74401818" w14:textId="77777777" w:rsidTr="002A0E41">
        <w:tc>
          <w:tcPr>
            <w:tcW w:w="4538" w:type="dxa"/>
          </w:tcPr>
          <w:p w14:paraId="2F5293CA" w14:textId="555ED629" w:rsidR="00CD661C" w:rsidRPr="00927455" w:rsidRDefault="00CD661C">
            <w:pPr>
              <w:rPr>
                <w:b/>
              </w:rPr>
            </w:pPr>
            <w:r>
              <w:rPr>
                <w:b/>
              </w:rPr>
              <w:t xml:space="preserve">Chapter 1.</w:t>
            </w:r>
            <w:r>
              <w:rPr>
                <w:b/>
              </w:rPr>
              <w:t xml:space="preserve"> </w:t>
            </w:r>
            <w:r>
              <w:rPr>
                <w:b/>
              </w:rPr>
              <w:t xml:space="preserve">Amendments to the Royal Decree of 7 July 1994 adopting basic fire and explosion prevention standards for buildings</w:t>
            </w:r>
          </w:p>
          <w:p w14:paraId="0DFC6AA7" w14:textId="77777777" w:rsidR="00CD661C" w:rsidRPr="00927455" w:rsidRDefault="00CD661C">
            <w:pPr>
              <w:rPr>
                <w:b/>
              </w:rPr>
            </w:pPr>
          </w:p>
        </w:tc>
      </w:tr>
      <w:tr w:rsidR="00CD661C" w:rsidRPr="00927455" w14:paraId="59AE40F3" w14:textId="77777777" w:rsidTr="00AB0CD0">
        <w:tc>
          <w:tcPr>
            <w:tcW w:w="4538" w:type="dxa"/>
          </w:tcPr>
          <w:p w14:paraId="59E93A71" w14:textId="7ABB2CFF" w:rsidR="00CD661C" w:rsidRPr="00927455" w:rsidRDefault="00CD661C" w:rsidP="00AB0CD0">
            <w:r>
              <w:rPr>
                <w:b/>
              </w:rPr>
              <w:t xml:space="preserve">Article 1.</w:t>
            </w:r>
            <w:r>
              <w:t xml:space="preserve"> </w:t>
            </w:r>
            <w:r>
              <w:t xml:space="preserve">The phrase ‘, without going beyond the date 1 July 2022’ is added to the first sentence of the Article 6/1 of the Royal Decree of 7 July 1994 adopting basic fire and explosion prevention standards for buildings, as amended by the Royal Decrees of 19 December 1997, 4 April 2003, 13 June 2007, 1 March 2009, 12 July 2012 and 7 December 2016.</w:t>
            </w:r>
          </w:p>
          <w:p w14:paraId="6373E647" w14:textId="77777777" w:rsidR="00CD661C" w:rsidRPr="00927455" w:rsidRDefault="00CD661C" w:rsidP="00AB0CD0"/>
        </w:tc>
      </w:tr>
      <w:tr w:rsidR="00CD661C" w:rsidRPr="00927455" w14:paraId="2F6A81FE" w14:textId="77777777" w:rsidTr="000C3097">
        <w:tc>
          <w:tcPr>
            <w:tcW w:w="4538" w:type="dxa"/>
          </w:tcPr>
          <w:p w14:paraId="0CFE7ECD" w14:textId="76CFF8C3" w:rsidR="00CD661C" w:rsidRPr="00927455" w:rsidRDefault="00CD661C" w:rsidP="000C3097">
            <w:pPr>
              <w:rPr>
                <w:b/>
              </w:rPr>
            </w:pPr>
            <w:r>
              <w:rPr>
                <w:b/>
              </w:rPr>
              <w:t xml:space="preserve">Chapter 2.</w:t>
            </w:r>
            <w:r>
              <w:rPr>
                <w:b/>
              </w:rPr>
              <w:t xml:space="preserve"> </w:t>
            </w:r>
            <w:r>
              <w:rPr>
                <w:b/>
              </w:rPr>
              <w:t xml:space="preserve">Amendments to the Annex 1 to the Royal Decree of 7 July 1994 laying down the basic fire and explosion prevention standards with which buildings must comply</w:t>
            </w:r>
          </w:p>
          <w:p w14:paraId="1A532DC1" w14:textId="77777777" w:rsidR="00CD661C" w:rsidRPr="00927455" w:rsidRDefault="00CD661C" w:rsidP="000C3097">
            <w:pPr>
              <w:rPr>
                <w:b/>
              </w:rPr>
            </w:pPr>
          </w:p>
        </w:tc>
      </w:tr>
      <w:tr w:rsidR="00CD661C" w:rsidRPr="00927455" w14:paraId="24AAF193" w14:textId="77777777" w:rsidTr="002A0E41">
        <w:tc>
          <w:tcPr>
            <w:tcW w:w="4538" w:type="dxa"/>
          </w:tcPr>
          <w:p w14:paraId="2409BE6C" w14:textId="77777777" w:rsidR="00CD661C" w:rsidRPr="00927455" w:rsidRDefault="00CD661C" w:rsidP="007E1CFC">
            <w:r>
              <w:rPr>
                <w:b/>
              </w:rPr>
              <w:t xml:space="preserve">Article 2.</w:t>
            </w:r>
            <w:r>
              <w:rPr>
                <w:b/>
              </w:rPr>
              <w:t xml:space="preserve"> </w:t>
            </w:r>
            <w:r>
              <w:t xml:space="preserve">In point 1.6.1 of the Annex 1 to the same decree, a typographical correction is applied to the term ‘gross area’ in the Dutch version.</w:t>
            </w:r>
          </w:p>
          <w:p w14:paraId="24DB0436" w14:textId="77777777" w:rsidR="00CD661C" w:rsidRPr="00927455" w:rsidRDefault="00CD661C" w:rsidP="009A0C00">
            <w:pPr>
              <w:rPr>
                <w:b/>
              </w:rPr>
            </w:pPr>
          </w:p>
        </w:tc>
      </w:tr>
      <w:tr w:rsidR="00CD661C" w:rsidRPr="00927455" w14:paraId="14D85C8B" w14:textId="77777777" w:rsidTr="000C3097">
        <w:tc>
          <w:tcPr>
            <w:tcW w:w="4538" w:type="dxa"/>
          </w:tcPr>
          <w:p w14:paraId="4D025135" w14:textId="77777777" w:rsidR="00CD661C" w:rsidRPr="00927455" w:rsidRDefault="00CD661C" w:rsidP="00A05B48">
            <w:r>
              <w:rPr>
                <w:b/>
              </w:rPr>
              <w:t xml:space="preserve">Article 3.</w:t>
            </w:r>
            <w:r>
              <w:rPr>
                <w:b/>
              </w:rPr>
              <w:t xml:space="preserve"> </w:t>
            </w:r>
            <w:r>
              <w:t xml:space="preserve">Point 1.13 of the Annex 1 to the same decree is replaced with the following:</w:t>
            </w:r>
          </w:p>
          <w:p w14:paraId="6CF2344E" w14:textId="77777777" w:rsidR="00CD661C" w:rsidRPr="00927455" w:rsidRDefault="00CD661C" w:rsidP="00A05B48">
            <w:r>
              <w:t xml:space="preserve">‘1.13 Subcompartment: part of a compartment bounded by walls that slow the spread of fire and limit the affected area.’.</w:t>
            </w:r>
          </w:p>
          <w:p w14:paraId="22CD98F6" w14:textId="77777777" w:rsidR="00CD661C" w:rsidRPr="00927455" w:rsidRDefault="00CD661C" w:rsidP="000C3097">
            <w:pPr>
              <w:rPr>
                <w:b/>
              </w:rPr>
            </w:pPr>
          </w:p>
        </w:tc>
      </w:tr>
      <w:tr w:rsidR="00CD661C" w:rsidRPr="00927455" w14:paraId="3481B7B4" w14:textId="77777777" w:rsidTr="00B75FB5">
        <w:tc>
          <w:tcPr>
            <w:tcW w:w="4538" w:type="dxa"/>
          </w:tcPr>
          <w:p w14:paraId="4B62EAFB" w14:textId="77777777" w:rsidR="00CD661C" w:rsidRPr="00927455" w:rsidRDefault="00CD661C" w:rsidP="00B75FB5">
            <w:r>
              <w:rPr>
                <w:b/>
              </w:rPr>
              <w:t xml:space="preserve">Article 4.</w:t>
            </w:r>
            <w:r>
              <w:rPr>
                <w:b/>
              </w:rPr>
              <w:t xml:space="preserve"> </w:t>
            </w:r>
            <w:r>
              <w:t xml:space="preserve">In point 1.15 of the Annex 1 to the same decree, a typographical correction is applied to all instances of the term ‘structural’ in the masculine plural in the French version.</w:t>
            </w:r>
          </w:p>
          <w:p w14:paraId="2CDD78A6" w14:textId="77777777" w:rsidR="00CD661C" w:rsidRPr="00927455" w:rsidRDefault="00CD661C" w:rsidP="00B75FB5">
            <w:pPr>
              <w:rPr>
                <w:b/>
              </w:rPr>
            </w:pPr>
          </w:p>
        </w:tc>
      </w:tr>
      <w:tr w:rsidR="00CD661C" w:rsidRPr="00927455" w14:paraId="44FCDE19" w14:textId="77777777" w:rsidTr="000C3097">
        <w:tc>
          <w:tcPr>
            <w:tcW w:w="4538" w:type="dxa"/>
          </w:tcPr>
          <w:p w14:paraId="6F7151C0" w14:textId="77777777" w:rsidR="00CD661C" w:rsidRPr="00927455" w:rsidRDefault="00CD661C" w:rsidP="000C3097">
            <w:r>
              <w:rPr>
                <w:b/>
              </w:rPr>
              <w:t xml:space="preserve">Article 5.</w:t>
            </w:r>
            <w:r>
              <w:rPr>
                <w:b/>
              </w:rPr>
              <w:t xml:space="preserve"> </w:t>
            </w:r>
            <w:r>
              <w:t xml:space="preserve">In the point 2.1, first paragraph 1, point 1° of the Annex 1 to the same decree, the word ‘information’ is replaced with a synonym in the Dutch version.</w:t>
            </w:r>
          </w:p>
          <w:p w14:paraId="695A1906" w14:textId="77777777" w:rsidR="00CD661C" w:rsidRPr="00927455" w:rsidRDefault="00CD661C" w:rsidP="000C3097">
            <w:pPr>
              <w:rPr>
                <w:b/>
              </w:rPr>
            </w:pPr>
          </w:p>
        </w:tc>
      </w:tr>
      <w:tr w:rsidR="00CD661C" w:rsidRPr="00927455" w14:paraId="6B17C6C0" w14:textId="77777777" w:rsidTr="00EF4F8D">
        <w:tc>
          <w:tcPr>
            <w:tcW w:w="4538" w:type="dxa"/>
          </w:tcPr>
          <w:p w14:paraId="33E14E6F" w14:textId="77777777" w:rsidR="00CD661C" w:rsidRPr="00927455" w:rsidRDefault="00CD661C" w:rsidP="007E79A6">
            <w:r>
              <w:rPr>
                <w:b/>
              </w:rPr>
              <w:t xml:space="preserve">Article 6.</w:t>
            </w:r>
            <w:r>
              <w:rPr>
                <w:b/>
              </w:rPr>
              <w:t xml:space="preserve"> </w:t>
            </w:r>
            <w:r>
              <w:t xml:space="preserve">Point 2.2 of the Annex 1 to the same decree is replaced with the following:</w:t>
            </w:r>
          </w:p>
          <w:p w14:paraId="658ABAA2" w14:textId="77777777" w:rsidR="00CD661C" w:rsidRPr="00927455" w:rsidRDefault="00CD661C" w:rsidP="00EF4F8D">
            <w:pPr>
              <w:rPr>
                <w:b/>
                <w:i/>
              </w:rPr>
            </w:pPr>
          </w:p>
        </w:tc>
      </w:tr>
      <w:tr w:rsidR="00CD661C" w:rsidRPr="00927455" w14:paraId="1184DDB9" w14:textId="77777777" w:rsidTr="00EF4F8D">
        <w:tc>
          <w:tcPr>
            <w:tcW w:w="4538" w:type="dxa"/>
          </w:tcPr>
          <w:p w14:paraId="0A309F20"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b/>
                <w:noProof/>
                <w:rFonts w:cs="Times New Roman"/>
              </w:rPr>
            </w:pPr>
            <w:r>
              <w:t xml:space="preserve">‘</w:t>
            </w:r>
            <w:r>
              <w:rPr>
                <w:b/>
              </w:rPr>
              <w:t xml:space="preserve">2.2 Special assessment of fire doors</w:t>
            </w:r>
          </w:p>
        </w:tc>
      </w:tr>
      <w:tr w:rsidR="00CD661C" w:rsidRPr="00927455" w14:paraId="40E7EC73" w14:textId="77777777" w:rsidTr="00EF4F8D">
        <w:tc>
          <w:tcPr>
            <w:tcW w:w="4538" w:type="dxa"/>
          </w:tcPr>
          <w:p w14:paraId="313AB0E3"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1.</w:t>
            </w:r>
            <w:r>
              <w:t xml:space="preserve"> </w:t>
            </w:r>
            <w:r>
              <w:t xml:space="preserve">Door fire resistance must be tested according to standard NBN EN 1634-1 and classified according to standard NBN EN 13501-2.</w:t>
            </w:r>
          </w:p>
          <w:p w14:paraId="33A0D486"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The fire resistance of the door must be demonstrated using the data for the CE marking of the construction product.</w:t>
            </w:r>
          </w:p>
          <w:p w14:paraId="3C05ED46"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eastAsia="nl-NL"/>
              </w:rPr>
            </w:pPr>
          </w:p>
          <w:p w14:paraId="4A6C730A" w14:textId="665AF7F3"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A fire door without a CE marking must also meet the following requirements:</w:t>
            </w:r>
          </w:p>
          <w:p w14:paraId="3D8633F4"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eastAsia="nl-NL"/>
              </w:rPr>
            </w:pPr>
          </w:p>
        </w:tc>
      </w:tr>
      <w:tr w:rsidR="00CD661C" w:rsidRPr="00927455" w14:paraId="7A35ABF4" w14:textId="77777777" w:rsidTr="00EF4F8D">
        <w:tc>
          <w:tcPr>
            <w:tcW w:w="4538" w:type="dxa"/>
          </w:tcPr>
          <w:p w14:paraId="1C66DAAF" w14:textId="19F30075"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1° for tolerances for width, height, thickness and squareness, the minimum classes according to standard NBN EN 1529:</w:t>
            </w:r>
          </w:p>
          <w:p w14:paraId="30E03C6C"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prior conditioning: Class 1;</w:t>
            </w:r>
          </w:p>
          <w:p w14:paraId="257AD4B3"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exposure to high humidity: Class 1;</w:t>
            </w:r>
          </w:p>
          <w:p w14:paraId="743EAC38"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exposure to low humidity: Class 1;</w:t>
            </w:r>
          </w:p>
        </w:tc>
      </w:tr>
      <w:tr w:rsidR="00CD661C" w:rsidRPr="00927455" w14:paraId="79A8E3B3" w14:textId="77777777" w:rsidTr="00EF4F8D">
        <w:tc>
          <w:tcPr>
            <w:tcW w:w="4538" w:type="dxa"/>
          </w:tcPr>
          <w:p w14:paraId="7812B35D" w14:textId="12A98C4B"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2° for tolerances for general and local flatness, the minimum classes according to standard NBN EN 1530:</w:t>
            </w:r>
          </w:p>
          <w:p w14:paraId="0077DD37"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prior conditioning: Class 3;</w:t>
            </w:r>
          </w:p>
          <w:p w14:paraId="116E4626"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exposure to high humidity: Class 2;</w:t>
            </w:r>
          </w:p>
          <w:p w14:paraId="4E85D800"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after exposure to low humidity: Class 2;</w:t>
            </w:r>
          </w:p>
        </w:tc>
      </w:tr>
      <w:tr w:rsidR="00CD661C" w:rsidRPr="00927455" w14:paraId="306FB193" w14:textId="77777777" w:rsidTr="00EF4F8D">
        <w:tc>
          <w:tcPr>
            <w:tcW w:w="4538" w:type="dxa"/>
          </w:tcPr>
          <w:p w14:paraId="5F3446EE"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3° for the mechanical resistance requirements, the minimum classes according to standard NBN EN 1192:</w:t>
            </w:r>
          </w:p>
          <w:p w14:paraId="739210DE"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in non-industrial applications: Class 1;</w:t>
            </w:r>
          </w:p>
          <w:p w14:paraId="459E10E1"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in industrial applications: Class 2;</w:t>
            </w:r>
          </w:p>
        </w:tc>
      </w:tr>
      <w:tr w:rsidR="00CD661C" w:rsidRPr="00927455" w14:paraId="7E472F85" w14:textId="77777777" w:rsidTr="00EF4F8D">
        <w:tc>
          <w:tcPr>
            <w:tcW w:w="4538" w:type="dxa"/>
          </w:tcPr>
          <w:p w14:paraId="47FC2CE4" w14:textId="54C64345"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4° for mechanical durability, minimum Class 4 according to standard NBN EN 12400.</w:t>
            </w:r>
          </w:p>
        </w:tc>
      </w:tr>
      <w:tr w:rsidR="00CD661C" w:rsidRPr="00927455" w14:paraId="3C533D4D" w14:textId="77777777" w:rsidTr="00EF4F8D">
        <w:tc>
          <w:tcPr>
            <w:tcW w:w="4538" w:type="dxa"/>
          </w:tcPr>
          <w:p w14:paraId="0BF6EF2A"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For the requirements under 1° and 2°, NBN EN 1294 specifies the climatic conditions of temperature and humidity.</w:t>
            </w:r>
          </w:p>
          <w:p w14:paraId="1B41DCD3"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eastAsia="nl-NL"/>
              </w:rPr>
            </w:pPr>
          </w:p>
        </w:tc>
      </w:tr>
      <w:tr w:rsidR="00CD661C" w:rsidRPr="00927455" w14:paraId="1437DE35" w14:textId="77777777" w:rsidTr="00EF4F8D">
        <w:tc>
          <w:tcPr>
            <w:tcW w:w="4538" w:type="dxa"/>
          </w:tcPr>
          <w:p w14:paraId="60639248"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Fire door must be assessed for the fire resistance requirements and minimum requirements set out in point 2°.</w:t>
            </w:r>
            <w:r>
              <w:t xml:space="preserve"> </w:t>
            </w:r>
            <w:r>
              <w:t xml:space="preserve">Constancy of performance must be assessed and verified in accordance with system 1 as described in the point 1.2 of the Annex V to Regulation (EU) No 305/2011 laying down harmonised conditions for the marketing of construction products.</w:t>
            </w:r>
          </w:p>
        </w:tc>
      </w:tr>
      <w:tr w:rsidR="00CD661C" w:rsidRPr="00927455" w14:paraId="5F7725BC" w14:textId="77777777" w:rsidTr="00EF4F8D">
        <w:tc>
          <w:tcPr>
            <w:tcW w:w="4538" w:type="dxa"/>
          </w:tcPr>
          <w:p w14:paraId="3E545A77" w14:textId="77777777" w:rsidR="00CD661C" w:rsidRPr="00927455" w:rsidRDefault="00CD661C" w:rsidP="007E79A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noProof/>
                <w:rFonts w:cs="Times New Roman"/>
              </w:rPr>
            </w:pPr>
            <w:r>
              <w:t xml:space="preserve">§ 2.</w:t>
            </w:r>
            <w:r>
              <w:t xml:space="preserve"> </w:t>
            </w:r>
            <w:r>
              <w:t xml:space="preserve">Fire doors must be installed in accordance with the installation conditions for which they received their fire resistance classification.’</w:t>
            </w:r>
          </w:p>
        </w:tc>
      </w:tr>
      <w:tr w:rsidR="00CD661C" w:rsidRPr="00927455" w14:paraId="22435A8E" w14:textId="77777777" w:rsidTr="00EF4F8D">
        <w:tc>
          <w:tcPr>
            <w:tcW w:w="4538" w:type="dxa"/>
          </w:tcPr>
          <w:p w14:paraId="78EF93D5" w14:textId="77777777" w:rsidR="00CD661C" w:rsidRPr="00CD661C" w:rsidRDefault="00CD661C" w:rsidP="007E79A6">
            <w:pPr>
              <w:rPr>
                <w:b/>
              </w:rPr>
            </w:pPr>
          </w:p>
        </w:tc>
      </w:tr>
      <w:tr w:rsidR="00CD661C" w:rsidRPr="00927455" w14:paraId="20305F7B" w14:textId="77777777" w:rsidTr="00EF4F8D">
        <w:tc>
          <w:tcPr>
            <w:tcW w:w="4538" w:type="dxa"/>
          </w:tcPr>
          <w:p w14:paraId="4982A008" w14:textId="77777777" w:rsidR="00CD661C" w:rsidRPr="00927455" w:rsidRDefault="00CD661C" w:rsidP="007E79A6">
            <w:r>
              <w:rPr>
                <w:b/>
              </w:rPr>
              <w:t xml:space="preserve">Article 7.</w:t>
            </w:r>
            <w:r>
              <w:rPr>
                <w:b/>
              </w:rPr>
              <w:t xml:space="preserve"> </w:t>
            </w:r>
            <w:r>
              <w:t xml:space="preserve">The Point 3.1 of the Annex 1 to the same decree is now amended as follows:</w:t>
            </w:r>
          </w:p>
          <w:p w14:paraId="33422B53" w14:textId="77777777" w:rsidR="00CD661C" w:rsidRPr="00927455" w:rsidRDefault="00CD661C" w:rsidP="007E79A6"/>
        </w:tc>
      </w:tr>
      <w:tr w:rsidR="00CD661C" w:rsidRPr="00927455" w14:paraId="4F354C26" w14:textId="77777777" w:rsidTr="00EF4F8D">
        <w:tc>
          <w:tcPr>
            <w:tcW w:w="4538" w:type="dxa"/>
          </w:tcPr>
          <w:p w14:paraId="7ACBB39E" w14:textId="77777777" w:rsidR="00CD661C" w:rsidRPr="00927455" w:rsidRDefault="00CD661C" w:rsidP="007E79A6">
            <w:pPr>
              <w:rPr>
                <w:noProof/>
                <w:rFonts w:cs="Times New Roman"/>
              </w:rPr>
            </w:pPr>
            <w:r>
              <w:t xml:space="preserve">1° in the first paragraph, the words “(NBN EN 13501-1)” are inserted between the words “The classification system of the fire reaction characteristics of construction products” and the words “is described in the tables 1, 2 mentioned below and 3”;</w:t>
            </w:r>
          </w:p>
          <w:p w14:paraId="73B6AE9B" w14:textId="77777777" w:rsidR="00CD661C" w:rsidRPr="00927455" w:rsidRDefault="00CD661C" w:rsidP="007E79A6">
            <w:pPr>
              <w:rPr>
                <w:b/>
              </w:rPr>
            </w:pPr>
          </w:p>
        </w:tc>
      </w:tr>
      <w:tr w:rsidR="00CD661C" w:rsidRPr="00927455" w14:paraId="1595460A" w14:textId="77777777" w:rsidTr="00EF4F8D">
        <w:tc>
          <w:tcPr>
            <w:tcW w:w="4538" w:type="dxa"/>
          </w:tcPr>
          <w:p w14:paraId="4AB722FF" w14:textId="77777777" w:rsidR="00CD661C" w:rsidRPr="00927455" w:rsidRDefault="00CD661C" w:rsidP="007E79A6">
            <w:pPr>
              <w:rPr>
                <w:noProof/>
                <w:rFonts w:cs="Times New Roman"/>
              </w:rPr>
            </w:pPr>
            <w:r>
              <w:t xml:space="preserve">2° in the final row of Table 1, the cell with the phrase ‘No performance determined’ is replaced with the following 3 cells:</w:t>
            </w:r>
            <w:r>
              <w:t xml:space="preserve"> </w:t>
            </w:r>
          </w:p>
          <w:p w14:paraId="6EC67EA1" w14:textId="77777777" w:rsidR="00CD661C" w:rsidRPr="00927455" w:rsidRDefault="00CD661C" w:rsidP="007E79A6">
            <w:pPr>
              <w:rPr>
                <w:noProof/>
                <w:rFonts w:cs="Times New Roman"/>
              </w:rPr>
            </w:pPr>
            <w:r>
              <w:t xml:space="preserve">‘</w:t>
            </w:r>
          </w:p>
          <w:tbl>
            <w:tblPr>
              <w:tblStyle w:val="Grilledutableau"/>
              <w:tblW w:w="0" w:type="auto"/>
              <w:tblLook w:val="04A0" w:firstRow="1" w:lastRow="0" w:firstColumn="1" w:lastColumn="0" w:noHBand="0" w:noVBand="1"/>
            </w:tblPr>
            <w:tblGrid>
              <w:gridCol w:w="2015"/>
              <w:gridCol w:w="1559"/>
              <w:gridCol w:w="738"/>
            </w:tblGrid>
            <w:tr w:rsidR="00CD661C" w:rsidRPr="00927455" w14:paraId="10F07DCE" w14:textId="77777777" w:rsidTr="00DD20F6">
              <w:tc>
                <w:tcPr>
                  <w:tcW w:w="2015" w:type="dxa"/>
                </w:tcPr>
                <w:p w14:paraId="4FF4D934" w14:textId="77777777" w:rsidR="00CD661C" w:rsidRPr="00927455" w:rsidRDefault="00CD661C" w:rsidP="007E79A6">
                  <w:pPr>
                    <w:rPr>
                      <w:noProof/>
                      <w:rFonts w:cs="Times New Roman"/>
                    </w:rPr>
                  </w:pPr>
                  <w:r>
                    <w:t xml:space="preserve">NBN EN ISO 11925-2(</w:t>
                  </w:r>
                  <w:r>
                    <w:rPr>
                      <w:vertAlign w:val="superscript"/>
                    </w:rPr>
                    <w:t xml:space="preserve">8</w:t>
                  </w:r>
                  <w:r>
                    <w:t xml:space="preserve">):</w:t>
                  </w:r>
                </w:p>
                <w:p w14:paraId="7F3D7D53" w14:textId="77777777" w:rsidR="00CD661C" w:rsidRPr="00927455" w:rsidRDefault="00CD661C" w:rsidP="007E79A6">
                  <w:pPr>
                    <w:rPr>
                      <w:noProof/>
                      <w:rFonts w:cs="Times New Roman"/>
                    </w:rPr>
                  </w:pPr>
                  <w:r>
                    <w:rPr>
                      <w:i/>
                    </w:rPr>
                    <w:t xml:space="preserve">Exposure</w:t>
                  </w:r>
                  <w:r>
                    <w:t xml:space="preserve"> = 15s</w:t>
                  </w:r>
                </w:p>
              </w:tc>
              <w:tc>
                <w:tcPr>
                  <w:tcW w:w="1559" w:type="dxa"/>
                </w:tcPr>
                <w:p w14:paraId="74FDC665" w14:textId="77777777" w:rsidR="00CD661C" w:rsidRPr="00927455" w:rsidRDefault="00CD661C" w:rsidP="007E79A6">
                  <w:pPr>
                    <w:rPr>
                      <w:noProof/>
                      <w:rFonts w:cs="Times New Roman"/>
                    </w:rPr>
                  </w:pPr>
                  <w:r>
                    <w:t xml:space="preserve">Fs &gt; 150 mm within 20 s</w:t>
                  </w:r>
                </w:p>
              </w:tc>
              <w:tc>
                <w:tcPr>
                  <w:tcW w:w="738" w:type="dxa"/>
                </w:tcPr>
                <w:p w14:paraId="46B10A9A" w14:textId="77777777" w:rsidR="00CD661C" w:rsidRPr="00927455" w:rsidRDefault="00CD661C" w:rsidP="007E79A6">
                  <w:pPr>
                    <w:rPr>
                      <w:rFonts w:cs="Times New Roman"/>
                      <w:noProof/>
                      <w:lang w:eastAsia="nl-NL"/>
                    </w:rPr>
                  </w:pPr>
                </w:p>
              </w:tc>
            </w:tr>
          </w:tbl>
          <w:p w14:paraId="751702BA" w14:textId="77777777" w:rsidR="00CD661C" w:rsidRPr="00927455" w:rsidRDefault="00CD661C" w:rsidP="007E79A6">
            <w:pPr>
              <w:rPr>
                <w:noProof/>
                <w:rFonts w:cs="Times New Roman"/>
              </w:rPr>
            </w:pPr>
            <w:r>
              <w:t xml:space="preserve">’;</w:t>
            </w:r>
          </w:p>
          <w:p w14:paraId="0ED090EF" w14:textId="77777777" w:rsidR="00CD661C" w:rsidRPr="00927455" w:rsidRDefault="00CD661C" w:rsidP="007E79A6">
            <w:pPr>
              <w:rPr>
                <w:rFonts w:cs="Times New Roman"/>
                <w:noProof/>
                <w:lang w:eastAsia="nl-NL"/>
              </w:rPr>
            </w:pPr>
          </w:p>
        </w:tc>
      </w:tr>
      <w:tr w:rsidR="00CD661C" w:rsidRPr="00927455" w14:paraId="702C3FDC" w14:textId="77777777" w:rsidTr="001D6796">
        <w:tc>
          <w:tcPr>
            <w:tcW w:w="4538" w:type="dxa"/>
          </w:tcPr>
          <w:p w14:paraId="1AACAB3A" w14:textId="77777777" w:rsidR="00CD661C" w:rsidRPr="00927455" w:rsidRDefault="00CD661C" w:rsidP="007E79A6">
            <w:pPr>
              <w:rPr>
                <w:noProof/>
                <w:rFonts w:cs="Times New Roman"/>
              </w:rPr>
            </w:pPr>
            <w:r>
              <w:t xml:space="preserve">3° in the final row of Table 2, the cell with the phrase ‘No performance determined’ is replaced with the following 3 cells:</w:t>
            </w:r>
            <w:r>
              <w:t xml:space="preserve"> </w:t>
            </w:r>
          </w:p>
          <w:p w14:paraId="6D318F62" w14:textId="77777777" w:rsidR="00CD661C" w:rsidRPr="00927455" w:rsidRDefault="00CD661C" w:rsidP="007E79A6">
            <w:pPr>
              <w:rPr>
                <w:noProof/>
                <w:rFonts w:cs="Times New Roman"/>
              </w:rPr>
            </w:pPr>
            <w:r>
              <w:t xml:space="preserve">‘</w:t>
            </w:r>
          </w:p>
          <w:tbl>
            <w:tblPr>
              <w:tblStyle w:val="Grilledutableau"/>
              <w:tblW w:w="0" w:type="auto"/>
              <w:tblLook w:val="04A0" w:firstRow="1" w:lastRow="0" w:firstColumn="1" w:lastColumn="0" w:noHBand="0" w:noVBand="1"/>
            </w:tblPr>
            <w:tblGrid>
              <w:gridCol w:w="2015"/>
              <w:gridCol w:w="1559"/>
              <w:gridCol w:w="738"/>
            </w:tblGrid>
            <w:tr w:rsidR="00CD661C" w:rsidRPr="00927455" w14:paraId="7512D8D4" w14:textId="77777777" w:rsidTr="001D6796">
              <w:tc>
                <w:tcPr>
                  <w:tcW w:w="2015" w:type="dxa"/>
                </w:tcPr>
                <w:p w14:paraId="21568F1A" w14:textId="77777777" w:rsidR="00CD661C" w:rsidRPr="00927455" w:rsidRDefault="00CD661C" w:rsidP="007E79A6">
                  <w:pPr>
                    <w:rPr>
                      <w:noProof/>
                      <w:rFonts w:cs="Times New Roman"/>
                    </w:rPr>
                  </w:pPr>
                  <w:r>
                    <w:t xml:space="preserve">NBN EN ISO 11925-2(</w:t>
                  </w:r>
                  <w:r>
                    <w:rPr>
                      <w:vertAlign w:val="superscript"/>
                    </w:rPr>
                    <w:t xml:space="preserve">8</w:t>
                  </w:r>
                  <w:r>
                    <w:t xml:space="preserve">):</w:t>
                  </w:r>
                </w:p>
                <w:p w14:paraId="10BC8C86" w14:textId="77777777" w:rsidR="00CD661C" w:rsidRPr="00927455" w:rsidRDefault="00CD661C" w:rsidP="007E79A6">
                  <w:pPr>
                    <w:rPr>
                      <w:noProof/>
                      <w:rFonts w:cs="Times New Roman"/>
                    </w:rPr>
                  </w:pPr>
                  <w:r>
                    <w:rPr>
                      <w:i/>
                    </w:rPr>
                    <w:t xml:space="preserve">Exposure</w:t>
                  </w:r>
                  <w:r>
                    <w:t xml:space="preserve"> = 15s</w:t>
                  </w:r>
                </w:p>
              </w:tc>
              <w:tc>
                <w:tcPr>
                  <w:tcW w:w="1559" w:type="dxa"/>
                </w:tcPr>
                <w:p w14:paraId="2C67AD60" w14:textId="77777777" w:rsidR="00CD661C" w:rsidRPr="00927455" w:rsidRDefault="00CD661C" w:rsidP="007E79A6">
                  <w:pPr>
                    <w:rPr>
                      <w:noProof/>
                      <w:rFonts w:cs="Times New Roman"/>
                    </w:rPr>
                  </w:pPr>
                  <w:r>
                    <w:t xml:space="preserve">Fs &gt; 150 mm within 20 s</w:t>
                  </w:r>
                </w:p>
              </w:tc>
              <w:tc>
                <w:tcPr>
                  <w:tcW w:w="738" w:type="dxa"/>
                </w:tcPr>
                <w:p w14:paraId="2072F44C" w14:textId="77777777" w:rsidR="00CD661C" w:rsidRPr="00927455" w:rsidRDefault="00CD661C" w:rsidP="007E79A6">
                  <w:pPr>
                    <w:rPr>
                      <w:rFonts w:cs="Times New Roman"/>
                      <w:noProof/>
                      <w:lang w:eastAsia="nl-NL"/>
                    </w:rPr>
                  </w:pPr>
                </w:p>
              </w:tc>
            </w:tr>
          </w:tbl>
          <w:p w14:paraId="6F153952" w14:textId="77777777" w:rsidR="00CD661C" w:rsidRPr="00927455" w:rsidRDefault="00CD661C" w:rsidP="007E79A6">
            <w:pPr>
              <w:rPr>
                <w:noProof/>
                <w:rFonts w:cs="Times New Roman"/>
              </w:rPr>
            </w:pPr>
            <w:r>
              <w:t xml:space="preserve">’;</w:t>
            </w:r>
          </w:p>
          <w:p w14:paraId="1C44E5D1" w14:textId="77777777" w:rsidR="00CD661C" w:rsidRPr="00927455" w:rsidRDefault="00CD661C" w:rsidP="007E79A6">
            <w:pPr>
              <w:rPr>
                <w:rFonts w:cs="Times New Roman"/>
                <w:noProof/>
                <w:lang w:eastAsia="nl-NL"/>
              </w:rPr>
            </w:pPr>
          </w:p>
        </w:tc>
      </w:tr>
      <w:tr w:rsidR="00CD661C" w:rsidRPr="00927455" w14:paraId="18CBF67B" w14:textId="77777777" w:rsidTr="001D6796">
        <w:tc>
          <w:tcPr>
            <w:tcW w:w="4538" w:type="dxa"/>
          </w:tcPr>
          <w:p w14:paraId="6C9AD4AE" w14:textId="77777777" w:rsidR="00CD661C" w:rsidRPr="00927455" w:rsidRDefault="00CD661C" w:rsidP="007E79A6">
            <w:pPr>
              <w:rPr>
                <w:noProof/>
                <w:rFonts w:cs="Times New Roman"/>
              </w:rPr>
            </w:pPr>
            <w:r>
              <w:t xml:space="preserve">4° in the final row of Table 3, the cell with the phrase ‘No performance determined’ is replaced with the following 3 cells:</w:t>
            </w:r>
          </w:p>
          <w:p w14:paraId="0ADDF77F" w14:textId="77777777" w:rsidR="00CD661C" w:rsidRPr="00927455" w:rsidRDefault="00CD661C" w:rsidP="007E79A6">
            <w:pPr>
              <w:rPr>
                <w:noProof/>
                <w:rFonts w:cs="Times New Roman"/>
              </w:rPr>
            </w:pPr>
            <w:r>
              <w:t xml:space="preserve">‘</w:t>
            </w:r>
          </w:p>
          <w:tbl>
            <w:tblPr>
              <w:tblStyle w:val="Grilledutableau"/>
              <w:tblW w:w="0" w:type="auto"/>
              <w:tblLook w:val="04A0" w:firstRow="1" w:lastRow="0" w:firstColumn="1" w:lastColumn="0" w:noHBand="0" w:noVBand="1"/>
            </w:tblPr>
            <w:tblGrid>
              <w:gridCol w:w="2015"/>
              <w:gridCol w:w="1559"/>
              <w:gridCol w:w="738"/>
            </w:tblGrid>
            <w:tr w:rsidR="00CD661C" w:rsidRPr="00927455" w14:paraId="6862C793" w14:textId="77777777" w:rsidTr="001D6796">
              <w:tc>
                <w:tcPr>
                  <w:tcW w:w="2015" w:type="dxa"/>
                </w:tcPr>
                <w:p w14:paraId="006C865A" w14:textId="77777777" w:rsidR="00CD661C" w:rsidRPr="00927455" w:rsidRDefault="00CD661C" w:rsidP="007E79A6">
                  <w:pPr>
                    <w:rPr>
                      <w:noProof/>
                      <w:rFonts w:cs="Times New Roman"/>
                    </w:rPr>
                  </w:pPr>
                  <w:r>
                    <w:t xml:space="preserve">NBN EN ISO 11925-2(</w:t>
                  </w:r>
                  <w:r>
                    <w:rPr>
                      <w:vertAlign w:val="superscript"/>
                    </w:rPr>
                    <w:t xml:space="preserve">8</w:t>
                  </w:r>
                  <w:r>
                    <w:t xml:space="preserve">):</w:t>
                  </w:r>
                </w:p>
                <w:p w14:paraId="5E6ADB8C" w14:textId="77777777" w:rsidR="00CD661C" w:rsidRPr="00927455" w:rsidRDefault="00CD661C" w:rsidP="007E79A6">
                  <w:pPr>
                    <w:rPr>
                      <w:noProof/>
                      <w:rFonts w:cs="Times New Roman"/>
                    </w:rPr>
                  </w:pPr>
                  <w:r>
                    <w:rPr>
                      <w:i/>
                    </w:rPr>
                    <w:t xml:space="preserve">Exposure</w:t>
                  </w:r>
                  <w:r>
                    <w:t xml:space="preserve"> = 15s</w:t>
                  </w:r>
                </w:p>
              </w:tc>
              <w:tc>
                <w:tcPr>
                  <w:tcW w:w="1559" w:type="dxa"/>
                </w:tcPr>
                <w:p w14:paraId="4475742F" w14:textId="77777777" w:rsidR="00CD661C" w:rsidRPr="00927455" w:rsidRDefault="00CD661C" w:rsidP="007E79A6">
                  <w:pPr>
                    <w:rPr>
                      <w:noProof/>
                      <w:rFonts w:cs="Times New Roman"/>
                    </w:rPr>
                  </w:pPr>
                  <w:r>
                    <w:t xml:space="preserve">Fs &gt; 150 mm within 20 s</w:t>
                  </w:r>
                </w:p>
              </w:tc>
              <w:tc>
                <w:tcPr>
                  <w:tcW w:w="738" w:type="dxa"/>
                </w:tcPr>
                <w:p w14:paraId="68F70AB6" w14:textId="77777777" w:rsidR="00CD661C" w:rsidRPr="00927455" w:rsidRDefault="00CD661C" w:rsidP="007E79A6">
                  <w:pPr>
                    <w:rPr>
                      <w:rFonts w:cs="Times New Roman"/>
                      <w:noProof/>
                      <w:lang w:eastAsia="nl-NL"/>
                    </w:rPr>
                  </w:pPr>
                </w:p>
              </w:tc>
            </w:tr>
          </w:tbl>
          <w:p w14:paraId="308F3BFA" w14:textId="77777777" w:rsidR="00CD661C" w:rsidRPr="00927455" w:rsidRDefault="00CD661C" w:rsidP="007E79A6">
            <w:pPr>
              <w:rPr>
                <w:noProof/>
                <w:rFonts w:cs="Times New Roman"/>
              </w:rPr>
            </w:pPr>
            <w:r>
              <w:t xml:space="preserve">’.</w:t>
            </w:r>
          </w:p>
          <w:p w14:paraId="01FCBD0A" w14:textId="77777777" w:rsidR="00CD661C" w:rsidRPr="00927455" w:rsidRDefault="00CD661C" w:rsidP="007E79A6">
            <w:pPr>
              <w:rPr>
                <w:rFonts w:cs="Times New Roman"/>
                <w:noProof/>
                <w:lang w:eastAsia="nl-NL"/>
              </w:rPr>
            </w:pPr>
          </w:p>
        </w:tc>
      </w:tr>
      <w:tr w:rsidR="00CD661C" w:rsidRPr="00927455" w14:paraId="541511B2" w14:textId="77777777" w:rsidTr="001D6796">
        <w:tc>
          <w:tcPr>
            <w:tcW w:w="4538" w:type="dxa"/>
          </w:tcPr>
          <w:p w14:paraId="63BB7FDC" w14:textId="77777777" w:rsidR="00CD661C" w:rsidRPr="00927455" w:rsidRDefault="00CD661C" w:rsidP="007E79A6">
            <w:r>
              <w:rPr>
                <w:b/>
              </w:rPr>
              <w:t xml:space="preserve">Article 8.</w:t>
            </w:r>
            <w:r>
              <w:rPr>
                <w:b/>
              </w:rPr>
              <w:t xml:space="preserve"> </w:t>
            </w:r>
            <w:r>
              <w:t xml:space="preserve">Point 3.2, paragraph 1, 2°, a) of the Annex 1 to the same decree is amended as follows:</w:t>
            </w:r>
          </w:p>
          <w:p w14:paraId="2B24F716" w14:textId="77777777" w:rsidR="00CD661C" w:rsidRPr="00927455" w:rsidRDefault="00CD661C" w:rsidP="007E79A6"/>
        </w:tc>
      </w:tr>
      <w:tr w:rsidR="00CD661C" w:rsidRPr="00927455" w14:paraId="7EE65F04" w14:textId="77777777" w:rsidTr="001D6796">
        <w:tc>
          <w:tcPr>
            <w:tcW w:w="4538" w:type="dxa"/>
          </w:tcPr>
          <w:p w14:paraId="4754AB56" w14:textId="77777777" w:rsidR="00CD661C" w:rsidRPr="00927455" w:rsidRDefault="00CD661C" w:rsidP="007E79A6">
            <w:r>
              <w:t xml:space="preserve">1° all instances of the abbreviation ‘NBN’ are now removed;</w:t>
            </w:r>
          </w:p>
          <w:p w14:paraId="163DDBA2" w14:textId="77777777" w:rsidR="00CD661C" w:rsidRPr="00927455" w:rsidRDefault="00CD661C" w:rsidP="007E79A6"/>
        </w:tc>
      </w:tr>
      <w:tr w:rsidR="00CD661C" w:rsidRPr="00927455" w14:paraId="6FA848FE" w14:textId="77777777" w:rsidTr="001D6796">
        <w:tc>
          <w:tcPr>
            <w:tcW w:w="4538" w:type="dxa"/>
          </w:tcPr>
          <w:p w14:paraId="66D80ECB" w14:textId="77777777" w:rsidR="00CD661C" w:rsidRPr="00927455" w:rsidRDefault="00CD661C" w:rsidP="007E79A6">
            <w:r>
              <w:t xml:space="preserve">2° the abbreviations ‘ISO/IEC’ are inserted between the abbreviation ‘EN’ and the number ‘17000’.</w:t>
            </w:r>
          </w:p>
          <w:p w14:paraId="09BC62C8" w14:textId="77777777" w:rsidR="00CD661C" w:rsidRPr="00927455" w:rsidRDefault="00CD661C" w:rsidP="007E79A6"/>
        </w:tc>
      </w:tr>
      <w:tr w:rsidR="00CD661C" w:rsidRPr="00927455" w14:paraId="220F6AA2" w14:textId="77777777" w:rsidTr="00C63405">
        <w:tc>
          <w:tcPr>
            <w:tcW w:w="4538" w:type="dxa"/>
          </w:tcPr>
          <w:p w14:paraId="26053196" w14:textId="77777777" w:rsidR="00CD661C" w:rsidRPr="00927455" w:rsidRDefault="00CD661C" w:rsidP="007E79A6">
            <w:r>
              <w:rPr>
                <w:b/>
              </w:rPr>
              <w:t xml:space="preserve">Article 9.</w:t>
            </w:r>
            <w:r>
              <w:rPr>
                <w:b/>
              </w:rPr>
              <w:t xml:space="preserve"> </w:t>
            </w:r>
            <w:r>
              <w:t xml:space="preserve">The Point 3.4 of the Annex 1 to the same decree is now amended as follows:</w:t>
            </w:r>
          </w:p>
          <w:p w14:paraId="304BFDF7" w14:textId="77777777" w:rsidR="00CD661C" w:rsidRPr="00927455" w:rsidRDefault="00CD661C" w:rsidP="007E79A6"/>
        </w:tc>
      </w:tr>
      <w:tr w:rsidR="00CD661C" w:rsidRPr="00927455" w14:paraId="48B70536" w14:textId="77777777" w:rsidTr="001D6796">
        <w:tc>
          <w:tcPr>
            <w:tcW w:w="4538" w:type="dxa"/>
          </w:tcPr>
          <w:p w14:paraId="447A81CC" w14:textId="77777777" w:rsidR="00CD661C" w:rsidRPr="00927455" w:rsidRDefault="00CD661C" w:rsidP="007E79A6">
            <w:r>
              <w:t xml:space="preserve">1° in the paragraph 1, the phrase ‘of Tables I, II, III and IV’ is now removed;</w:t>
            </w:r>
          </w:p>
          <w:p w14:paraId="2AD24AC0" w14:textId="77777777" w:rsidR="00CD661C" w:rsidRPr="00927455" w:rsidRDefault="00CD661C" w:rsidP="007E79A6">
            <w:pPr>
              <w:rPr>
                <w:b/>
              </w:rPr>
            </w:pPr>
          </w:p>
        </w:tc>
      </w:tr>
      <w:tr w:rsidR="00CD661C" w:rsidRPr="00927455" w14:paraId="224F80ED" w14:textId="77777777" w:rsidTr="00C63405">
        <w:tc>
          <w:tcPr>
            <w:tcW w:w="4538" w:type="dxa"/>
          </w:tcPr>
          <w:p w14:paraId="304FD2F1" w14:textId="77777777" w:rsidR="00CD661C" w:rsidRPr="00927455" w:rsidRDefault="00CD661C" w:rsidP="007E79A6">
            <w:r>
              <w:t xml:space="preserve">2° paragraph 2 is replaced with the following:</w:t>
            </w:r>
          </w:p>
          <w:p w14:paraId="015C37BA" w14:textId="77777777" w:rsidR="00CD661C" w:rsidRPr="00927455" w:rsidRDefault="00CD661C" w:rsidP="007E79A6">
            <w:r>
              <w:t xml:space="preserve">‘However, the effect of the underlying storeys should not be assessed if they are protected with a building element with a fire protection ability K or a fire resistance EI that meets the requirements of Table 4 below.</w:t>
            </w:r>
            <w:r>
              <w:t xml:space="preserve"> </w:t>
            </w:r>
            <w:r>
              <w:t xml:space="preserve">Fire protection ability and fire resistance must be determined according to the standard NBN EN 13501-2.’;</w:t>
            </w:r>
          </w:p>
          <w:p w14:paraId="49D29BAF" w14:textId="77777777" w:rsidR="00CD661C" w:rsidRPr="00927455" w:rsidRDefault="00CD661C" w:rsidP="007E79A6"/>
        </w:tc>
      </w:tr>
      <w:tr w:rsidR="00CD661C" w:rsidRPr="00927455" w14:paraId="28B2B97F" w14:textId="77777777" w:rsidTr="00C63405">
        <w:tc>
          <w:tcPr>
            <w:tcW w:w="4538" w:type="dxa"/>
          </w:tcPr>
          <w:p w14:paraId="5F11C61C" w14:textId="77777777" w:rsidR="00CD661C" w:rsidRPr="00927455" w:rsidRDefault="00CD661C" w:rsidP="007E79A6">
            <w:r>
              <w:t xml:space="preserve">3° in the second row of Table 4, ‘or EI 30’ is added after ‘K</w:t>
            </w:r>
            <w:r>
              <w:rPr>
                <w:vertAlign w:val="subscript"/>
              </w:rPr>
              <w:t xml:space="preserve">2</w:t>
            </w:r>
            <w:r>
              <w:t xml:space="preserve"> 30’ and ‘or EI 15’ is added after ‘K</w:t>
            </w:r>
            <w:r>
              <w:rPr>
                <w:vertAlign w:val="subscript"/>
              </w:rPr>
              <w:t xml:space="preserve">2</w:t>
            </w:r>
            <w:r>
              <w:t xml:space="preserve"> 10’.</w:t>
            </w:r>
          </w:p>
          <w:p w14:paraId="47E9FAFC" w14:textId="77777777" w:rsidR="00CD661C" w:rsidRPr="00927455" w:rsidRDefault="00CD661C" w:rsidP="007E79A6"/>
        </w:tc>
      </w:tr>
      <w:tr w:rsidR="00CD661C" w:rsidRPr="00927455" w14:paraId="7379DDB3" w14:textId="77777777" w:rsidTr="00936826">
        <w:tc>
          <w:tcPr>
            <w:tcW w:w="4538" w:type="dxa"/>
          </w:tcPr>
          <w:p w14:paraId="6B8312A1" w14:textId="77777777" w:rsidR="00CD661C" w:rsidRPr="00927455" w:rsidRDefault="00CD661C" w:rsidP="007E79A6">
            <w:r>
              <w:rPr>
                <w:b/>
              </w:rPr>
              <w:t xml:space="preserve">Article 10.</w:t>
            </w:r>
            <w:r>
              <w:rPr>
                <w:b/>
              </w:rPr>
              <w:t xml:space="preserve"> </w:t>
            </w:r>
            <w:r>
              <w:t xml:space="preserve">The point 3bis.1 of the Annex 1 to the same decree is replaced with the following:</w:t>
            </w:r>
          </w:p>
          <w:p w14:paraId="124A2B82" w14:textId="77777777" w:rsidR="00CD661C" w:rsidRPr="00927455" w:rsidRDefault="00CD661C" w:rsidP="00CD661C">
            <w:pPr>
              <w:rPr>
                <w:b/>
              </w:rPr>
            </w:pPr>
          </w:p>
        </w:tc>
      </w:tr>
    </w:tbl>
    <w:tbl>
      <w:tblPr>
        <w:tblStyle w:val="Tabelraster1"/>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AB52A5" w:rsidRPr="00927455" w14:paraId="24EBC77D" w14:textId="77777777" w:rsidTr="00936826">
        <w:tc>
          <w:tcPr>
            <w:tcW w:w="9853" w:type="dxa"/>
            <w:tcMar>
              <w:left w:w="0" w:type="dxa"/>
            </w:tcMar>
          </w:tcPr>
          <w:p w14:paraId="3991AECD" w14:textId="77777777" w:rsidR="00AB52A5" w:rsidRPr="00927455" w:rsidRDefault="00AB52A5" w:rsidP="00936826">
            <w:pPr>
              <w:jc w:val="both"/>
              <w:rPr>
                <w:b/>
              </w:rPr>
            </w:pPr>
            <w:r>
              <w:rPr>
                <w:b/>
              </w:rPr>
              <w:t xml:space="preserve">‘3bis.1 Classification system for the external fire performance of roofs and roof coverings</w:t>
            </w:r>
          </w:p>
        </w:tc>
      </w:tr>
      <w:tr w:rsidR="00AB52A5" w:rsidRPr="00927455" w14:paraId="1F7C0E71" w14:textId="77777777" w:rsidTr="00936826">
        <w:tc>
          <w:tcPr>
            <w:tcW w:w="9853" w:type="dxa"/>
            <w:tcMar>
              <w:left w:w="0" w:type="dxa"/>
            </w:tcMar>
          </w:tcPr>
          <w:p w14:paraId="0450D829" w14:textId="77777777" w:rsidR="00AB52A5" w:rsidRPr="00927455" w:rsidRDefault="00AB52A5" w:rsidP="00936826">
            <w:pPr>
              <w:jc w:val="both"/>
            </w:pPr>
            <w:r>
              <w:t xml:space="preserve">The classification system for the external fire performance of roofs and roof coverings (NBN EN 13501-5) is described below:</w:t>
            </w:r>
          </w:p>
          <w:p w14:paraId="2C8156E4" w14:textId="77777777" w:rsidR="00AB52A5" w:rsidRPr="00927455" w:rsidRDefault="00AB52A5" w:rsidP="00936826">
            <w:pPr>
              <w:jc w:val="both"/>
              <w:rPr>
                <w:lang w:val="nl-BE"/>
              </w:rPr>
            </w:pPr>
          </w:p>
          <w:p w14:paraId="78EF32EE" w14:textId="77777777" w:rsidR="00AB52A5" w:rsidRPr="00927455" w:rsidRDefault="00AB52A5" w:rsidP="00936826">
            <w:pPr>
              <w:jc w:val="both"/>
            </w:pPr>
            <w:r>
              <w:t xml:space="preserve">SYMBOLS</w:t>
            </w:r>
          </w:p>
          <w:p w14:paraId="0B81C6F4" w14:textId="77777777" w:rsidR="00AB52A5" w:rsidRPr="00927455" w:rsidRDefault="00AB52A5" w:rsidP="00936826">
            <w:pPr>
              <w:jc w:val="both"/>
              <w:rPr>
                <w:lang w:val="nl-BE"/>
              </w:rPr>
            </w:pPr>
          </w:p>
          <w:p w14:paraId="0CBA471A" w14:textId="77777777" w:rsidR="00AB52A5" w:rsidRPr="00927455" w:rsidRDefault="00AB52A5" w:rsidP="00936826">
            <w:pPr>
              <w:jc w:val="both"/>
            </w:pPr>
            <w:r>
              <w:t xml:space="preserve">The classes according to the four test methods are:</w:t>
            </w:r>
          </w:p>
          <w:p w14:paraId="6146565B" w14:textId="77777777" w:rsidR="00AB52A5" w:rsidRPr="00927455" w:rsidRDefault="00AB52A5" w:rsidP="00936826">
            <w:pPr>
              <w:jc w:val="both"/>
              <w:rPr>
                <w:lang w:val="nl-BE"/>
              </w:rPr>
            </w:pPr>
          </w:p>
          <w:p w14:paraId="626BDDD0" w14:textId="77777777" w:rsidR="00AB52A5" w:rsidRPr="00927455" w:rsidRDefault="00AB52A5" w:rsidP="00370EB5">
            <w:pPr>
              <w:numPr>
                <w:ilvl w:val="0"/>
                <w:numId w:val="2"/>
              </w:numPr>
              <w:contextualSpacing/>
              <w:jc w:val="both"/>
            </w:pPr>
            <w:r>
              <w:t xml:space="preserve">CEN/TS 1187:2013 test 1:</w:t>
            </w:r>
            <w:r>
              <w:t xml:space="preserve"> </w:t>
            </w:r>
            <w:r>
              <w:t xml:space="preserve">X</w:t>
            </w:r>
            <w:r>
              <w:rPr>
                <w:vertAlign w:val="subscript"/>
              </w:rPr>
              <w:t xml:space="preserve">ROOF</w:t>
            </w:r>
            <w:r>
              <w:t xml:space="preserve"> (t1), where t1 = burning brands only;</w:t>
            </w:r>
          </w:p>
          <w:p w14:paraId="5F295EF6" w14:textId="77777777" w:rsidR="00AB52A5" w:rsidRPr="00927455" w:rsidRDefault="00AB52A5" w:rsidP="00936826">
            <w:pPr>
              <w:jc w:val="both"/>
              <w:rPr>
                <w:lang w:val="nl-BE"/>
              </w:rPr>
            </w:pPr>
          </w:p>
          <w:p w14:paraId="512CDA82" w14:textId="77777777" w:rsidR="00AB52A5" w:rsidRPr="00927455" w:rsidRDefault="00AB52A5" w:rsidP="00370EB5">
            <w:pPr>
              <w:numPr>
                <w:ilvl w:val="0"/>
                <w:numId w:val="2"/>
              </w:numPr>
              <w:contextualSpacing/>
              <w:jc w:val="both"/>
            </w:pPr>
            <w:r>
              <w:t xml:space="preserve">CEN/TS 1187:2013 test 2:</w:t>
            </w:r>
            <w:r>
              <w:t xml:space="preserve"> </w:t>
            </w:r>
            <w:r>
              <w:t xml:space="preserve">X</w:t>
            </w:r>
            <w:r>
              <w:rPr>
                <w:vertAlign w:val="subscript"/>
              </w:rPr>
              <w:t xml:space="preserve">ROOF</w:t>
            </w:r>
            <w:r>
              <w:t xml:space="preserve"> (t2), where t2 = burning brands + wind;</w:t>
            </w:r>
          </w:p>
          <w:p w14:paraId="40C79095" w14:textId="77777777" w:rsidR="00AB52A5" w:rsidRPr="00927455" w:rsidRDefault="00AB52A5" w:rsidP="00936826">
            <w:pPr>
              <w:jc w:val="both"/>
              <w:rPr>
                <w:lang w:val="nl-BE"/>
              </w:rPr>
            </w:pPr>
          </w:p>
          <w:p w14:paraId="4302786C" w14:textId="77777777" w:rsidR="00AB52A5" w:rsidRPr="00927455" w:rsidRDefault="00AB52A5" w:rsidP="00370EB5">
            <w:pPr>
              <w:numPr>
                <w:ilvl w:val="0"/>
                <w:numId w:val="2"/>
              </w:numPr>
              <w:contextualSpacing/>
              <w:jc w:val="both"/>
            </w:pPr>
            <w:r>
              <w:t xml:space="preserve">CEN/TS 1187:2013 test 3:</w:t>
            </w:r>
            <w:r>
              <w:t xml:space="preserve"> </w:t>
            </w:r>
            <w:r>
              <w:t xml:space="preserve">X</w:t>
            </w:r>
            <w:r>
              <w:rPr>
                <w:vertAlign w:val="subscript"/>
              </w:rPr>
              <w:t xml:space="preserve">ROOF</w:t>
            </w:r>
            <w:r>
              <w:t xml:space="preserve"> (t3), where t3 = burning brands + wind + radiation,</w:t>
            </w:r>
          </w:p>
          <w:p w14:paraId="50D2AE56" w14:textId="77777777" w:rsidR="00AB52A5" w:rsidRPr="00927455" w:rsidRDefault="00AB52A5" w:rsidP="00936826">
            <w:pPr>
              <w:jc w:val="both"/>
              <w:rPr>
                <w:lang w:val="nl-BE"/>
              </w:rPr>
            </w:pPr>
          </w:p>
          <w:p w14:paraId="3D76F0AF" w14:textId="77777777" w:rsidR="00AB52A5" w:rsidRPr="00927455" w:rsidRDefault="00AB52A5" w:rsidP="00370EB5">
            <w:pPr>
              <w:numPr>
                <w:ilvl w:val="0"/>
                <w:numId w:val="2"/>
              </w:numPr>
              <w:contextualSpacing/>
              <w:jc w:val="both"/>
            </w:pPr>
            <w:r>
              <w:t xml:space="preserve">CEN/TS 1187:2013 test 4:</w:t>
            </w:r>
            <w:r>
              <w:t xml:space="preserve"> </w:t>
            </w:r>
            <w:r>
              <w:t xml:space="preserve">X</w:t>
            </w:r>
            <w:r>
              <w:rPr>
                <w:vertAlign w:val="subscript"/>
              </w:rPr>
              <w:t xml:space="preserve">ROOF</w:t>
            </w:r>
            <w:r>
              <w:t xml:space="preserve"> (t4) where t4 = burning brands + wind + supplementary radiant heat</w:t>
            </w:r>
          </w:p>
          <w:p w14:paraId="16FC4271" w14:textId="77777777" w:rsidR="00AB52A5" w:rsidRPr="00927455" w:rsidRDefault="00AB52A5" w:rsidP="00936826">
            <w:pPr>
              <w:jc w:val="both"/>
              <w:rPr>
                <w:lang w:val="nl-BE"/>
              </w:rPr>
            </w:pPr>
          </w:p>
          <w:p w14:paraId="668DACDC" w14:textId="77777777" w:rsidR="00AB52A5" w:rsidRPr="00927455" w:rsidRDefault="00AB52A5" w:rsidP="00936826">
            <w:pPr>
              <w:ind w:left="357" w:hanging="357"/>
              <w:jc w:val="both"/>
            </w:pPr>
            <w:r>
              <w:t xml:space="preserve">T</w:t>
            </w:r>
            <w:r>
              <w:rPr>
                <w:vertAlign w:val="subscript"/>
              </w:rPr>
              <w:t xml:space="preserve">E</w:t>
            </w:r>
            <w:r>
              <w:t xml:space="preserve">:</w:t>
            </w:r>
            <w:r>
              <w:tab/>
            </w:r>
            <w:r>
              <w:t xml:space="preserve">critical time for external fire spread</w:t>
            </w:r>
          </w:p>
          <w:p w14:paraId="642D5C85" w14:textId="77777777" w:rsidR="00AB52A5" w:rsidRPr="00927455" w:rsidRDefault="00AB52A5" w:rsidP="00936826">
            <w:pPr>
              <w:jc w:val="both"/>
              <w:rPr>
                <w:lang w:val="nl-BE"/>
              </w:rPr>
            </w:pPr>
          </w:p>
          <w:p w14:paraId="3B434A09" w14:textId="77777777" w:rsidR="00AB52A5" w:rsidRPr="00927455" w:rsidRDefault="00AB52A5" w:rsidP="00936826">
            <w:pPr>
              <w:ind w:left="357" w:hanging="357"/>
              <w:jc w:val="both"/>
            </w:pPr>
            <w:r>
              <w:t xml:space="preserve">T</w:t>
            </w:r>
            <w:r>
              <w:rPr>
                <w:vertAlign w:val="subscript"/>
              </w:rPr>
              <w:t xml:space="preserve">p</w:t>
            </w:r>
            <w:r>
              <w:t xml:space="preserve">:</w:t>
            </w:r>
            <w:r>
              <w:tab/>
            </w:r>
            <w:r>
              <w:t xml:space="preserve">critical time for fire penetration</w:t>
            </w:r>
          </w:p>
        </w:tc>
      </w:tr>
      <w:tr w:rsidR="00AB52A5" w:rsidRPr="00927455" w14:paraId="4F6037D1" w14:textId="77777777" w:rsidTr="00936826">
        <w:trPr>
          <w:cantSplit/>
        </w:trPr>
        <w:tc>
          <w:tcPr>
            <w:tcW w:w="9853" w:type="dxa"/>
            <w:tcMar>
              <w:left w:w="0" w:type="dxa"/>
            </w:tcMar>
          </w:tcPr>
          <w:tbl>
            <w:tblPr>
              <w:tblStyle w:val="Tabelraster1"/>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44B4EEB7" w14:textId="77777777" w:rsidTr="00936826">
              <w:tc>
                <w:tcPr>
                  <w:tcW w:w="573" w:type="dxa"/>
                  <w:vMerge w:val="restart"/>
                  <w:tcBorders>
                    <w:top w:val="single" w:sz="4" w:space="0" w:color="auto"/>
                    <w:left w:val="single" w:sz="4" w:space="0" w:color="auto"/>
                  </w:tcBorders>
                  <w:textDirection w:val="tbRl"/>
                </w:tcPr>
                <w:p w14:paraId="7542D05A" w14:textId="77777777" w:rsidR="00AB52A5" w:rsidRPr="00927455" w:rsidRDefault="00AB52A5" w:rsidP="00936826">
                  <w:pPr>
                    <w:autoSpaceDE w:val="0"/>
                    <w:autoSpaceDN w:val="0"/>
                    <w:adjustRightInd w:val="0"/>
                    <w:ind w:left="113" w:right="113"/>
                  </w:pPr>
                  <w:r>
                    <w:t xml:space="preserve">CEN/TS 1187:2013 test 1</w:t>
                  </w:r>
                </w:p>
              </w:tc>
              <w:tc>
                <w:tcPr>
                  <w:tcW w:w="1456" w:type="dxa"/>
                  <w:tcBorders>
                    <w:top w:val="single" w:sz="4" w:space="0" w:color="auto"/>
                    <w:bottom w:val="single" w:sz="4" w:space="0" w:color="auto"/>
                  </w:tcBorders>
                </w:tcPr>
                <w:p w14:paraId="1F3FFB97" w14:textId="77777777" w:rsidR="00AB52A5" w:rsidRPr="00927455" w:rsidRDefault="00AB52A5" w:rsidP="00936826">
                  <w:pPr>
                    <w:ind w:right="-108"/>
                  </w:pPr>
                  <w:r>
                    <w:t xml:space="preserve">Class</w:t>
                  </w:r>
                </w:p>
              </w:tc>
              <w:tc>
                <w:tcPr>
                  <w:tcW w:w="6697" w:type="dxa"/>
                  <w:tcBorders>
                    <w:top w:val="single" w:sz="4" w:space="0" w:color="auto"/>
                    <w:bottom w:val="single" w:sz="4" w:space="0" w:color="auto"/>
                    <w:right w:val="single" w:sz="4" w:space="0" w:color="auto"/>
                  </w:tcBorders>
                </w:tcPr>
                <w:p w14:paraId="74A3A319" w14:textId="77777777" w:rsidR="00AB52A5" w:rsidRPr="00927455" w:rsidRDefault="00AB52A5" w:rsidP="00936826">
                  <w:r>
                    <w:t xml:space="preserve">Classification criteria</w:t>
                  </w:r>
                </w:p>
              </w:tc>
            </w:tr>
            <w:tr w:rsidR="008A5C17" w:rsidRPr="00927455" w14:paraId="577FDE8E" w14:textId="77777777" w:rsidTr="00936826">
              <w:trPr>
                <w:cantSplit/>
              </w:trPr>
              <w:tc>
                <w:tcPr>
                  <w:tcW w:w="573" w:type="dxa"/>
                  <w:vMerge/>
                  <w:tcBorders>
                    <w:left w:val="single" w:sz="4" w:space="0" w:color="auto"/>
                  </w:tcBorders>
                  <w:textDirection w:val="tbRl"/>
                  <w:vAlign w:val="center"/>
                </w:tcPr>
                <w:p w14:paraId="6C36CD67" w14:textId="77777777" w:rsidR="00AB52A5" w:rsidRPr="00927455" w:rsidRDefault="00AB52A5" w:rsidP="00936826">
                  <w:pPr>
                    <w:autoSpaceDE w:val="0"/>
                    <w:autoSpaceDN w:val="0"/>
                    <w:adjustRightInd w:val="0"/>
                    <w:ind w:left="113" w:right="113"/>
                    <w:rPr>
                      <w:lang w:val="nl-BE" w:eastAsia="fr-BE"/>
                    </w:rPr>
                  </w:pPr>
                </w:p>
              </w:tc>
              <w:tc>
                <w:tcPr>
                  <w:tcW w:w="1456" w:type="dxa"/>
                  <w:tcBorders>
                    <w:top w:val="single" w:sz="4" w:space="0" w:color="auto"/>
                  </w:tcBorders>
                </w:tcPr>
                <w:p w14:paraId="0D72C9FA" w14:textId="77777777" w:rsidR="00AB52A5" w:rsidRPr="00927455" w:rsidRDefault="00AB52A5" w:rsidP="00936826">
                  <w:pPr>
                    <w:ind w:left="-2" w:hanging="106"/>
                    <w:jc w:val="center"/>
                  </w:pPr>
                  <w:r>
                    <w:t xml:space="preserve">B</w:t>
                  </w:r>
                  <w:r>
                    <w:rPr>
                      <w:vertAlign w:val="subscript"/>
                    </w:rPr>
                    <w:t xml:space="preserve">ROOF </w:t>
                  </w:r>
                  <w:r>
                    <w:t xml:space="preserve">(t1)</w:t>
                  </w:r>
                </w:p>
              </w:tc>
              <w:tc>
                <w:tcPr>
                  <w:tcW w:w="6697" w:type="dxa"/>
                  <w:tcBorders>
                    <w:top w:val="single" w:sz="4" w:space="0" w:color="auto"/>
                  </w:tcBorders>
                </w:tcPr>
                <w:p w14:paraId="07BB427B" w14:textId="77777777" w:rsidR="00AB52A5" w:rsidRPr="00927455" w:rsidRDefault="00AB52A5" w:rsidP="00936826">
                  <w:pPr>
                    <w:autoSpaceDE w:val="0"/>
                    <w:autoSpaceDN w:val="0"/>
                    <w:adjustRightInd w:val="0"/>
                  </w:pPr>
                  <w:r>
                    <w:t xml:space="preserve">All of the following conditions must be satisfied:</w:t>
                  </w:r>
                </w:p>
                <w:p w14:paraId="35F2272D" w14:textId="77777777" w:rsidR="00AB52A5" w:rsidRPr="00927455" w:rsidRDefault="00AB52A5" w:rsidP="00936826">
                  <w:pPr>
                    <w:autoSpaceDE w:val="0"/>
                    <w:autoSpaceDN w:val="0"/>
                    <w:adjustRightInd w:val="0"/>
                  </w:pPr>
                  <w:r>
                    <w:t xml:space="preserve">- external and internal fire spread upwards &lt; 0.700 m;</w:t>
                  </w:r>
                </w:p>
                <w:p w14:paraId="25D5AF8F" w14:textId="77777777" w:rsidR="00AB52A5" w:rsidRPr="00927455" w:rsidRDefault="00AB52A5" w:rsidP="00936826">
                  <w:pPr>
                    <w:autoSpaceDE w:val="0"/>
                    <w:autoSpaceDN w:val="0"/>
                    <w:adjustRightInd w:val="0"/>
                  </w:pPr>
                  <w:r>
                    <w:t xml:space="preserve">- external and internal fire spread downwards &lt; 0.600 m;</w:t>
                  </w:r>
                </w:p>
                <w:p w14:paraId="11BCBBFF" w14:textId="77777777" w:rsidR="00AB52A5" w:rsidRPr="00927455" w:rsidRDefault="00AB52A5" w:rsidP="00936826">
                  <w:pPr>
                    <w:autoSpaceDE w:val="0"/>
                    <w:autoSpaceDN w:val="0"/>
                    <w:adjustRightInd w:val="0"/>
                  </w:pPr>
                  <w:r>
                    <w:t xml:space="preserve">- maximum burned length external and internal &lt; 0.800 m;</w:t>
                  </w:r>
                </w:p>
                <w:p w14:paraId="1084DE36" w14:textId="77777777" w:rsidR="00AB52A5" w:rsidRPr="00927455" w:rsidRDefault="00AB52A5" w:rsidP="00936826">
                  <w:pPr>
                    <w:autoSpaceDE w:val="0"/>
                    <w:autoSpaceDN w:val="0"/>
                    <w:adjustRightInd w:val="0"/>
                  </w:pPr>
                  <w:r>
                    <w:t xml:space="preserve">- no burning material (droplets or debris) falling from exposed side;</w:t>
                  </w:r>
                </w:p>
                <w:p w14:paraId="544D7669" w14:textId="77777777" w:rsidR="00AB52A5" w:rsidRPr="00927455" w:rsidRDefault="00AB52A5" w:rsidP="00936826">
                  <w:pPr>
                    <w:autoSpaceDE w:val="0"/>
                    <w:autoSpaceDN w:val="0"/>
                    <w:adjustRightInd w:val="0"/>
                  </w:pPr>
                  <w:r>
                    <w:t xml:space="preserve">- no burning/glowing particles penetrating the roof construction;</w:t>
                  </w:r>
                </w:p>
                <w:p w14:paraId="3AC48E36" w14:textId="77777777" w:rsidR="00AB52A5" w:rsidRPr="00927455" w:rsidRDefault="00AB52A5" w:rsidP="00936826">
                  <w:pPr>
                    <w:autoSpaceDE w:val="0"/>
                    <w:autoSpaceDN w:val="0"/>
                    <w:adjustRightInd w:val="0"/>
                  </w:pPr>
                  <w:r>
                    <w:t xml:space="preserve">- no single through opening &gt; 2.5 × 10</w:t>
                  </w:r>
                  <w:r>
                    <w:rPr>
                      <w:vertAlign w:val="superscript"/>
                    </w:rPr>
                    <w:t xml:space="preserve">–5</w:t>
                  </w:r>
                  <w:r>
                    <w:t xml:space="preserve"> m</w:t>
                  </w:r>
                  <w:r>
                    <w:rPr>
                      <w:vertAlign w:val="superscript"/>
                    </w:rPr>
                    <w:t xml:space="preserve">2</w:t>
                  </w:r>
                  <w:r>
                    <w:t xml:space="preserve">;</w:t>
                  </w:r>
                </w:p>
                <w:p w14:paraId="21906EF5" w14:textId="77777777" w:rsidR="00AB52A5" w:rsidRPr="00927455" w:rsidRDefault="00AB52A5" w:rsidP="00936826">
                  <w:pPr>
                    <w:autoSpaceDE w:val="0"/>
                    <w:autoSpaceDN w:val="0"/>
                    <w:adjustRightInd w:val="0"/>
                  </w:pPr>
                  <w:r>
                    <w:t xml:space="preserve">- sum of all through openings &lt; 4.5 × 10</w:t>
                  </w:r>
                  <w:r>
                    <w:rPr>
                      <w:vertAlign w:val="superscript"/>
                    </w:rPr>
                    <w:t xml:space="preserve">–3</w:t>
                  </w:r>
                  <w:r>
                    <w:t xml:space="preserve"> m</w:t>
                  </w:r>
                  <w:r>
                    <w:rPr>
                      <w:vertAlign w:val="superscript"/>
                    </w:rPr>
                    <w:t xml:space="preserve">2</w:t>
                  </w:r>
                  <w:r>
                    <w:t xml:space="preserve">;</w:t>
                  </w:r>
                </w:p>
                <w:p w14:paraId="3CFD6F77" w14:textId="77777777" w:rsidR="00AB52A5" w:rsidRPr="00927455" w:rsidRDefault="00AB52A5" w:rsidP="00936826">
                  <w:pPr>
                    <w:autoSpaceDE w:val="0"/>
                    <w:autoSpaceDN w:val="0"/>
                    <w:adjustRightInd w:val="0"/>
                  </w:pPr>
                  <w:r>
                    <w:t xml:space="preserve">- lateral fire spread does not reach the edges of the measurement zone;</w:t>
                  </w:r>
                </w:p>
                <w:p w14:paraId="61AA067D" w14:textId="77777777" w:rsidR="00AB52A5" w:rsidRPr="00927455" w:rsidRDefault="00AB52A5" w:rsidP="00936826">
                  <w:pPr>
                    <w:autoSpaceDE w:val="0"/>
                    <w:autoSpaceDN w:val="0"/>
                    <w:adjustRightInd w:val="0"/>
                  </w:pPr>
                  <w:r>
                    <w:t xml:space="preserve">- no internal glowing combustion;</w:t>
                  </w:r>
                </w:p>
                <w:p w14:paraId="52C7D694" w14:textId="77777777" w:rsidR="00AB52A5" w:rsidRPr="00927455" w:rsidRDefault="00AB52A5" w:rsidP="00936826">
                  <w:pPr>
                    <w:autoSpaceDE w:val="0"/>
                    <w:autoSpaceDN w:val="0"/>
                    <w:adjustRightInd w:val="0"/>
                  </w:pPr>
                  <w:r>
                    <w:t xml:space="preserve">- maximum radius of fire spread on ‘horizontal’ roofs, external and internal &lt; 0.200 m.</w:t>
                  </w:r>
                </w:p>
              </w:tc>
            </w:tr>
            <w:tr w:rsidR="008A5C17" w:rsidRPr="00927455" w14:paraId="203E251E" w14:textId="77777777" w:rsidTr="00936826">
              <w:tc>
                <w:tcPr>
                  <w:tcW w:w="573" w:type="dxa"/>
                  <w:vMerge/>
                  <w:tcBorders>
                    <w:left w:val="single" w:sz="4" w:space="0" w:color="auto"/>
                  </w:tcBorders>
                </w:tcPr>
                <w:p w14:paraId="5F89D1EA" w14:textId="77777777" w:rsidR="00AB52A5" w:rsidRPr="00927455" w:rsidRDefault="00AB52A5" w:rsidP="00936826">
                  <w:pPr>
                    <w:rPr>
                      <w:lang w:val="nl-BE" w:eastAsia="fr-BE"/>
                    </w:rPr>
                  </w:pPr>
                </w:p>
              </w:tc>
              <w:tc>
                <w:tcPr>
                  <w:tcW w:w="1456" w:type="dxa"/>
                </w:tcPr>
                <w:p w14:paraId="4546E02A" w14:textId="77777777" w:rsidR="00AB52A5" w:rsidRPr="00927455" w:rsidRDefault="00AB52A5" w:rsidP="00936826">
                  <w:pPr>
                    <w:ind w:left="-2" w:hanging="106"/>
                    <w:jc w:val="center"/>
                  </w:pPr>
                  <w:r>
                    <w:t xml:space="preserve">F</w:t>
                  </w:r>
                  <w:r>
                    <w:rPr>
                      <w:vertAlign w:val="subscript"/>
                    </w:rPr>
                    <w:t xml:space="preserve">ROOF</w:t>
                  </w:r>
                  <w:r>
                    <w:t xml:space="preserve"> (t1)</w:t>
                  </w:r>
                </w:p>
              </w:tc>
              <w:tc>
                <w:tcPr>
                  <w:tcW w:w="6697" w:type="dxa"/>
                </w:tcPr>
                <w:p w14:paraId="4B128326" w14:textId="77777777" w:rsidR="00AB52A5" w:rsidRPr="00927455" w:rsidRDefault="00AB52A5" w:rsidP="00936826">
                  <w:pPr>
                    <w:autoSpaceDE w:val="0"/>
                    <w:autoSpaceDN w:val="0"/>
                    <w:adjustRightInd w:val="0"/>
                  </w:pPr>
                  <w:r>
                    <w:t xml:space="preserve">No performance determined</w:t>
                  </w:r>
                </w:p>
              </w:tc>
            </w:tr>
          </w:tbl>
          <w:p w14:paraId="0B22C159" w14:textId="77777777" w:rsidR="00AB52A5" w:rsidRPr="00927455" w:rsidRDefault="00AB52A5" w:rsidP="00936826">
            <w:pPr>
              <w:rPr>
                <w:lang w:val="nl-BE"/>
              </w:rPr>
            </w:pPr>
          </w:p>
        </w:tc>
      </w:tr>
      <w:tr w:rsidR="00AB52A5" w:rsidRPr="00927455" w14:paraId="7E59FF60" w14:textId="77777777" w:rsidTr="00936826">
        <w:trPr>
          <w:cantSplit/>
        </w:trPr>
        <w:tc>
          <w:tcPr>
            <w:tcW w:w="9853" w:type="dxa"/>
            <w:tcMar>
              <w:left w:w="0" w:type="dxa"/>
            </w:tcMar>
          </w:tcPr>
          <w:tbl>
            <w:tblPr>
              <w:tblStyle w:val="Tabelraster1"/>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27703F88" w14:textId="77777777" w:rsidTr="00936826">
              <w:trPr>
                <w:trHeight w:val="284"/>
              </w:trPr>
              <w:tc>
                <w:tcPr>
                  <w:tcW w:w="573" w:type="dxa"/>
                  <w:vMerge w:val="restart"/>
                  <w:tcBorders>
                    <w:top w:val="single" w:sz="4" w:space="0" w:color="auto"/>
                    <w:left w:val="single" w:sz="4" w:space="0" w:color="auto"/>
                  </w:tcBorders>
                  <w:textDirection w:val="tbRl"/>
                </w:tcPr>
                <w:p w14:paraId="394A2784" w14:textId="77777777" w:rsidR="00AB52A5" w:rsidRPr="00927455" w:rsidRDefault="00AB52A5" w:rsidP="00936826">
                  <w:pPr>
                    <w:autoSpaceDE w:val="0"/>
                    <w:autoSpaceDN w:val="0"/>
                    <w:adjustRightInd w:val="0"/>
                    <w:ind w:left="113" w:right="113"/>
                  </w:pPr>
                  <w:r>
                    <w:t xml:space="preserve">CEN/TS 1187:2013 test 2</w:t>
                  </w:r>
                </w:p>
              </w:tc>
              <w:tc>
                <w:tcPr>
                  <w:tcW w:w="1456" w:type="dxa"/>
                  <w:tcBorders>
                    <w:top w:val="single" w:sz="4" w:space="0" w:color="auto"/>
                    <w:bottom w:val="single" w:sz="4" w:space="0" w:color="auto"/>
                  </w:tcBorders>
                </w:tcPr>
                <w:p w14:paraId="6CDABD94" w14:textId="77777777" w:rsidR="00AB52A5" w:rsidRPr="00927455" w:rsidRDefault="00AB52A5" w:rsidP="00936826">
                  <w:pPr>
                    <w:ind w:right="-108"/>
                  </w:pPr>
                  <w:r>
                    <w:t xml:space="preserve">Class</w:t>
                  </w:r>
                </w:p>
              </w:tc>
              <w:tc>
                <w:tcPr>
                  <w:tcW w:w="6697" w:type="dxa"/>
                  <w:tcBorders>
                    <w:top w:val="single" w:sz="4" w:space="0" w:color="auto"/>
                    <w:bottom w:val="single" w:sz="4" w:space="0" w:color="auto"/>
                    <w:right w:val="single" w:sz="4" w:space="0" w:color="auto"/>
                  </w:tcBorders>
                </w:tcPr>
                <w:p w14:paraId="1EA7D3AC" w14:textId="77777777" w:rsidR="00AB52A5" w:rsidRPr="00927455" w:rsidRDefault="00AB52A5" w:rsidP="00936826">
                  <w:r>
                    <w:t xml:space="preserve">Classification criteria</w:t>
                  </w:r>
                </w:p>
              </w:tc>
            </w:tr>
            <w:tr w:rsidR="008A5C17" w:rsidRPr="00927455" w14:paraId="716E5F49" w14:textId="77777777" w:rsidTr="00936826">
              <w:trPr>
                <w:cantSplit/>
              </w:trPr>
              <w:tc>
                <w:tcPr>
                  <w:tcW w:w="573" w:type="dxa"/>
                  <w:vMerge/>
                  <w:tcBorders>
                    <w:left w:val="single" w:sz="4" w:space="0" w:color="auto"/>
                  </w:tcBorders>
                  <w:textDirection w:val="tbRl"/>
                </w:tcPr>
                <w:p w14:paraId="18421A47" w14:textId="77777777" w:rsidR="00AB52A5" w:rsidRPr="00927455" w:rsidRDefault="00AB52A5" w:rsidP="00936826">
                  <w:pPr>
                    <w:autoSpaceDE w:val="0"/>
                    <w:autoSpaceDN w:val="0"/>
                    <w:adjustRightInd w:val="0"/>
                    <w:ind w:left="113" w:right="113"/>
                    <w:rPr>
                      <w:lang w:val="nl-BE" w:eastAsia="fr-BE"/>
                    </w:rPr>
                  </w:pPr>
                </w:p>
              </w:tc>
              <w:tc>
                <w:tcPr>
                  <w:tcW w:w="1456" w:type="dxa"/>
                </w:tcPr>
                <w:p w14:paraId="3AF6CF6A" w14:textId="77777777" w:rsidR="00AB52A5" w:rsidRPr="00927455" w:rsidRDefault="00AB52A5" w:rsidP="00936826">
                  <w:pPr>
                    <w:ind w:left="-2" w:hanging="106"/>
                    <w:jc w:val="center"/>
                  </w:pPr>
                  <w:r>
                    <w:t xml:space="preserve">B</w:t>
                  </w:r>
                  <w:r>
                    <w:rPr>
                      <w:vertAlign w:val="subscript"/>
                    </w:rPr>
                    <w:t xml:space="preserve">ROOF </w:t>
                  </w:r>
                  <w:r>
                    <w:t xml:space="preserve">(t2)</w:t>
                  </w:r>
                </w:p>
              </w:tc>
              <w:tc>
                <w:tcPr>
                  <w:tcW w:w="6697" w:type="dxa"/>
                </w:tcPr>
                <w:p w14:paraId="297FE323" w14:textId="77777777" w:rsidR="00AB52A5" w:rsidRPr="00927455" w:rsidRDefault="00AB52A5" w:rsidP="00936826">
                  <w:pPr>
                    <w:autoSpaceDE w:val="0"/>
                    <w:autoSpaceDN w:val="0"/>
                    <w:adjustRightInd w:val="0"/>
                  </w:pPr>
                  <w:r>
                    <w:t xml:space="preserve">For both test series at 2 m/s and 4 m/s wind speed:</w:t>
                  </w:r>
                </w:p>
                <w:p w14:paraId="2A397016" w14:textId="77777777" w:rsidR="00AB52A5" w:rsidRPr="00927455" w:rsidRDefault="00AB52A5" w:rsidP="00936826">
                  <w:pPr>
                    <w:autoSpaceDE w:val="0"/>
                    <w:autoSpaceDN w:val="0"/>
                    <w:adjustRightInd w:val="0"/>
                  </w:pPr>
                  <w:r>
                    <w:t xml:space="preserve">- mean damaged length of the roofing and underlay ≤ 0.550 m;</w:t>
                  </w:r>
                </w:p>
                <w:p w14:paraId="788DC292" w14:textId="77777777" w:rsidR="00AB52A5" w:rsidRPr="00927455" w:rsidRDefault="00AB52A5" w:rsidP="00936826">
                  <w:pPr>
                    <w:autoSpaceDE w:val="0"/>
                    <w:autoSpaceDN w:val="0"/>
                    <w:adjustRightInd w:val="0"/>
                  </w:pPr>
                  <w:r>
                    <w:t xml:space="preserve">- maximum damaged length of the roofing and underlay ≤ 0.800 m.</w:t>
                  </w:r>
                </w:p>
              </w:tc>
            </w:tr>
            <w:tr w:rsidR="008A5C17" w:rsidRPr="00927455" w14:paraId="5062E655" w14:textId="77777777" w:rsidTr="00936826">
              <w:tc>
                <w:tcPr>
                  <w:tcW w:w="573" w:type="dxa"/>
                  <w:vMerge/>
                  <w:tcBorders>
                    <w:left w:val="single" w:sz="4" w:space="0" w:color="auto"/>
                  </w:tcBorders>
                </w:tcPr>
                <w:p w14:paraId="324A644A" w14:textId="77777777" w:rsidR="00AB52A5" w:rsidRPr="00927455" w:rsidRDefault="00AB52A5" w:rsidP="00936826">
                  <w:pPr>
                    <w:rPr>
                      <w:lang w:val="nl-BE" w:eastAsia="fr-BE"/>
                    </w:rPr>
                  </w:pPr>
                </w:p>
              </w:tc>
              <w:tc>
                <w:tcPr>
                  <w:tcW w:w="1456" w:type="dxa"/>
                </w:tcPr>
                <w:p w14:paraId="6AF62C98" w14:textId="77777777" w:rsidR="00AB52A5" w:rsidRPr="00927455" w:rsidRDefault="00AB52A5" w:rsidP="00936826">
                  <w:pPr>
                    <w:ind w:left="-2" w:hanging="106"/>
                    <w:jc w:val="center"/>
                  </w:pPr>
                  <w:r>
                    <w:t xml:space="preserve">F</w:t>
                  </w:r>
                  <w:r>
                    <w:rPr>
                      <w:vertAlign w:val="subscript"/>
                    </w:rPr>
                    <w:t xml:space="preserve">ROOF</w:t>
                  </w:r>
                  <w:r>
                    <w:t xml:space="preserve"> (t2)</w:t>
                  </w:r>
                </w:p>
              </w:tc>
              <w:tc>
                <w:tcPr>
                  <w:tcW w:w="6697" w:type="dxa"/>
                </w:tcPr>
                <w:p w14:paraId="0119A887" w14:textId="77777777" w:rsidR="00AB52A5" w:rsidRPr="00927455" w:rsidRDefault="00AB52A5" w:rsidP="00936826">
                  <w:pPr>
                    <w:autoSpaceDE w:val="0"/>
                    <w:autoSpaceDN w:val="0"/>
                    <w:adjustRightInd w:val="0"/>
                  </w:pPr>
                  <w:r>
                    <w:t xml:space="preserve">No performance determined</w:t>
                  </w:r>
                </w:p>
              </w:tc>
            </w:tr>
          </w:tbl>
          <w:p w14:paraId="7D2B39EC" w14:textId="77777777" w:rsidR="00AB52A5" w:rsidRPr="00927455" w:rsidRDefault="00AB52A5" w:rsidP="00936826">
            <w:pPr>
              <w:rPr>
                <w:lang w:val="nl-BE"/>
              </w:rPr>
            </w:pPr>
          </w:p>
        </w:tc>
      </w:tr>
      <w:tr w:rsidR="00AB52A5" w:rsidRPr="00927455" w14:paraId="22A30B69" w14:textId="77777777" w:rsidTr="00936826">
        <w:trPr>
          <w:cantSplit/>
        </w:trPr>
        <w:tc>
          <w:tcPr>
            <w:tcW w:w="9853" w:type="dxa"/>
            <w:tcMar>
              <w:left w:w="0" w:type="dxa"/>
            </w:tcMar>
          </w:tcPr>
          <w:tbl>
            <w:tblPr>
              <w:tblStyle w:val="Tabelraster1"/>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0E5FCBC7" w14:textId="77777777" w:rsidTr="00936826">
              <w:tc>
                <w:tcPr>
                  <w:tcW w:w="573" w:type="dxa"/>
                  <w:vMerge w:val="restart"/>
                  <w:tcBorders>
                    <w:top w:val="single" w:sz="4" w:space="0" w:color="auto"/>
                    <w:left w:val="single" w:sz="4" w:space="0" w:color="auto"/>
                  </w:tcBorders>
                  <w:textDirection w:val="tbRl"/>
                </w:tcPr>
                <w:p w14:paraId="5DA714C3" w14:textId="77777777" w:rsidR="00AB52A5" w:rsidRPr="00927455" w:rsidRDefault="00AB52A5" w:rsidP="00936826">
                  <w:pPr>
                    <w:autoSpaceDE w:val="0"/>
                    <w:autoSpaceDN w:val="0"/>
                    <w:adjustRightInd w:val="0"/>
                    <w:ind w:left="113" w:right="113"/>
                  </w:pPr>
                  <w:r>
                    <w:t xml:space="preserve">CEN/TS 1187:2013 test 3</w:t>
                  </w:r>
                </w:p>
              </w:tc>
              <w:tc>
                <w:tcPr>
                  <w:tcW w:w="1456" w:type="dxa"/>
                  <w:tcBorders>
                    <w:top w:val="single" w:sz="4" w:space="0" w:color="auto"/>
                    <w:bottom w:val="single" w:sz="4" w:space="0" w:color="auto"/>
                  </w:tcBorders>
                </w:tcPr>
                <w:p w14:paraId="6DD465A9" w14:textId="77777777" w:rsidR="00AB52A5" w:rsidRPr="00927455" w:rsidRDefault="00AB52A5" w:rsidP="00936826">
                  <w:pPr>
                    <w:ind w:right="-108"/>
                  </w:pPr>
                  <w:r>
                    <w:t xml:space="preserve">Class</w:t>
                  </w:r>
                </w:p>
              </w:tc>
              <w:tc>
                <w:tcPr>
                  <w:tcW w:w="6697" w:type="dxa"/>
                  <w:tcBorders>
                    <w:top w:val="single" w:sz="4" w:space="0" w:color="auto"/>
                    <w:bottom w:val="single" w:sz="4" w:space="0" w:color="auto"/>
                    <w:right w:val="single" w:sz="4" w:space="0" w:color="auto"/>
                  </w:tcBorders>
                </w:tcPr>
                <w:p w14:paraId="084D0905" w14:textId="77777777" w:rsidR="00AB52A5" w:rsidRPr="00927455" w:rsidRDefault="00AB52A5" w:rsidP="00936826">
                  <w:r>
                    <w:t xml:space="preserve">Classification criteria</w:t>
                  </w:r>
                </w:p>
              </w:tc>
            </w:tr>
            <w:tr w:rsidR="008A5C17" w:rsidRPr="00927455" w14:paraId="51DAACDE" w14:textId="77777777" w:rsidTr="00936826">
              <w:trPr>
                <w:cantSplit/>
              </w:trPr>
              <w:tc>
                <w:tcPr>
                  <w:tcW w:w="573" w:type="dxa"/>
                  <w:vMerge/>
                  <w:tcBorders>
                    <w:left w:val="single" w:sz="4" w:space="0" w:color="auto"/>
                  </w:tcBorders>
                  <w:textDirection w:val="tbRl"/>
                </w:tcPr>
                <w:p w14:paraId="0C19454C" w14:textId="77777777" w:rsidR="00AB52A5" w:rsidRPr="00927455" w:rsidRDefault="00AB52A5" w:rsidP="00936826">
                  <w:pPr>
                    <w:autoSpaceDE w:val="0"/>
                    <w:autoSpaceDN w:val="0"/>
                    <w:adjustRightInd w:val="0"/>
                    <w:ind w:left="113" w:right="113"/>
                    <w:rPr>
                      <w:lang w:val="nl-BE" w:eastAsia="fr-BE"/>
                    </w:rPr>
                  </w:pPr>
                </w:p>
              </w:tc>
              <w:tc>
                <w:tcPr>
                  <w:tcW w:w="1456" w:type="dxa"/>
                </w:tcPr>
                <w:p w14:paraId="40842A55" w14:textId="77777777" w:rsidR="00AB52A5" w:rsidRPr="00927455" w:rsidRDefault="00AB52A5" w:rsidP="00936826">
                  <w:pPr>
                    <w:ind w:left="-2" w:hanging="106"/>
                    <w:jc w:val="center"/>
                  </w:pPr>
                  <w:r>
                    <w:t xml:space="preserve">B</w:t>
                  </w:r>
                  <w:r>
                    <w:rPr>
                      <w:vertAlign w:val="subscript"/>
                    </w:rPr>
                    <w:t xml:space="preserve">ROOF </w:t>
                  </w:r>
                  <w:r>
                    <w:t xml:space="preserve">(t3)</w:t>
                  </w:r>
                </w:p>
              </w:tc>
              <w:tc>
                <w:tcPr>
                  <w:tcW w:w="6697" w:type="dxa"/>
                  <w:vAlign w:val="center"/>
                </w:tcPr>
                <w:p w14:paraId="2958E1C9" w14:textId="77777777" w:rsidR="00AB52A5" w:rsidRPr="00927455" w:rsidRDefault="00AB52A5" w:rsidP="00936826">
                  <w:pPr>
                    <w:autoSpaceDE w:val="0"/>
                    <w:autoSpaceDN w:val="0"/>
                    <w:adjustRightInd w:val="0"/>
                  </w:pPr>
                  <w:r>
                    <w:t xml:space="preserve">T</w:t>
                  </w:r>
                  <w:r>
                    <w:rPr>
                      <w:vertAlign w:val="subscript"/>
                    </w:rPr>
                    <w:t xml:space="preserve">E</w:t>
                  </w:r>
                  <w:r>
                    <w:t xml:space="preserve"> ≥ 30 min and T</w:t>
                  </w:r>
                  <w:r>
                    <w:rPr>
                      <w:vertAlign w:val="subscript"/>
                    </w:rPr>
                    <w:t xml:space="preserve">p</w:t>
                  </w:r>
                  <w:r>
                    <w:t xml:space="preserve"> ≥ 30 min</w:t>
                  </w:r>
                </w:p>
              </w:tc>
            </w:tr>
            <w:tr w:rsidR="008A5C17" w:rsidRPr="00927455" w14:paraId="21295708" w14:textId="77777777" w:rsidTr="00936826">
              <w:tc>
                <w:tcPr>
                  <w:tcW w:w="573" w:type="dxa"/>
                  <w:vMerge/>
                  <w:tcBorders>
                    <w:left w:val="single" w:sz="4" w:space="0" w:color="auto"/>
                  </w:tcBorders>
                </w:tcPr>
                <w:p w14:paraId="4D269A1D" w14:textId="77777777" w:rsidR="00AB52A5" w:rsidRPr="00927455" w:rsidRDefault="00AB52A5" w:rsidP="00936826">
                  <w:pPr>
                    <w:rPr>
                      <w:lang w:val="nl-BE" w:eastAsia="fr-BE"/>
                    </w:rPr>
                  </w:pPr>
                </w:p>
              </w:tc>
              <w:tc>
                <w:tcPr>
                  <w:tcW w:w="1456" w:type="dxa"/>
                </w:tcPr>
                <w:p w14:paraId="5CF31FBA" w14:textId="77777777" w:rsidR="00AB52A5" w:rsidRPr="00927455" w:rsidRDefault="00AB52A5" w:rsidP="00936826">
                  <w:pPr>
                    <w:ind w:left="-2" w:hanging="106"/>
                    <w:jc w:val="center"/>
                  </w:pPr>
                  <w:r>
                    <w:t xml:space="preserve">C</w:t>
                  </w:r>
                  <w:r>
                    <w:rPr>
                      <w:vertAlign w:val="subscript"/>
                    </w:rPr>
                    <w:t xml:space="preserve">ROOF</w:t>
                  </w:r>
                  <w:r>
                    <w:t xml:space="preserve"> (t3)</w:t>
                  </w:r>
                </w:p>
              </w:tc>
              <w:tc>
                <w:tcPr>
                  <w:tcW w:w="6697" w:type="dxa"/>
                  <w:vAlign w:val="center"/>
                </w:tcPr>
                <w:p w14:paraId="76151090" w14:textId="77777777" w:rsidR="00AB52A5" w:rsidRPr="00927455" w:rsidRDefault="00AB52A5" w:rsidP="00936826">
                  <w:pPr>
                    <w:autoSpaceDE w:val="0"/>
                    <w:autoSpaceDN w:val="0"/>
                    <w:adjustRightInd w:val="0"/>
                  </w:pPr>
                  <w:r>
                    <w:t xml:space="preserve">T</w:t>
                  </w:r>
                  <w:r>
                    <w:rPr>
                      <w:vertAlign w:val="subscript"/>
                    </w:rPr>
                    <w:t xml:space="preserve">E</w:t>
                  </w:r>
                  <w:r>
                    <w:t xml:space="preserve"> ≥ 10 min and T</w:t>
                  </w:r>
                  <w:r>
                    <w:rPr>
                      <w:vertAlign w:val="subscript"/>
                    </w:rPr>
                    <w:t xml:space="preserve">P</w:t>
                  </w:r>
                  <w:r>
                    <w:t xml:space="preserve"> ≥ 15 min</w:t>
                  </w:r>
                </w:p>
              </w:tc>
            </w:tr>
            <w:tr w:rsidR="008A5C17" w:rsidRPr="00927455" w14:paraId="67455C52" w14:textId="77777777" w:rsidTr="00936826">
              <w:tc>
                <w:tcPr>
                  <w:tcW w:w="573" w:type="dxa"/>
                  <w:vMerge/>
                  <w:tcBorders>
                    <w:left w:val="single" w:sz="4" w:space="0" w:color="auto"/>
                  </w:tcBorders>
                </w:tcPr>
                <w:p w14:paraId="49FC84FA" w14:textId="77777777" w:rsidR="00AB52A5" w:rsidRPr="00927455" w:rsidRDefault="00AB52A5" w:rsidP="00936826">
                  <w:pPr>
                    <w:rPr>
                      <w:lang w:val="nl-BE" w:eastAsia="fr-BE"/>
                    </w:rPr>
                  </w:pPr>
                </w:p>
              </w:tc>
              <w:tc>
                <w:tcPr>
                  <w:tcW w:w="1456" w:type="dxa"/>
                </w:tcPr>
                <w:p w14:paraId="77865810" w14:textId="77777777" w:rsidR="00AB52A5" w:rsidRPr="00927455" w:rsidRDefault="00AB52A5" w:rsidP="00936826">
                  <w:pPr>
                    <w:ind w:left="-2" w:hanging="106"/>
                    <w:jc w:val="center"/>
                  </w:pPr>
                  <w:r>
                    <w:t xml:space="preserve">D</w:t>
                  </w:r>
                  <w:r>
                    <w:rPr>
                      <w:vertAlign w:val="subscript"/>
                    </w:rPr>
                    <w:t xml:space="preserve">ROOF </w:t>
                  </w:r>
                  <w:r>
                    <w:t xml:space="preserve">(t3)</w:t>
                  </w:r>
                </w:p>
              </w:tc>
              <w:tc>
                <w:tcPr>
                  <w:tcW w:w="6697" w:type="dxa"/>
                  <w:vAlign w:val="center"/>
                </w:tcPr>
                <w:p w14:paraId="77ED5791" w14:textId="77777777" w:rsidR="00AB52A5" w:rsidRPr="00927455" w:rsidRDefault="00AB52A5" w:rsidP="00936826">
                  <w:pPr>
                    <w:autoSpaceDE w:val="0"/>
                    <w:autoSpaceDN w:val="0"/>
                    <w:adjustRightInd w:val="0"/>
                  </w:pPr>
                  <w:r>
                    <w:t xml:space="preserve">T</w:t>
                  </w:r>
                  <w:r>
                    <w:rPr>
                      <w:vertAlign w:val="subscript"/>
                    </w:rPr>
                    <w:t xml:space="preserve">P</w:t>
                  </w:r>
                  <w:r>
                    <w:t xml:space="preserve"> &gt; 5 min</w:t>
                  </w:r>
                </w:p>
              </w:tc>
            </w:tr>
            <w:tr w:rsidR="008A5C17" w:rsidRPr="00927455" w14:paraId="57719C53" w14:textId="77777777" w:rsidTr="00936826">
              <w:tc>
                <w:tcPr>
                  <w:tcW w:w="573" w:type="dxa"/>
                  <w:vMerge/>
                  <w:tcBorders>
                    <w:left w:val="single" w:sz="4" w:space="0" w:color="auto"/>
                  </w:tcBorders>
                </w:tcPr>
                <w:p w14:paraId="6AF39F5C" w14:textId="77777777" w:rsidR="00AB52A5" w:rsidRPr="00927455" w:rsidRDefault="00AB52A5" w:rsidP="00936826">
                  <w:pPr>
                    <w:rPr>
                      <w:lang w:val="nl-BE" w:eastAsia="fr-BE"/>
                    </w:rPr>
                  </w:pPr>
                </w:p>
              </w:tc>
              <w:tc>
                <w:tcPr>
                  <w:tcW w:w="1456" w:type="dxa"/>
                </w:tcPr>
                <w:p w14:paraId="1F358A01" w14:textId="77777777" w:rsidR="00AB52A5" w:rsidRPr="00927455" w:rsidRDefault="00AB52A5" w:rsidP="00936826">
                  <w:pPr>
                    <w:ind w:left="-2" w:hanging="106"/>
                    <w:jc w:val="center"/>
                  </w:pPr>
                  <w:r>
                    <w:t xml:space="preserve">F</w:t>
                  </w:r>
                  <w:r>
                    <w:rPr>
                      <w:vertAlign w:val="subscript"/>
                    </w:rPr>
                    <w:t xml:space="preserve">ROOF</w:t>
                  </w:r>
                  <w:r>
                    <w:t xml:space="preserve"> (t3)</w:t>
                  </w:r>
                </w:p>
              </w:tc>
              <w:tc>
                <w:tcPr>
                  <w:tcW w:w="6697" w:type="dxa"/>
                  <w:vAlign w:val="center"/>
                </w:tcPr>
                <w:p w14:paraId="63FC0C52" w14:textId="77777777" w:rsidR="00AB52A5" w:rsidRPr="00927455" w:rsidRDefault="00AB52A5" w:rsidP="00936826">
                  <w:pPr>
                    <w:autoSpaceDE w:val="0"/>
                    <w:autoSpaceDN w:val="0"/>
                    <w:adjustRightInd w:val="0"/>
                  </w:pPr>
                  <w:r>
                    <w:t xml:space="preserve">No performance determined</w:t>
                  </w:r>
                </w:p>
              </w:tc>
            </w:tr>
          </w:tbl>
          <w:p w14:paraId="3C8703A1" w14:textId="77777777" w:rsidR="00AB52A5" w:rsidRPr="00927455" w:rsidRDefault="00AB52A5" w:rsidP="00936826">
            <w:pPr>
              <w:rPr>
                <w:lang w:val="nl-BE"/>
              </w:rPr>
            </w:pPr>
          </w:p>
        </w:tc>
      </w:tr>
      <w:tr w:rsidR="00AB52A5" w:rsidRPr="00927455" w14:paraId="7C9A26F5" w14:textId="77777777" w:rsidTr="00936826">
        <w:trPr>
          <w:cantSplit/>
        </w:trPr>
        <w:tc>
          <w:tcPr>
            <w:tcW w:w="9853" w:type="dxa"/>
            <w:tcMar>
              <w:left w:w="0" w:type="dxa"/>
            </w:tcMar>
          </w:tcPr>
          <w:tbl>
            <w:tblPr>
              <w:tblStyle w:val="Tabelraster1"/>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2C4BCA34" w14:textId="77777777" w:rsidTr="00936826">
              <w:tc>
                <w:tcPr>
                  <w:tcW w:w="573" w:type="dxa"/>
                  <w:vMerge w:val="restart"/>
                  <w:tcBorders>
                    <w:top w:val="single" w:sz="4" w:space="0" w:color="auto"/>
                    <w:left w:val="single" w:sz="4" w:space="0" w:color="auto"/>
                  </w:tcBorders>
                  <w:textDirection w:val="tbRl"/>
                  <w:vAlign w:val="center"/>
                </w:tcPr>
                <w:p w14:paraId="63F97F67" w14:textId="77777777" w:rsidR="00AB52A5" w:rsidRPr="00927455" w:rsidRDefault="00AB52A5" w:rsidP="00936826">
                  <w:pPr>
                    <w:autoSpaceDE w:val="0"/>
                    <w:autoSpaceDN w:val="0"/>
                    <w:adjustRightInd w:val="0"/>
                    <w:ind w:left="113" w:right="113"/>
                  </w:pPr>
                  <w:r>
                    <w:t xml:space="preserve">CEN/TS 1187:2013 test 4</w:t>
                  </w:r>
                </w:p>
              </w:tc>
              <w:tc>
                <w:tcPr>
                  <w:tcW w:w="1456" w:type="dxa"/>
                  <w:tcBorders>
                    <w:top w:val="single" w:sz="4" w:space="0" w:color="auto"/>
                    <w:bottom w:val="single" w:sz="4" w:space="0" w:color="auto"/>
                  </w:tcBorders>
                </w:tcPr>
                <w:p w14:paraId="75997E76" w14:textId="77777777" w:rsidR="00AB52A5" w:rsidRPr="00927455" w:rsidRDefault="00AB52A5" w:rsidP="00936826">
                  <w:pPr>
                    <w:ind w:right="-108"/>
                  </w:pPr>
                  <w:r>
                    <w:t xml:space="preserve">Class</w:t>
                  </w:r>
                </w:p>
              </w:tc>
              <w:tc>
                <w:tcPr>
                  <w:tcW w:w="6697" w:type="dxa"/>
                  <w:tcBorders>
                    <w:top w:val="single" w:sz="4" w:space="0" w:color="auto"/>
                    <w:bottom w:val="single" w:sz="4" w:space="0" w:color="auto"/>
                    <w:right w:val="single" w:sz="4" w:space="0" w:color="auto"/>
                  </w:tcBorders>
                </w:tcPr>
                <w:p w14:paraId="1C95723A" w14:textId="77777777" w:rsidR="00AB52A5" w:rsidRPr="00927455" w:rsidRDefault="00AB52A5" w:rsidP="00936826">
                  <w:r>
                    <w:t xml:space="preserve">Classification criteria</w:t>
                  </w:r>
                </w:p>
              </w:tc>
            </w:tr>
            <w:tr w:rsidR="008A5C17" w:rsidRPr="00927455" w14:paraId="098BC251" w14:textId="77777777" w:rsidTr="00936826">
              <w:trPr>
                <w:cantSplit/>
              </w:trPr>
              <w:tc>
                <w:tcPr>
                  <w:tcW w:w="573" w:type="dxa"/>
                  <w:vMerge/>
                  <w:tcBorders>
                    <w:left w:val="single" w:sz="4" w:space="0" w:color="auto"/>
                  </w:tcBorders>
                  <w:textDirection w:val="tbRl"/>
                </w:tcPr>
                <w:p w14:paraId="7298EA08" w14:textId="77777777" w:rsidR="00AB52A5" w:rsidRPr="00927455" w:rsidRDefault="00AB52A5" w:rsidP="00936826">
                  <w:pPr>
                    <w:autoSpaceDE w:val="0"/>
                    <w:autoSpaceDN w:val="0"/>
                    <w:adjustRightInd w:val="0"/>
                    <w:ind w:left="822" w:right="113"/>
                    <w:rPr>
                      <w:lang w:val="nl-BE" w:eastAsia="fr-BE"/>
                    </w:rPr>
                  </w:pPr>
                </w:p>
              </w:tc>
              <w:tc>
                <w:tcPr>
                  <w:tcW w:w="1456" w:type="dxa"/>
                </w:tcPr>
                <w:p w14:paraId="6F571722" w14:textId="77777777" w:rsidR="00AB52A5" w:rsidRPr="00927455" w:rsidRDefault="00AB52A5" w:rsidP="00936826">
                  <w:pPr>
                    <w:ind w:left="-2" w:hanging="106"/>
                    <w:jc w:val="center"/>
                  </w:pPr>
                  <w:r>
                    <w:t xml:space="preserve">B</w:t>
                  </w:r>
                  <w:r>
                    <w:rPr>
                      <w:vertAlign w:val="subscript"/>
                    </w:rPr>
                    <w:t xml:space="preserve">ROOF </w:t>
                  </w:r>
                  <w:r>
                    <w:t xml:space="preserve">(t4)</w:t>
                  </w:r>
                </w:p>
              </w:tc>
              <w:tc>
                <w:tcPr>
                  <w:tcW w:w="6697" w:type="dxa"/>
                  <w:vAlign w:val="center"/>
                </w:tcPr>
                <w:p w14:paraId="7B1F78A5" w14:textId="77777777" w:rsidR="00AB52A5" w:rsidRPr="00927455" w:rsidRDefault="00AB52A5" w:rsidP="00936826">
                  <w:pPr>
                    <w:tabs>
                      <w:tab w:val="left" w:pos="0"/>
                    </w:tabs>
                    <w:autoSpaceDE w:val="0"/>
                    <w:autoSpaceDN w:val="0"/>
                    <w:adjustRightInd w:val="0"/>
                  </w:pPr>
                  <w:r>
                    <w:t xml:space="preserve">All of the following conditions must be satisfied:</w:t>
                  </w:r>
                </w:p>
                <w:p w14:paraId="0164578B" w14:textId="77777777" w:rsidR="00AB52A5" w:rsidRPr="00927455" w:rsidRDefault="00AB52A5" w:rsidP="00936826">
                  <w:pPr>
                    <w:tabs>
                      <w:tab w:val="left" w:pos="0"/>
                    </w:tabs>
                    <w:autoSpaceDE w:val="0"/>
                    <w:autoSpaceDN w:val="0"/>
                    <w:adjustRightInd w:val="0"/>
                  </w:pPr>
                  <w:r>
                    <w:t xml:space="preserve">- no penetration of roof system within 1 hour;</w:t>
                  </w:r>
                </w:p>
                <w:p w14:paraId="017F1DE1" w14:textId="77777777" w:rsidR="00AB52A5" w:rsidRPr="00927455" w:rsidRDefault="00AB52A5" w:rsidP="00936826">
                  <w:pPr>
                    <w:tabs>
                      <w:tab w:val="left" w:pos="0"/>
                    </w:tabs>
                    <w:autoSpaceDE w:val="0"/>
                    <w:autoSpaceDN w:val="0"/>
                    <w:adjustRightInd w:val="0"/>
                  </w:pPr>
                  <w:r>
                    <w:t xml:space="preserve">- in the preliminary test, after withdrawal of test flame, specimens burn for &lt; 5 minutes;</w:t>
                  </w:r>
                </w:p>
                <w:p w14:paraId="04AA04EE" w14:textId="77777777" w:rsidR="00AB52A5" w:rsidRPr="00927455" w:rsidRDefault="00AB52A5" w:rsidP="00936826">
                  <w:pPr>
                    <w:tabs>
                      <w:tab w:val="left" w:pos="0"/>
                    </w:tabs>
                    <w:autoSpaceDE w:val="0"/>
                    <w:autoSpaceDN w:val="0"/>
                    <w:adjustRightInd w:val="0"/>
                  </w:pPr>
                  <w:r>
                    <w:t xml:space="preserve">- in the preliminary test, flame spread &lt; 0.38 m across the region of burning.</w:t>
                  </w:r>
                </w:p>
              </w:tc>
            </w:tr>
            <w:tr w:rsidR="008A5C17" w:rsidRPr="00927455" w14:paraId="25E998FE" w14:textId="77777777" w:rsidTr="00936826">
              <w:tc>
                <w:tcPr>
                  <w:tcW w:w="573" w:type="dxa"/>
                  <w:vMerge/>
                  <w:tcBorders>
                    <w:left w:val="single" w:sz="4" w:space="0" w:color="auto"/>
                  </w:tcBorders>
                </w:tcPr>
                <w:p w14:paraId="51AA49D4" w14:textId="77777777" w:rsidR="00AB52A5" w:rsidRPr="00927455" w:rsidRDefault="00AB52A5" w:rsidP="00936826">
                  <w:pPr>
                    <w:rPr>
                      <w:lang w:val="nl-BE" w:eastAsia="fr-BE"/>
                    </w:rPr>
                  </w:pPr>
                </w:p>
              </w:tc>
              <w:tc>
                <w:tcPr>
                  <w:tcW w:w="1456" w:type="dxa"/>
                </w:tcPr>
                <w:p w14:paraId="0CDF37CC" w14:textId="77777777" w:rsidR="00AB52A5" w:rsidRPr="00927455" w:rsidRDefault="00AB52A5" w:rsidP="00936826">
                  <w:pPr>
                    <w:ind w:left="-2" w:hanging="106"/>
                    <w:jc w:val="center"/>
                  </w:pPr>
                  <w:r>
                    <w:t xml:space="preserve">C</w:t>
                  </w:r>
                  <w:r>
                    <w:rPr>
                      <w:vertAlign w:val="subscript"/>
                    </w:rPr>
                    <w:t xml:space="preserve">ROOF</w:t>
                  </w:r>
                  <w:r>
                    <w:t xml:space="preserve"> (t4)</w:t>
                  </w:r>
                </w:p>
              </w:tc>
              <w:tc>
                <w:tcPr>
                  <w:tcW w:w="6697" w:type="dxa"/>
                  <w:vAlign w:val="center"/>
                </w:tcPr>
                <w:p w14:paraId="6A6C53D7" w14:textId="77777777" w:rsidR="00AB52A5" w:rsidRPr="00927455" w:rsidRDefault="00AB52A5" w:rsidP="00936826">
                  <w:pPr>
                    <w:tabs>
                      <w:tab w:val="left" w:pos="991"/>
                    </w:tabs>
                    <w:autoSpaceDE w:val="0"/>
                    <w:autoSpaceDN w:val="0"/>
                    <w:adjustRightInd w:val="0"/>
                  </w:pPr>
                  <w:r>
                    <w:t xml:space="preserve">All of the following conditions must be satisfied:</w:t>
                  </w:r>
                </w:p>
                <w:p w14:paraId="58D94AED" w14:textId="77777777" w:rsidR="00AB52A5" w:rsidRPr="00927455" w:rsidRDefault="00AB52A5" w:rsidP="00936826">
                  <w:pPr>
                    <w:tabs>
                      <w:tab w:val="left" w:pos="991"/>
                    </w:tabs>
                    <w:autoSpaceDE w:val="0"/>
                    <w:autoSpaceDN w:val="0"/>
                    <w:adjustRightInd w:val="0"/>
                  </w:pPr>
                  <w:r>
                    <w:t xml:space="preserve">- no penetration of roof system within 30 minutes;</w:t>
                  </w:r>
                </w:p>
                <w:p w14:paraId="231C4E8D" w14:textId="77777777" w:rsidR="00AB52A5" w:rsidRPr="00927455" w:rsidRDefault="00AB52A5" w:rsidP="00936826">
                  <w:pPr>
                    <w:tabs>
                      <w:tab w:val="left" w:pos="991"/>
                    </w:tabs>
                    <w:autoSpaceDE w:val="0"/>
                    <w:autoSpaceDN w:val="0"/>
                    <w:adjustRightInd w:val="0"/>
                  </w:pPr>
                  <w:r>
                    <w:t xml:space="preserve">- in the preliminary test, after withdrawal of test flame, specimens burn for &lt; 5 minutes;</w:t>
                  </w:r>
                </w:p>
                <w:p w14:paraId="0FFE32A5" w14:textId="77777777" w:rsidR="00AB52A5" w:rsidRPr="00927455" w:rsidRDefault="00AB52A5" w:rsidP="00936826">
                  <w:pPr>
                    <w:autoSpaceDE w:val="0"/>
                    <w:autoSpaceDN w:val="0"/>
                    <w:adjustRightInd w:val="0"/>
                  </w:pPr>
                  <w:r>
                    <w:t xml:space="preserve">- in the preliminary test, flame spread &lt; 0.38 m across the region of burning.</w:t>
                  </w:r>
                </w:p>
              </w:tc>
            </w:tr>
            <w:tr w:rsidR="008A5C17" w:rsidRPr="00927455" w14:paraId="76872078" w14:textId="77777777" w:rsidTr="00936826">
              <w:trPr>
                <w:cantSplit/>
              </w:trPr>
              <w:tc>
                <w:tcPr>
                  <w:tcW w:w="573" w:type="dxa"/>
                  <w:vMerge/>
                  <w:tcBorders>
                    <w:left w:val="single" w:sz="4" w:space="0" w:color="auto"/>
                  </w:tcBorders>
                  <w:textDirection w:val="tbRl"/>
                </w:tcPr>
                <w:p w14:paraId="0D9F12D5" w14:textId="77777777" w:rsidR="00AB52A5" w:rsidRPr="00927455" w:rsidRDefault="00AB52A5" w:rsidP="00936826">
                  <w:pPr>
                    <w:autoSpaceDE w:val="0"/>
                    <w:autoSpaceDN w:val="0"/>
                    <w:adjustRightInd w:val="0"/>
                    <w:ind w:left="822" w:right="113"/>
                    <w:rPr>
                      <w:lang w:val="nl-BE" w:eastAsia="fr-BE"/>
                    </w:rPr>
                  </w:pPr>
                </w:p>
              </w:tc>
              <w:tc>
                <w:tcPr>
                  <w:tcW w:w="1456" w:type="dxa"/>
                </w:tcPr>
                <w:p w14:paraId="2AA21E97" w14:textId="77777777" w:rsidR="00AB52A5" w:rsidRPr="00927455" w:rsidRDefault="00AB52A5" w:rsidP="00936826">
                  <w:pPr>
                    <w:ind w:left="-2" w:hanging="106"/>
                    <w:jc w:val="center"/>
                  </w:pPr>
                  <w:r>
                    <w:t xml:space="preserve">D</w:t>
                  </w:r>
                  <w:r>
                    <w:rPr>
                      <w:vertAlign w:val="subscript"/>
                    </w:rPr>
                    <w:t xml:space="preserve">ROOF </w:t>
                  </w:r>
                  <w:r>
                    <w:t xml:space="preserve">(t4)</w:t>
                  </w:r>
                </w:p>
              </w:tc>
              <w:tc>
                <w:tcPr>
                  <w:tcW w:w="6697" w:type="dxa"/>
                  <w:vAlign w:val="center"/>
                </w:tcPr>
                <w:p w14:paraId="287C5CF3" w14:textId="77777777" w:rsidR="00AB52A5" w:rsidRPr="00927455" w:rsidRDefault="00AB52A5" w:rsidP="00936826">
                  <w:pPr>
                    <w:autoSpaceDE w:val="0"/>
                    <w:autoSpaceDN w:val="0"/>
                    <w:adjustRightInd w:val="0"/>
                  </w:pPr>
                  <w:r>
                    <w:t xml:space="preserve">All of the following conditions must be satisfied:</w:t>
                  </w:r>
                </w:p>
                <w:p w14:paraId="4606A4CD" w14:textId="77777777" w:rsidR="00AB52A5" w:rsidRPr="00927455" w:rsidRDefault="00AB52A5" w:rsidP="00936826">
                  <w:pPr>
                    <w:autoSpaceDE w:val="0"/>
                    <w:autoSpaceDN w:val="0"/>
                    <w:adjustRightInd w:val="0"/>
                  </w:pPr>
                  <w:r>
                    <w:t xml:space="preserve">- roof system is penetrated within 30 minutes but is not penetrated</w:t>
                  </w:r>
                </w:p>
                <w:p w14:paraId="07ED341A" w14:textId="77777777" w:rsidR="00AB52A5" w:rsidRPr="00927455" w:rsidRDefault="00AB52A5" w:rsidP="00936826">
                  <w:pPr>
                    <w:autoSpaceDE w:val="0"/>
                    <w:autoSpaceDN w:val="0"/>
                    <w:adjustRightInd w:val="0"/>
                  </w:pPr>
                  <w:r>
                    <w:t xml:space="preserve">in the preliminary flame test;</w:t>
                  </w:r>
                </w:p>
                <w:p w14:paraId="31F484F1" w14:textId="77777777" w:rsidR="00AB52A5" w:rsidRPr="00927455" w:rsidRDefault="00AB52A5" w:rsidP="00936826">
                  <w:pPr>
                    <w:autoSpaceDE w:val="0"/>
                    <w:autoSpaceDN w:val="0"/>
                    <w:adjustRightInd w:val="0"/>
                  </w:pPr>
                  <w:r>
                    <w:t xml:space="preserve">- in the preliminary test, after withdrawal of test flame, specimens burn for &lt; 5 minutes;</w:t>
                  </w:r>
                </w:p>
                <w:p w14:paraId="0C9CCD92" w14:textId="77777777" w:rsidR="00AB52A5" w:rsidRPr="00927455" w:rsidRDefault="00AB52A5" w:rsidP="00936826">
                  <w:pPr>
                    <w:autoSpaceDE w:val="0"/>
                    <w:autoSpaceDN w:val="0"/>
                    <w:adjustRightInd w:val="0"/>
                  </w:pPr>
                  <w:r>
                    <w:t xml:space="preserve">- in the preliminary test, flame spread &lt; 0.38 m across the region of burning.</w:t>
                  </w:r>
                </w:p>
              </w:tc>
            </w:tr>
            <w:tr w:rsidR="008A5C17" w:rsidRPr="00927455" w14:paraId="59B55895" w14:textId="77777777" w:rsidTr="00936826">
              <w:tc>
                <w:tcPr>
                  <w:tcW w:w="573" w:type="dxa"/>
                  <w:vMerge/>
                  <w:tcBorders>
                    <w:left w:val="single" w:sz="4" w:space="0" w:color="auto"/>
                  </w:tcBorders>
                </w:tcPr>
                <w:p w14:paraId="38F591E8" w14:textId="77777777" w:rsidR="00AB52A5" w:rsidRPr="00927455" w:rsidRDefault="00AB52A5" w:rsidP="00936826">
                  <w:pPr>
                    <w:rPr>
                      <w:lang w:val="nl-BE" w:eastAsia="fr-BE"/>
                    </w:rPr>
                  </w:pPr>
                </w:p>
              </w:tc>
              <w:tc>
                <w:tcPr>
                  <w:tcW w:w="1456" w:type="dxa"/>
                </w:tcPr>
                <w:p w14:paraId="3FEB43ED" w14:textId="77777777" w:rsidR="00AB52A5" w:rsidRPr="00927455" w:rsidRDefault="00AB52A5" w:rsidP="00936826">
                  <w:pPr>
                    <w:ind w:left="-2" w:hanging="106"/>
                    <w:jc w:val="center"/>
                  </w:pPr>
                  <w:r>
                    <w:t xml:space="preserve">E</w:t>
                  </w:r>
                  <w:r>
                    <w:rPr>
                      <w:vertAlign w:val="subscript"/>
                    </w:rPr>
                    <w:t xml:space="preserve">ROOF</w:t>
                  </w:r>
                  <w:r>
                    <w:t xml:space="preserve"> (t4)</w:t>
                  </w:r>
                </w:p>
              </w:tc>
              <w:tc>
                <w:tcPr>
                  <w:tcW w:w="6697" w:type="dxa"/>
                  <w:vAlign w:val="center"/>
                </w:tcPr>
                <w:p w14:paraId="3F99C259" w14:textId="77777777" w:rsidR="00AB52A5" w:rsidRPr="00927455" w:rsidRDefault="00AB52A5" w:rsidP="00936826">
                  <w:pPr>
                    <w:autoSpaceDE w:val="0"/>
                    <w:autoSpaceDN w:val="0"/>
                    <w:adjustRightInd w:val="0"/>
                  </w:pPr>
                  <w:r>
                    <w:t xml:space="preserve">All of the following conditions must be satisfied:</w:t>
                  </w:r>
                </w:p>
                <w:p w14:paraId="08C1B5B7" w14:textId="77777777" w:rsidR="00AB52A5" w:rsidRPr="00927455" w:rsidRDefault="00AB52A5" w:rsidP="00936826">
                  <w:pPr>
                    <w:autoSpaceDE w:val="0"/>
                    <w:autoSpaceDN w:val="0"/>
                    <w:adjustRightInd w:val="0"/>
                  </w:pPr>
                  <w:r>
                    <w:t xml:space="preserve">- roof system is penetrated within 30 minutes but is not penetrated in the preliminary flame test;</w:t>
                  </w:r>
                </w:p>
                <w:p w14:paraId="0A64D7BE" w14:textId="77777777" w:rsidR="00AB52A5" w:rsidRPr="00927455" w:rsidRDefault="00AB52A5" w:rsidP="00936826">
                  <w:pPr>
                    <w:autoSpaceDE w:val="0"/>
                    <w:autoSpaceDN w:val="0"/>
                    <w:adjustRightInd w:val="0"/>
                  </w:pPr>
                  <w:r>
                    <w:t xml:space="preserve">- flame spread is not controlled.</w:t>
                  </w:r>
                </w:p>
              </w:tc>
            </w:tr>
            <w:tr w:rsidR="008A5C17" w:rsidRPr="00927455" w14:paraId="6457FE54" w14:textId="77777777" w:rsidTr="00936826">
              <w:tc>
                <w:tcPr>
                  <w:tcW w:w="573" w:type="dxa"/>
                  <w:vMerge/>
                  <w:tcBorders>
                    <w:left w:val="single" w:sz="4" w:space="0" w:color="auto"/>
                  </w:tcBorders>
                </w:tcPr>
                <w:p w14:paraId="1D142DB0" w14:textId="77777777" w:rsidR="00AB52A5" w:rsidRPr="00927455" w:rsidRDefault="00AB52A5" w:rsidP="00936826">
                  <w:pPr>
                    <w:rPr>
                      <w:lang w:val="nl-BE" w:eastAsia="fr-BE"/>
                    </w:rPr>
                  </w:pPr>
                </w:p>
              </w:tc>
              <w:tc>
                <w:tcPr>
                  <w:tcW w:w="1456" w:type="dxa"/>
                </w:tcPr>
                <w:p w14:paraId="2A297F72" w14:textId="77777777" w:rsidR="00AB52A5" w:rsidRPr="00927455" w:rsidRDefault="00AB52A5" w:rsidP="00936826">
                  <w:pPr>
                    <w:ind w:left="-2" w:hanging="106"/>
                    <w:jc w:val="center"/>
                  </w:pPr>
                  <w:r>
                    <w:t xml:space="preserve">F</w:t>
                  </w:r>
                  <w:r>
                    <w:rPr>
                      <w:vertAlign w:val="subscript"/>
                    </w:rPr>
                    <w:t xml:space="preserve">ROOF</w:t>
                  </w:r>
                  <w:r>
                    <w:t xml:space="preserve"> (t4)</w:t>
                  </w:r>
                </w:p>
              </w:tc>
              <w:tc>
                <w:tcPr>
                  <w:tcW w:w="6697" w:type="dxa"/>
                  <w:vAlign w:val="center"/>
                </w:tcPr>
                <w:p w14:paraId="150B0F55" w14:textId="77777777" w:rsidR="00AB52A5" w:rsidRPr="00927455" w:rsidRDefault="00AB52A5" w:rsidP="00936826">
                  <w:pPr>
                    <w:autoSpaceDE w:val="0"/>
                    <w:autoSpaceDN w:val="0"/>
                    <w:adjustRightInd w:val="0"/>
                  </w:pPr>
                  <w:r>
                    <w:t xml:space="preserve">No performance determined</w:t>
                  </w:r>
                </w:p>
              </w:tc>
            </w:tr>
          </w:tbl>
          <w:p w14:paraId="1EC4BD2D" w14:textId="77777777" w:rsidR="00AB52A5" w:rsidRPr="00927455" w:rsidRDefault="00AB52A5" w:rsidP="00AB52A5">
            <w:pPr>
              <w:jc w:val="right"/>
            </w:pPr>
            <w:r>
              <w:t xml:space="preserve">’.</w:t>
            </w:r>
          </w:p>
        </w:tc>
      </w:tr>
    </w:tbl>
    <w:tbl>
      <w:tblPr>
        <w:tblStyle w:val="Tabelraster2"/>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CA332E" w:rsidRPr="00927455" w14:paraId="0E8F96C8" w14:textId="77777777" w:rsidTr="00CA332E">
        <w:tc>
          <w:tcPr>
            <w:tcW w:w="9853" w:type="dxa"/>
            <w:tcMar>
              <w:left w:w="0" w:type="dxa"/>
            </w:tcMar>
          </w:tcPr>
          <w:p w14:paraId="0063C52A" w14:textId="0C2998F4" w:rsidR="00CA332E" w:rsidRPr="00927455" w:rsidRDefault="00CA332E" w:rsidP="00CA332E">
            <w:pPr>
              <w:jc w:val="right"/>
              <w:rPr>
                <w:lang w:val="fr-BE"/>
              </w:rPr>
            </w:pPr>
          </w:p>
        </w:tc>
      </w:tr>
    </w:tbl>
    <w:tbl>
      <w:tblPr>
        <w:tblStyle w:val="Grilledutableau"/>
        <w:tblW w:w="0" w:type="auto"/>
        <w:tblLook w:val="04A0" w:firstRow="1" w:lastRow="0" w:firstColumn="1" w:lastColumn="0" w:noHBand="0" w:noVBand="1"/>
      </w:tblPr>
      <w:tblGrid>
        <w:gridCol w:w="4538"/>
      </w:tblGrid>
      <w:tr w:rsidR="00CD661C" w:rsidRPr="00CD661C" w14:paraId="3D21549C" w14:textId="77777777" w:rsidTr="00936826">
        <w:tc>
          <w:tcPr>
            <w:tcW w:w="4538" w:type="dxa"/>
          </w:tcPr>
          <w:p w14:paraId="359824D1" w14:textId="77777777" w:rsidR="00CD661C" w:rsidRPr="00927455" w:rsidRDefault="00CD661C" w:rsidP="00936826">
            <w:r>
              <w:rPr>
                <w:b/>
              </w:rPr>
              <w:t xml:space="preserve">Article 11.</w:t>
            </w:r>
            <w:r>
              <w:rPr>
                <w:b/>
              </w:rPr>
              <w:t xml:space="preserve"> </w:t>
            </w:r>
            <w:r>
              <w:t xml:space="preserve">The point 3bis.2 of the Annex 1 to the same decree is now amended as follows:</w:t>
            </w:r>
          </w:p>
          <w:p w14:paraId="28C92393" w14:textId="77777777" w:rsidR="00CD661C" w:rsidRPr="00927455" w:rsidRDefault="00CD661C" w:rsidP="00936826"/>
        </w:tc>
      </w:tr>
      <w:tr w:rsidR="00CD661C" w:rsidRPr="00CD661C" w14:paraId="2DC86C7D" w14:textId="77777777" w:rsidTr="00936826">
        <w:tc>
          <w:tcPr>
            <w:tcW w:w="4538" w:type="dxa"/>
          </w:tcPr>
          <w:p w14:paraId="42B7C52E" w14:textId="77777777" w:rsidR="00CD661C" w:rsidRPr="00927455" w:rsidRDefault="00CD661C" w:rsidP="00936826">
            <w:r>
              <w:t xml:space="preserve">1° in point 1°, the word ‘information’ is replaced with a synonym in the Dutch version;</w:t>
            </w:r>
          </w:p>
          <w:p w14:paraId="1F144DC1" w14:textId="77777777" w:rsidR="00CD661C" w:rsidRPr="00927455" w:rsidRDefault="00CD661C" w:rsidP="00936826">
            <w:pPr>
              <w:rPr>
                <w:b/>
              </w:rPr>
            </w:pPr>
          </w:p>
        </w:tc>
      </w:tr>
      <w:tr w:rsidR="00CD661C" w:rsidRPr="00CD661C" w14:paraId="650833AA" w14:textId="77777777" w:rsidTr="00886DBE">
        <w:tc>
          <w:tcPr>
            <w:tcW w:w="4538" w:type="dxa"/>
          </w:tcPr>
          <w:p w14:paraId="7CF6CAF4" w14:textId="77777777" w:rsidR="00CD661C" w:rsidRPr="00927455" w:rsidRDefault="00CD661C" w:rsidP="00886DBE">
            <w:r>
              <w:t xml:space="preserve">2° in point 2°, the phrase ‘or in the absence of information on the fire performance of the entire roof structure for the CE marking’ is added after ‘in the absence of a CE marking’;</w:t>
            </w:r>
          </w:p>
          <w:p w14:paraId="22D4EF2C" w14:textId="77777777" w:rsidR="00CD661C" w:rsidRPr="00927455" w:rsidRDefault="00CD661C" w:rsidP="00886DBE"/>
        </w:tc>
      </w:tr>
      <w:tr w:rsidR="00CD661C" w:rsidRPr="00CD661C" w14:paraId="044D1C06" w14:textId="77777777" w:rsidTr="00936826">
        <w:tc>
          <w:tcPr>
            <w:tcW w:w="4538" w:type="dxa"/>
          </w:tcPr>
          <w:p w14:paraId="06B2E05F" w14:textId="77777777" w:rsidR="00CD661C" w:rsidRPr="00927455" w:rsidRDefault="00CD661C" w:rsidP="00936826">
            <w:r>
              <w:t xml:space="preserve">3° in point 2°a), all instances of the abbreviation ‘NBN’ are now removed and the abbreviation ‘ISO/IEC’ is inserted between the abbreviation ‘EN’ and the number ‘17000’;</w:t>
            </w:r>
          </w:p>
          <w:p w14:paraId="1756474C" w14:textId="77777777" w:rsidR="00CD661C" w:rsidRPr="00927455" w:rsidRDefault="00CD661C" w:rsidP="00936826"/>
        </w:tc>
      </w:tr>
      <w:tr w:rsidR="00CD661C" w:rsidRPr="00CD661C" w14:paraId="56AD69FD" w14:textId="77777777" w:rsidTr="00936826">
        <w:tc>
          <w:tcPr>
            <w:tcW w:w="4538" w:type="dxa"/>
          </w:tcPr>
          <w:p w14:paraId="1D38D073" w14:textId="77777777" w:rsidR="00CD661C" w:rsidRPr="00927455" w:rsidRDefault="00CD661C" w:rsidP="00936826">
            <w:r>
              <w:t xml:space="preserve">4° in point 2°b), the phrase ‘tested according to the tests described in’ is replaced with ‘assessed according to’.</w:t>
            </w:r>
          </w:p>
          <w:p w14:paraId="27A17D15" w14:textId="77777777" w:rsidR="00CD661C" w:rsidRPr="00927455" w:rsidRDefault="00CD661C" w:rsidP="00936826"/>
        </w:tc>
      </w:tr>
      <w:tr w:rsidR="00CD661C" w:rsidRPr="00CD661C" w14:paraId="1EC5725B" w14:textId="77777777" w:rsidTr="002C47D6">
        <w:tc>
          <w:tcPr>
            <w:tcW w:w="4538" w:type="dxa"/>
          </w:tcPr>
          <w:p w14:paraId="47EFF6D7" w14:textId="6FB5181F" w:rsidR="00CD661C" w:rsidRPr="00927455" w:rsidRDefault="00CD661C" w:rsidP="002C47D6">
            <w:r>
              <w:rPr>
                <w:b/>
              </w:rPr>
              <w:t xml:space="preserve">Article 12.</w:t>
            </w:r>
            <w:r>
              <w:rPr>
                <w:b/>
              </w:rPr>
              <w:t xml:space="preserve"> </w:t>
            </w:r>
            <w:r>
              <w:t xml:space="preserve">Point 4.1 of the Annex 1 to the same decree is replaced with the following:</w:t>
            </w:r>
          </w:p>
          <w:p w14:paraId="5BDD7D35" w14:textId="7167EA28" w:rsidR="00CD661C" w:rsidRPr="00927455" w:rsidRDefault="00CD661C" w:rsidP="002C47D6">
            <w:r>
              <w:t xml:space="preserve">‘4.1 Boiler section: space consisting of the boiler room and any associated fuel storage space(s).’.</w:t>
            </w:r>
          </w:p>
          <w:p w14:paraId="5B1931B2" w14:textId="77777777" w:rsidR="00CD661C" w:rsidRPr="00927455" w:rsidRDefault="00CD661C" w:rsidP="002C47D6">
            <w:pPr>
              <w:rPr>
                <w:b/>
              </w:rPr>
            </w:pPr>
          </w:p>
        </w:tc>
      </w:tr>
      <w:tr w:rsidR="00CD661C" w:rsidRPr="00CD661C" w14:paraId="7AF87104" w14:textId="77777777" w:rsidTr="002C47D6">
        <w:tc>
          <w:tcPr>
            <w:tcW w:w="4538" w:type="dxa"/>
          </w:tcPr>
          <w:p w14:paraId="0870A814" w14:textId="01FC6511" w:rsidR="00CD661C" w:rsidRPr="00927455" w:rsidRDefault="00CD661C" w:rsidP="002C47D6">
            <w:r>
              <w:rPr>
                <w:b/>
              </w:rPr>
              <w:t xml:space="preserve">Article 13.</w:t>
            </w:r>
            <w:r>
              <w:rPr>
                <w:b/>
              </w:rPr>
              <w:t xml:space="preserve"> </w:t>
            </w:r>
            <w:r>
              <w:t xml:space="preserve">Point 4.2 of the Annex 1 to the same decree is replaced with the following:</w:t>
            </w:r>
          </w:p>
          <w:p w14:paraId="64ECC8FA" w14:textId="513E3874" w:rsidR="00CD661C" w:rsidRPr="00927455" w:rsidRDefault="00CD661C" w:rsidP="002C47D6">
            <w:r>
              <w:t xml:space="preserve">‘4.2 Boiler room: room where one or more fuel burning appliances intended for central heating or for the production of hot water are installed.’.</w:t>
            </w:r>
          </w:p>
          <w:p w14:paraId="6AE7041F" w14:textId="77777777" w:rsidR="00CD661C" w:rsidRPr="00927455" w:rsidRDefault="00CD661C" w:rsidP="002C47D6">
            <w:pPr>
              <w:rPr>
                <w:b/>
              </w:rPr>
            </w:pPr>
          </w:p>
        </w:tc>
      </w:tr>
      <w:tr w:rsidR="00CD661C" w:rsidRPr="00CD661C" w14:paraId="75D9AE8D" w14:textId="77777777" w:rsidTr="002C47D6">
        <w:tc>
          <w:tcPr>
            <w:tcW w:w="4538" w:type="dxa"/>
          </w:tcPr>
          <w:p w14:paraId="2814925A" w14:textId="44296A1D" w:rsidR="00CD661C" w:rsidRPr="00927455" w:rsidRDefault="00CD661C" w:rsidP="002C47D6">
            <w:r>
              <w:rPr>
                <w:b/>
              </w:rPr>
              <w:t xml:space="preserve">Article 14.</w:t>
            </w:r>
            <w:r>
              <w:rPr>
                <w:b/>
              </w:rPr>
              <w:t xml:space="preserve"> </w:t>
            </w:r>
            <w:r>
              <w:t xml:space="preserve">Point 4.3 of the Annex 1 to the same decree is replaced with the following:</w:t>
            </w:r>
          </w:p>
          <w:p w14:paraId="383F4FC0" w14:textId="0F23F933" w:rsidR="00CD661C" w:rsidRPr="00927455" w:rsidRDefault="00CD661C" w:rsidP="002C47D6">
            <w:r>
              <w:t xml:space="preserve">‘4.3 Fuel storage space: room intended to store a solid, liquid or gaseous fuel whose total fire load exceeds 15 GJ.’.</w:t>
            </w:r>
          </w:p>
          <w:p w14:paraId="6FE35668" w14:textId="77777777" w:rsidR="00CD661C" w:rsidRPr="00927455" w:rsidRDefault="00CD661C" w:rsidP="002C47D6">
            <w:pPr>
              <w:rPr>
                <w:b/>
              </w:rPr>
            </w:pPr>
          </w:p>
        </w:tc>
      </w:tr>
      <w:tr w:rsidR="00CD661C" w:rsidRPr="00CD661C" w14:paraId="78F1E699" w14:textId="77777777" w:rsidTr="002C47D6">
        <w:tc>
          <w:tcPr>
            <w:tcW w:w="4538" w:type="dxa"/>
          </w:tcPr>
          <w:p w14:paraId="1BD8420B" w14:textId="06E9C561" w:rsidR="00CD661C" w:rsidRPr="00927455" w:rsidRDefault="00CD661C" w:rsidP="002C275A">
            <w:r>
              <w:rPr>
                <w:b/>
              </w:rPr>
              <w:t xml:space="preserve">Article 15.</w:t>
            </w:r>
            <w:r>
              <w:rPr>
                <w:b/>
              </w:rPr>
              <w:t xml:space="preserve"> </w:t>
            </w:r>
            <w:r>
              <w:t xml:space="preserve">A point 4.11 is inserted in the Annex 1 to the same decree, reading:</w:t>
            </w:r>
          </w:p>
          <w:p w14:paraId="410363B2" w14:textId="725C6EE3" w:rsidR="00CD661C" w:rsidRPr="00927455" w:rsidRDefault="00CD661C" w:rsidP="005F5B93">
            <w:r>
              <w:t xml:space="preserve">‘4.11 Combustion rate: amount of energy that the fuel supplies to the combustion chamber of the fuel burning appliance per unit of time, expressed based on the net calorific value H</w:t>
            </w:r>
            <w:r>
              <w:rPr>
                <w:vertAlign w:val="subscript"/>
              </w:rPr>
              <w:t xml:space="preserve">i</w:t>
            </w:r>
            <w:r>
              <w:t xml:space="preserve">.</w:t>
            </w:r>
            <w:r>
              <w:t xml:space="preserve"> </w:t>
            </w:r>
            <w:r>
              <w:t xml:space="preserve">Also called ‘burner capacity’ or ‘power consumption’.</w:t>
            </w:r>
          </w:p>
          <w:p w14:paraId="3A147470" w14:textId="77777777" w:rsidR="00CD661C" w:rsidRPr="00927455" w:rsidRDefault="00CD661C" w:rsidP="005F5B93"/>
          <w:p w14:paraId="2030B521" w14:textId="5BBACE9B" w:rsidR="00CD661C" w:rsidRPr="00927455" w:rsidRDefault="00CD661C" w:rsidP="005F5B93">
            <w:r>
              <w:t xml:space="preserve">If a fuel burning appliance has more than one combustion rate, the highest combustion rate is used.’.</w:t>
            </w:r>
          </w:p>
          <w:p w14:paraId="4ABB8A41" w14:textId="1F8A8583" w:rsidR="00CD661C" w:rsidRPr="00927455" w:rsidRDefault="00CD661C" w:rsidP="002C47D6"/>
        </w:tc>
      </w:tr>
      <w:tr w:rsidR="00CD661C" w:rsidRPr="00CD661C" w14:paraId="780D9C2A" w14:textId="77777777" w:rsidTr="00886DBE">
        <w:tc>
          <w:tcPr>
            <w:tcW w:w="4538" w:type="dxa"/>
          </w:tcPr>
          <w:p w14:paraId="55C7F410" w14:textId="73D64640" w:rsidR="00CD661C" w:rsidRPr="00927455" w:rsidRDefault="00CD661C" w:rsidP="00886DBE">
            <w:r>
              <w:rPr>
                <w:b/>
              </w:rPr>
              <w:t xml:space="preserve">Article 16.</w:t>
            </w:r>
            <w:r>
              <w:rPr>
                <w:b/>
              </w:rPr>
              <w:t xml:space="preserve"> </w:t>
            </w:r>
            <w:r>
              <w:t xml:space="preserve">In point 5.1.2 of Annex 1 to the same decree, the number ‘14600’ is replaced with the number ‘16034’.</w:t>
            </w:r>
          </w:p>
          <w:p w14:paraId="72EAEBE4" w14:textId="77777777" w:rsidR="00CD661C" w:rsidRPr="00927455" w:rsidRDefault="00CD661C" w:rsidP="00886DBE">
            <w:pPr>
              <w:rPr>
                <w:b/>
              </w:rPr>
            </w:pPr>
          </w:p>
        </w:tc>
      </w:tr>
      <w:tr w:rsidR="00CD661C" w:rsidRPr="00CD661C" w14:paraId="4A6654E5" w14:textId="77777777" w:rsidTr="00886DBE">
        <w:tc>
          <w:tcPr>
            <w:tcW w:w="4538" w:type="dxa"/>
          </w:tcPr>
          <w:p w14:paraId="3D2CE5C7" w14:textId="52E45A82" w:rsidR="00CD661C" w:rsidRPr="00927455" w:rsidRDefault="00CD661C" w:rsidP="00886DBE">
            <w:r>
              <w:rPr>
                <w:b/>
              </w:rPr>
              <w:t xml:space="preserve">Article 17.</w:t>
            </w:r>
            <w:r>
              <w:rPr>
                <w:b/>
              </w:rPr>
              <w:t xml:space="preserve"> </w:t>
            </w:r>
            <w:r>
              <w:t xml:space="preserve">In point 5.6.1 of the Annex 1 to the same decree, a typographical correction is applied to the term ‘staircases’ in the Dutch version.</w:t>
            </w:r>
          </w:p>
          <w:p w14:paraId="7E77DA22" w14:textId="77777777" w:rsidR="00CD661C" w:rsidRPr="00927455" w:rsidRDefault="00CD661C" w:rsidP="00886DBE">
            <w:pPr>
              <w:rPr>
                <w:b/>
              </w:rPr>
            </w:pPr>
          </w:p>
        </w:tc>
      </w:tr>
      <w:tr w:rsidR="00CD661C" w:rsidRPr="00927455" w14:paraId="40791F34" w14:textId="77777777" w:rsidTr="00886DBE">
        <w:tc>
          <w:tcPr>
            <w:tcW w:w="4538" w:type="dxa"/>
          </w:tcPr>
          <w:p w14:paraId="52D3B27A" w14:textId="7EEA11D7" w:rsidR="00CD661C" w:rsidRPr="00927455" w:rsidRDefault="00CD661C" w:rsidP="00886DBE">
            <w:r>
              <w:rPr>
                <w:b/>
              </w:rPr>
              <w:t xml:space="preserve">Article 18.</w:t>
            </w:r>
            <w:r>
              <w:rPr>
                <w:b/>
              </w:rPr>
              <w:t xml:space="preserve"> </w:t>
            </w:r>
            <w:r>
              <w:t xml:space="preserve">In the point 5.6.7 of the Annex 1 to the same decree, in the Dutch version, the word ‘required’ is inserted between the word ‘the’ and the phrase ‘clear widths of the evacuation spaces of the same compartment cannot differ from one another by more than one passage unit’.</w:t>
            </w:r>
          </w:p>
          <w:p w14:paraId="1E72D1A2" w14:textId="77777777" w:rsidR="00CD661C" w:rsidRPr="00927455" w:rsidRDefault="00CD661C" w:rsidP="00886DBE">
            <w:pPr>
              <w:rPr>
                <w:b/>
              </w:rPr>
            </w:pPr>
          </w:p>
        </w:tc>
      </w:tr>
      <w:tr w:rsidR="00CD661C" w:rsidRPr="00CD661C" w14:paraId="57B0C1BF" w14:textId="77777777" w:rsidTr="00CE7C3D">
        <w:tc>
          <w:tcPr>
            <w:tcW w:w="4538" w:type="dxa"/>
          </w:tcPr>
          <w:p w14:paraId="01AEE51C" w14:textId="56CF0A8F" w:rsidR="00CD661C" w:rsidRPr="00927455" w:rsidRDefault="00CD661C" w:rsidP="008A5B71">
            <w:r>
              <w:rPr>
                <w:b/>
              </w:rPr>
              <w:t xml:space="preserve">Article 19.</w:t>
            </w:r>
            <w:r>
              <w:rPr>
                <w:b/>
              </w:rPr>
              <w:t xml:space="preserve"> </w:t>
            </w:r>
            <w:r>
              <w:t xml:space="preserve">In the point 6.1 of the Annex 1 to the same decree, all instances of the word ‘floor’ are removed in the French version.</w:t>
            </w:r>
          </w:p>
          <w:p w14:paraId="2D982722" w14:textId="77777777" w:rsidR="00CD661C" w:rsidRPr="00927455" w:rsidRDefault="00CD661C" w:rsidP="008A5B71">
            <w:pPr>
              <w:rPr>
                <w:b/>
              </w:rPr>
            </w:pPr>
          </w:p>
        </w:tc>
      </w:tr>
      <w:tr w:rsidR="00CD661C" w:rsidRPr="00CD661C" w14:paraId="713AFDD6" w14:textId="77777777" w:rsidTr="00513C3D">
        <w:tc>
          <w:tcPr>
            <w:tcW w:w="4538" w:type="dxa"/>
          </w:tcPr>
          <w:p w14:paraId="3305A7D6" w14:textId="4D3005DF" w:rsidR="00CD661C" w:rsidRPr="00927455" w:rsidRDefault="00CD661C" w:rsidP="0025321E">
            <w:r>
              <w:rPr>
                <w:b/>
              </w:rPr>
              <w:t xml:space="preserve">Article 20.</w:t>
            </w:r>
            <w:r>
              <w:rPr>
                <w:b/>
              </w:rPr>
              <w:t xml:space="preserve"> </w:t>
            </w:r>
            <w:r>
              <w:t xml:space="preserve">In the Annex 1 to the same decree, a point 7 is inserted, containing points 7.1 to 7.7, reading:</w:t>
            </w:r>
          </w:p>
          <w:p w14:paraId="7B048259" w14:textId="77777777" w:rsidR="00CD661C" w:rsidRPr="00927455" w:rsidRDefault="00CD661C" w:rsidP="0025321E"/>
        </w:tc>
      </w:tr>
      <w:tr w:rsidR="00CD661C" w:rsidRPr="00927455" w14:paraId="1B131FEC" w14:textId="77777777" w:rsidTr="004F667F">
        <w:tc>
          <w:tcPr>
            <w:tcW w:w="4538" w:type="dxa"/>
          </w:tcPr>
          <w:p w14:paraId="7F28EB95" w14:textId="77777777" w:rsidR="00CD661C" w:rsidRPr="00927455" w:rsidRDefault="00CD661C" w:rsidP="003774D1">
            <w:pPr>
              <w:jc w:val="both"/>
              <w:rPr>
                <w:b/>
              </w:rPr>
            </w:pPr>
            <w:r>
              <w:t xml:space="preserve">‘</w:t>
            </w:r>
            <w:r>
              <w:rPr>
                <w:b/>
              </w:rPr>
              <w:t xml:space="preserve">7. CAR PARK TERMINOLOGY</w:t>
            </w:r>
          </w:p>
          <w:p w14:paraId="5FE2A23F" w14:textId="77777777" w:rsidR="00CD661C" w:rsidRPr="00927455" w:rsidRDefault="00CD661C" w:rsidP="003774D1">
            <w:pPr>
              <w:jc w:val="both"/>
            </w:pPr>
          </w:p>
        </w:tc>
      </w:tr>
      <w:tr w:rsidR="00CD661C" w:rsidRPr="00CD661C" w14:paraId="3ECD47E6" w14:textId="77777777" w:rsidTr="004F667F">
        <w:tc>
          <w:tcPr>
            <w:tcW w:w="4538" w:type="dxa"/>
          </w:tcPr>
          <w:p w14:paraId="47BC6A2A" w14:textId="77777777" w:rsidR="00CD661C" w:rsidRPr="00927455" w:rsidRDefault="00CD661C" w:rsidP="003774D1">
            <w:pPr>
              <w:jc w:val="both"/>
              <w:rPr>
                <w:rFonts w:cs="Times New Roman"/>
              </w:rPr>
            </w:pPr>
            <w:r>
              <w:t xml:space="preserve">7.1 Parking level: car park space between a floor and a ceiling containing the vehicle parking zones, circulation routes and possibly also rooms.</w:t>
            </w:r>
            <w:r>
              <w:t xml:space="preserve"> </w:t>
            </w:r>
            <w:r>
              <w:t xml:space="preserve">The floor of this space may be horizontal or sloping.</w:t>
            </w:r>
          </w:p>
          <w:p w14:paraId="2241A766" w14:textId="77777777" w:rsidR="00CD661C" w:rsidRPr="00927455" w:rsidRDefault="00CD661C" w:rsidP="003774D1">
            <w:pPr>
              <w:jc w:val="both"/>
            </w:pPr>
          </w:p>
        </w:tc>
      </w:tr>
      <w:tr w:rsidR="00CD661C" w:rsidRPr="00CD661C" w14:paraId="2BCD63F4" w14:textId="77777777" w:rsidTr="004F667F">
        <w:tc>
          <w:tcPr>
            <w:tcW w:w="4538" w:type="dxa"/>
          </w:tcPr>
          <w:p w14:paraId="5C6AED5F" w14:textId="036135E8" w:rsidR="00CD661C" w:rsidRPr="00927455" w:rsidRDefault="00CD661C" w:rsidP="007D193C">
            <w:pPr>
              <w:jc w:val="both"/>
              <w:rPr>
                <w:rFonts w:cs="Times New Roman"/>
              </w:rPr>
            </w:pPr>
            <w:r>
              <w:t xml:space="preserve">7.2 Car park entrance: outdoor access intended for fire brigade operations.</w:t>
            </w:r>
          </w:p>
          <w:p w14:paraId="177A5BFD" w14:textId="58840970" w:rsidR="00CD661C" w:rsidRPr="00927455" w:rsidRDefault="00CD661C" w:rsidP="007D193C">
            <w:pPr>
              <w:jc w:val="both"/>
              <w:rPr>
                <w:rFonts w:cs="Times New Roman"/>
                <w:lang w:eastAsia="nl-NL"/>
              </w:rPr>
            </w:pPr>
          </w:p>
        </w:tc>
      </w:tr>
      <w:tr w:rsidR="00CD661C" w:rsidRPr="00CD661C" w14:paraId="2A70A0D5" w14:textId="77777777" w:rsidTr="004F667F">
        <w:tc>
          <w:tcPr>
            <w:tcW w:w="4538" w:type="dxa"/>
          </w:tcPr>
          <w:p w14:paraId="644C2695" w14:textId="76EBC4E8" w:rsidR="00CD661C" w:rsidRPr="00927455" w:rsidRDefault="00CD661C" w:rsidP="003774D1">
            <w:pPr>
              <w:jc w:val="both"/>
              <w:rPr>
                <w:rFonts w:cs="Times New Roman"/>
              </w:rPr>
            </w:pPr>
            <w:r>
              <w:t xml:space="preserve">7.3 Depth p of an underground car park:</w:t>
            </w:r>
            <w:r>
              <w:t xml:space="preserve"> </w:t>
            </w:r>
          </w:p>
          <w:p w14:paraId="58710EC6" w14:textId="77777777" w:rsidR="00CD661C" w:rsidRPr="00927455" w:rsidRDefault="00CD661C" w:rsidP="003774D1">
            <w:pPr>
              <w:jc w:val="both"/>
              <w:rPr>
                <w:rFonts w:cs="Times New Roman"/>
                <w:lang w:eastAsia="nl-NL"/>
              </w:rPr>
            </w:pPr>
          </w:p>
          <w:p w14:paraId="0450AA4F" w14:textId="717D0B2F"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The depth p of an underground car park is conventionally the greatest vertical distance between the finished floor level of a parking area on the deepest parking level and the level of each car park entrance intended for fire brigade operations at said parking area.</w:t>
            </w:r>
            <w:r>
              <w:t xml:space="preserve"> </w:t>
            </w:r>
          </w:p>
          <w:p w14:paraId="25A24D27"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p w14:paraId="5E768A56" w14:textId="77777777" w:rsidR="00CD661C" w:rsidRPr="00927455" w:rsidRDefault="00CD661C" w:rsidP="003774D1">
            <w:pPr>
              <w:jc w:val="both"/>
              <w:rPr>
                <w:rFonts w:cs="Times New Roman"/>
              </w:rPr>
            </w:pPr>
            <w:r>
              <w:t xml:space="preserve">However, if the parking place for fire brigade vehicles in front of this car park entrance is located more than 1 m above this entrance, the distance between the level of this car park entrance and the floor level of this parking area must be added to obtain the depth p.</w:t>
            </w:r>
          </w:p>
          <w:p w14:paraId="04A5F5CA" w14:textId="77777777" w:rsidR="00CD661C" w:rsidRPr="00927455" w:rsidRDefault="00CD661C" w:rsidP="003774D1">
            <w:pPr>
              <w:jc w:val="both"/>
              <w:rPr>
                <w:rFonts w:cs="Times New Roman"/>
                <w:lang w:eastAsia="nl-NL"/>
              </w:rPr>
            </w:pPr>
          </w:p>
        </w:tc>
      </w:tr>
      <w:tr w:rsidR="00CD661C" w:rsidRPr="00CD661C" w14:paraId="14F96D99" w14:textId="77777777" w:rsidTr="004F667F">
        <w:tc>
          <w:tcPr>
            <w:tcW w:w="4538" w:type="dxa"/>
          </w:tcPr>
          <w:p w14:paraId="3DD6C560" w14:textId="483B3677" w:rsidR="00CD661C" w:rsidRPr="00927455" w:rsidRDefault="00CD661C"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7.4 Open parking level: storey in a car park featuring two opposite façades that meet the following conditions:</w:t>
            </w:r>
          </w:p>
          <w:p w14:paraId="735EBDFA" w14:textId="77777777" w:rsidR="00CD661C" w:rsidRPr="00927455" w:rsidRDefault="00CD661C"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202B3939" w14:textId="77777777" w:rsidTr="004F667F">
        <w:tc>
          <w:tcPr>
            <w:tcW w:w="4538" w:type="dxa"/>
          </w:tcPr>
          <w:p w14:paraId="3FEE369D" w14:textId="77777777" w:rsidR="00CD661C" w:rsidRPr="00927455" w:rsidRDefault="00CD661C"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1° these façades are no more than 60 m apart along their entire length;</w:t>
            </w:r>
          </w:p>
          <w:p w14:paraId="30B20013"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7EB76C10" w14:textId="77777777" w:rsidTr="004F667F">
        <w:tc>
          <w:tcPr>
            <w:tcW w:w="4538" w:type="dxa"/>
          </w:tcPr>
          <w:p w14:paraId="353EF97A" w14:textId="77777777" w:rsidR="00CD661C" w:rsidRPr="00927455" w:rsidRDefault="00CD661C"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2° each of these façades features openings with a useful area equal to at least 1/6 of the total area of the vertical inner and outer walls of the perimeter of this storey;</w:t>
            </w:r>
          </w:p>
          <w:p w14:paraId="4BF598E2"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263BB2F8" w14:textId="77777777" w:rsidTr="004F667F">
        <w:tc>
          <w:tcPr>
            <w:tcW w:w="4538" w:type="dxa"/>
          </w:tcPr>
          <w:p w14:paraId="5DB98FA8" w14:textId="77777777" w:rsidR="00CD661C" w:rsidRPr="00927455" w:rsidRDefault="00CD661C"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3° the openings are distributed evenly over the length of the two façades;</w:t>
            </w:r>
          </w:p>
          <w:p w14:paraId="32C904F6"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667FEBBF" w14:textId="77777777" w:rsidTr="004F667F">
        <w:tc>
          <w:tcPr>
            <w:tcW w:w="4538" w:type="dxa"/>
          </w:tcPr>
          <w:p w14:paraId="5B4D895E"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4° obstructions may be permitted between these two façades provided that the useful area for air flow is equal to at least the area of the openings required in each of these façades;</w:t>
            </w:r>
          </w:p>
          <w:p w14:paraId="489BBA9B"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2AD96274" w14:textId="77777777" w:rsidTr="004F667F">
        <w:tc>
          <w:tcPr>
            <w:tcW w:w="4538" w:type="dxa"/>
          </w:tcPr>
          <w:p w14:paraId="5483F4EC"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5° the outdoor horizontal distance between these façades and each external obstruction is at least 5 m.</w:t>
            </w:r>
          </w:p>
          <w:p w14:paraId="6557E935"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7762EFDF" w14:textId="77777777" w:rsidTr="004F667F">
        <w:tc>
          <w:tcPr>
            <w:tcW w:w="4538" w:type="dxa"/>
          </w:tcPr>
          <w:p w14:paraId="70A2B3BC" w14:textId="4A9E4AE5"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rPr>
            </w:pPr>
            <w:r>
              <w:t xml:space="preserve">7.5 Open car park: a car park where every level is an open parking level as defined in point 7.4.</w:t>
            </w:r>
            <w:r>
              <w:t xml:space="preserve"> </w:t>
            </w:r>
          </w:p>
          <w:p w14:paraId="2CD62AF5"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3F596735" w14:textId="77777777" w:rsidTr="004F667F">
        <w:tc>
          <w:tcPr>
            <w:tcW w:w="4538" w:type="dxa"/>
          </w:tcPr>
          <w:p w14:paraId="29994269" w14:textId="780F0F8F"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 xml:space="preserve">7.6 Car lift: lift used to move the vehicles with their passengers between the different parking levels.</w:t>
            </w:r>
          </w:p>
          <w:p w14:paraId="77958E7B"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eastAsia="nl-NL"/>
              </w:rPr>
            </w:pPr>
          </w:p>
        </w:tc>
      </w:tr>
      <w:tr w:rsidR="00CD661C" w:rsidRPr="00CD661C" w14:paraId="761A7E68" w14:textId="77777777" w:rsidTr="004F667F">
        <w:tc>
          <w:tcPr>
            <w:tcW w:w="4538" w:type="dxa"/>
          </w:tcPr>
          <w:p w14:paraId="63D93FD5" w14:textId="266C7FE1"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 xml:space="preserve">7.7 Parking box: indoor space in a car park, bounded by walls and intended for parking one or more vehicles.’.</w:t>
            </w:r>
          </w:p>
          <w:p w14:paraId="2072B795" w14:textId="77777777" w:rsidR="00CD661C" w:rsidRPr="00927455"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p>
        </w:tc>
      </w:tr>
      <w:tr w:rsidR="00CD661C" w:rsidRPr="00CD661C" w14:paraId="1B07359A" w14:textId="77777777" w:rsidTr="004F667F">
        <w:tc>
          <w:tcPr>
            <w:tcW w:w="4538" w:type="dxa"/>
          </w:tcPr>
          <w:p w14:paraId="717062CD" w14:textId="77777777" w:rsidR="00CD661C" w:rsidRPr="00CD661C" w:rsidRDefault="00CD661C"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p>
        </w:tc>
      </w:tr>
      <w:tr w:rsidR="00CD661C" w:rsidRPr="00CD661C" w14:paraId="7EDA6371" w14:textId="77777777" w:rsidTr="00EF4F8D">
        <w:tc>
          <w:tcPr>
            <w:tcW w:w="4538" w:type="dxa"/>
          </w:tcPr>
          <w:p w14:paraId="7EA01DB2" w14:textId="1AB293EF" w:rsidR="00CD661C" w:rsidRPr="00927455" w:rsidRDefault="00CD661C" w:rsidP="003774D1">
            <w:pPr>
              <w:rPr>
                <w:b/>
              </w:rPr>
            </w:pPr>
            <w:r>
              <w:rPr>
                <w:b/>
              </w:rPr>
              <w:t xml:space="preserve">Chapter 3.</w:t>
            </w:r>
            <w:r>
              <w:rPr>
                <w:b/>
              </w:rPr>
              <w:t xml:space="preserve"> </w:t>
            </w:r>
            <w:r>
              <w:rPr>
                <w:b/>
              </w:rPr>
              <w:t xml:space="preserve">Amendments to the Annex 2/1 to the Royal Decree of 7 July 1994 laying down the basic fire and explosion prevention standards with which buildings must comply</w:t>
            </w:r>
          </w:p>
          <w:p w14:paraId="5FA0442D" w14:textId="77777777" w:rsidR="00CD661C" w:rsidRPr="00927455" w:rsidRDefault="00CD661C" w:rsidP="003774D1">
            <w:pPr>
              <w:rPr>
                <w:b/>
              </w:rPr>
            </w:pPr>
          </w:p>
        </w:tc>
      </w:tr>
      <w:tr w:rsidR="00CD661C" w:rsidRPr="00CD661C" w14:paraId="28C9E9D9" w14:textId="77777777" w:rsidTr="00EF4F8D">
        <w:tc>
          <w:tcPr>
            <w:tcW w:w="4538" w:type="dxa"/>
          </w:tcPr>
          <w:p w14:paraId="1B25EAE7" w14:textId="6A842020" w:rsidR="00CD661C" w:rsidRPr="00927455" w:rsidRDefault="00CD661C" w:rsidP="003774D1">
            <w:pPr>
              <w:rPr>
                <w:b/>
              </w:rPr>
            </w:pPr>
            <w:r>
              <w:rPr>
                <w:b/>
              </w:rPr>
              <w:t xml:space="preserve">Article 21. </w:t>
            </w:r>
            <w:r>
              <w:t xml:space="preserve">In the same decree, the Annex 2/1 is replaced with the Annex 1 to this Decree.</w:t>
            </w:r>
          </w:p>
          <w:p w14:paraId="18B15558" w14:textId="77777777" w:rsidR="00CD661C" w:rsidRPr="00927455" w:rsidRDefault="00CD661C" w:rsidP="003774D1"/>
        </w:tc>
      </w:tr>
      <w:tr w:rsidR="00CD661C" w:rsidRPr="00CD661C" w14:paraId="787AC11F" w14:textId="77777777" w:rsidTr="00EF4F8D">
        <w:tc>
          <w:tcPr>
            <w:tcW w:w="4538" w:type="dxa"/>
          </w:tcPr>
          <w:p w14:paraId="651CE6BF" w14:textId="77777777" w:rsidR="00CD661C" w:rsidRPr="00CD661C" w:rsidRDefault="00CD661C" w:rsidP="001E3710">
            <w:pPr>
              <w:rPr>
                <w:i/>
              </w:rPr>
            </w:pPr>
          </w:p>
        </w:tc>
      </w:tr>
      <w:tr w:rsidR="00CD661C" w:rsidRPr="00CD661C" w14:paraId="5469729A" w14:textId="77777777" w:rsidTr="002E05D6">
        <w:tc>
          <w:tcPr>
            <w:tcW w:w="4538" w:type="dxa"/>
          </w:tcPr>
          <w:p w14:paraId="184FBFB2" w14:textId="2A3A8D11" w:rsidR="00CD661C" w:rsidRPr="00927455" w:rsidRDefault="00CD661C" w:rsidP="003774D1">
            <w:pPr>
              <w:rPr>
                <w:b/>
              </w:rPr>
            </w:pPr>
            <w:r>
              <w:rPr>
                <w:b/>
              </w:rPr>
              <w:t xml:space="preserve">Chapter 4.</w:t>
            </w:r>
            <w:r>
              <w:rPr>
                <w:b/>
              </w:rPr>
              <w:t xml:space="preserve"> </w:t>
            </w:r>
            <w:r>
              <w:rPr>
                <w:b/>
              </w:rPr>
              <w:t xml:space="preserve">Amendments to the Annex 3/1 to the Royal Decree of 7 July 1994 laying down the basic fire and explosion prevention standards with which buildings must comply</w:t>
            </w:r>
          </w:p>
          <w:p w14:paraId="4679C5D6" w14:textId="77777777" w:rsidR="00CD661C" w:rsidRPr="00927455" w:rsidRDefault="00CD661C" w:rsidP="003774D1">
            <w:pPr>
              <w:rPr>
                <w:b/>
              </w:rPr>
            </w:pPr>
          </w:p>
        </w:tc>
      </w:tr>
      <w:tr w:rsidR="00CD661C" w:rsidRPr="00CD661C" w14:paraId="7A68E26F" w14:textId="77777777" w:rsidTr="00075AB6">
        <w:tc>
          <w:tcPr>
            <w:tcW w:w="4538" w:type="dxa"/>
          </w:tcPr>
          <w:p w14:paraId="6C5E645F" w14:textId="21B25ABC" w:rsidR="00CD661C" w:rsidRPr="00927455" w:rsidRDefault="00CD661C" w:rsidP="00075AB6">
            <w:pPr>
              <w:rPr>
                <w:b/>
              </w:rPr>
            </w:pPr>
            <w:r>
              <w:rPr>
                <w:b/>
              </w:rPr>
              <w:t xml:space="preserve">Article 22. </w:t>
            </w:r>
            <w:r>
              <w:t xml:space="preserve">In the same decree, the Annex 3/1 is replaced with the Annex 2 to this Decree.</w:t>
            </w:r>
          </w:p>
          <w:p w14:paraId="7C3D75F6" w14:textId="77777777" w:rsidR="00CD661C" w:rsidRPr="00927455" w:rsidRDefault="00CD661C" w:rsidP="00075AB6"/>
        </w:tc>
      </w:tr>
      <w:tr w:rsidR="00CD661C" w:rsidRPr="00CD661C" w14:paraId="49FE2007" w14:textId="77777777" w:rsidTr="00075AB6">
        <w:tc>
          <w:tcPr>
            <w:tcW w:w="4538" w:type="dxa"/>
          </w:tcPr>
          <w:p w14:paraId="24C3C8AB" w14:textId="77777777" w:rsidR="00CD661C" w:rsidRPr="00CD661C" w:rsidRDefault="00CD661C" w:rsidP="00653D6E">
            <w:pPr>
              <w:rPr>
                <w:i/>
              </w:rPr>
            </w:pPr>
          </w:p>
        </w:tc>
      </w:tr>
      <w:tr w:rsidR="00CD661C" w:rsidRPr="00CD661C" w14:paraId="22AC7B2E" w14:textId="77777777" w:rsidTr="002E05D6">
        <w:tc>
          <w:tcPr>
            <w:tcW w:w="4538" w:type="dxa"/>
          </w:tcPr>
          <w:p w14:paraId="351F8CFA" w14:textId="4C2EE165" w:rsidR="00CD661C" w:rsidRPr="00927455" w:rsidRDefault="00CD661C" w:rsidP="003774D1">
            <w:pPr>
              <w:rPr>
                <w:b/>
              </w:rPr>
            </w:pPr>
            <w:r>
              <w:rPr>
                <w:b/>
              </w:rPr>
              <w:t xml:space="preserve">Chapter 5.</w:t>
            </w:r>
            <w:r>
              <w:rPr>
                <w:b/>
              </w:rPr>
              <w:t xml:space="preserve"> </w:t>
            </w:r>
            <w:r>
              <w:rPr>
                <w:b/>
              </w:rPr>
              <w:t xml:space="preserve">Amendments to the Annex 4/1 to the Royal Decree of 7 July 1994 laying down the basic fire and explosion prevention standards with which buildings must comply</w:t>
            </w:r>
          </w:p>
          <w:p w14:paraId="167023E5" w14:textId="77777777" w:rsidR="00CD661C" w:rsidRPr="00927455" w:rsidRDefault="00CD661C" w:rsidP="003774D1">
            <w:pPr>
              <w:rPr>
                <w:b/>
              </w:rPr>
            </w:pPr>
          </w:p>
        </w:tc>
      </w:tr>
      <w:tr w:rsidR="00CD661C" w:rsidRPr="00CD661C" w14:paraId="123243BC" w14:textId="77777777" w:rsidTr="00075AB6">
        <w:tc>
          <w:tcPr>
            <w:tcW w:w="4538" w:type="dxa"/>
          </w:tcPr>
          <w:p w14:paraId="4DFE5593" w14:textId="08AED364" w:rsidR="00CD661C" w:rsidRPr="00927455" w:rsidRDefault="00CD661C" w:rsidP="00075AB6">
            <w:pPr>
              <w:rPr>
                <w:b/>
              </w:rPr>
            </w:pPr>
            <w:r>
              <w:rPr>
                <w:b/>
              </w:rPr>
              <w:t xml:space="preserve">Article 23. </w:t>
            </w:r>
            <w:r>
              <w:t xml:space="preserve">In the same decree, the Annex 4/1 is replaced with the Annex 3 to this Decree.</w:t>
            </w:r>
          </w:p>
          <w:p w14:paraId="3125B548" w14:textId="77777777" w:rsidR="00CD661C" w:rsidRPr="00927455" w:rsidRDefault="00CD661C" w:rsidP="00075AB6"/>
        </w:tc>
      </w:tr>
      <w:tr w:rsidR="00CD661C" w:rsidRPr="00CD661C" w14:paraId="4B858594" w14:textId="77777777" w:rsidTr="004F667F">
        <w:tc>
          <w:tcPr>
            <w:tcW w:w="4538" w:type="dxa"/>
          </w:tcPr>
          <w:p w14:paraId="2D5D4A7B" w14:textId="77777777" w:rsidR="00CD661C" w:rsidRPr="00CD661C" w:rsidRDefault="00CD661C" w:rsidP="003774D1">
            <w:pPr>
              <w:rPr>
                <w:b/>
                <w:strike/>
              </w:rPr>
            </w:pPr>
          </w:p>
        </w:tc>
      </w:tr>
      <w:tr w:rsidR="00CD661C" w:rsidRPr="00CD661C" w14:paraId="0C976C6D" w14:textId="77777777" w:rsidTr="002E05D6">
        <w:tc>
          <w:tcPr>
            <w:tcW w:w="4538" w:type="dxa"/>
          </w:tcPr>
          <w:p w14:paraId="5C6262CB" w14:textId="6796C877" w:rsidR="00CD661C" w:rsidRPr="00927455" w:rsidRDefault="00CD661C" w:rsidP="003774D1">
            <w:pPr>
              <w:rPr>
                <w:b/>
              </w:rPr>
            </w:pPr>
            <w:r>
              <w:rPr>
                <w:b/>
              </w:rPr>
              <w:t xml:space="preserve">Chapter 6.</w:t>
            </w:r>
            <w:r>
              <w:rPr>
                <w:b/>
              </w:rPr>
              <w:t xml:space="preserve"> </w:t>
            </w:r>
            <w:r>
              <w:rPr>
                <w:b/>
              </w:rPr>
              <w:t xml:space="preserve">Amendments to the Annex 5/1 to the Royal Decree of 7 July 1994 laying down the basic fire and explosion prevention standards with which buildings must comply</w:t>
            </w:r>
          </w:p>
          <w:p w14:paraId="4574F264" w14:textId="77777777" w:rsidR="00CD661C" w:rsidRPr="00927455" w:rsidRDefault="00CD661C" w:rsidP="003774D1">
            <w:pPr>
              <w:rPr>
                <w:b/>
              </w:rPr>
            </w:pPr>
          </w:p>
        </w:tc>
      </w:tr>
      <w:tr w:rsidR="00CD661C" w:rsidRPr="00CD661C" w14:paraId="016D4105" w14:textId="77777777" w:rsidTr="007D77F0">
        <w:tc>
          <w:tcPr>
            <w:tcW w:w="4538" w:type="dxa"/>
          </w:tcPr>
          <w:p w14:paraId="28275BC7" w14:textId="170119CC" w:rsidR="00CD661C" w:rsidRPr="00927455" w:rsidRDefault="00CD661C" w:rsidP="007D77F0">
            <w:r>
              <w:rPr>
                <w:b/>
              </w:rPr>
              <w:t xml:space="preserve">Article 24.</w:t>
            </w:r>
            <w:r>
              <w:rPr>
                <w:b/>
              </w:rPr>
              <w:t xml:space="preserve"> </w:t>
            </w:r>
            <w:r>
              <w:t xml:space="preserve">The point 3, Table I, of the Annex 5/1 to the same decree is amended as follows:</w:t>
            </w:r>
          </w:p>
          <w:p w14:paraId="08F8B464" w14:textId="77777777" w:rsidR="00CD661C" w:rsidRPr="00927455" w:rsidRDefault="00CD661C" w:rsidP="007D77F0">
            <w:pPr>
              <w:rPr>
                <w:b/>
              </w:rPr>
            </w:pPr>
          </w:p>
        </w:tc>
      </w:tr>
      <w:tr w:rsidR="00CD661C" w:rsidRPr="00CD661C" w14:paraId="5B0BDF0C" w14:textId="77777777" w:rsidTr="007D77F0">
        <w:tc>
          <w:tcPr>
            <w:tcW w:w="4538" w:type="dxa"/>
          </w:tcPr>
          <w:p w14:paraId="57640C3F" w14:textId="77777777" w:rsidR="00CD661C" w:rsidRPr="00927455" w:rsidRDefault="00CD661C" w:rsidP="007D77F0">
            <w:r>
              <w:t xml:space="preserve">1° in the ‘Floors’ row of the ‘Technical rooms, parking areas, machinery rooms, technical shafts’ row, ‘</w:t>
            </w:r>
            <w:r>
              <w:rPr>
                <w:sz w:val="18"/>
              </w:rPr>
              <w:t xml:space="preserve">B</w:t>
            </w:r>
            <w:r>
              <w:rPr>
                <w:sz w:val="18"/>
                <w:vertAlign w:val="subscript"/>
              </w:rPr>
              <w:t xml:space="preserve">Fl</w:t>
            </w:r>
            <w:r>
              <w:rPr>
                <w:sz w:val="18"/>
              </w:rPr>
              <w:t xml:space="preserve">-s2****</w:t>
            </w:r>
            <w:r>
              <w:t xml:space="preserve">’ is added to the ‘</w:t>
            </w:r>
            <w:r>
              <w:rPr>
                <w:sz w:val="18"/>
              </w:rPr>
              <w:t xml:space="preserve">A2</w:t>
            </w:r>
            <w:r>
              <w:rPr>
                <w:sz w:val="18"/>
                <w:vertAlign w:val="subscript"/>
              </w:rPr>
              <w:t xml:space="preserve">Fl</w:t>
            </w:r>
            <w:r>
              <w:rPr>
                <w:sz w:val="18"/>
              </w:rPr>
              <w:t xml:space="preserve">-s2</w:t>
            </w:r>
            <w:r>
              <w:t xml:space="preserve">’ formulas in the H.G., M.G. and L.G columns;</w:t>
            </w:r>
          </w:p>
          <w:p w14:paraId="3436A5E7" w14:textId="77777777" w:rsidR="00CD661C" w:rsidRPr="00927455" w:rsidRDefault="00CD661C" w:rsidP="0048054A"/>
        </w:tc>
      </w:tr>
      <w:tr w:rsidR="00CD661C" w:rsidRPr="00CD661C" w14:paraId="73BC9564" w14:textId="77777777" w:rsidTr="007D77F0">
        <w:tc>
          <w:tcPr>
            <w:tcW w:w="4538" w:type="dxa"/>
          </w:tcPr>
          <w:p w14:paraId="7178B46F" w14:textId="6FC4D699" w:rsidR="00CD661C" w:rsidRPr="00927455" w:rsidRDefault="00CD661C" w:rsidP="007D77F0">
            <w:r>
              <w:t xml:space="preserve">2° in the first column, the phrase ‘, shafts of passenger or cargo lifts’ is added to the phrase ‘Technical rooms, parking areas, machinery rooms, technical shafts’ and in the Dutch version, the term ‘parking areas’ is replaced with the term ‘car parks’;</w:t>
            </w:r>
          </w:p>
          <w:p w14:paraId="3EAF07CD" w14:textId="77777777" w:rsidR="00CD661C" w:rsidRPr="00927455" w:rsidRDefault="00CD661C" w:rsidP="007D77F0"/>
        </w:tc>
      </w:tr>
      <w:tr w:rsidR="00CD661C" w:rsidRPr="00CD661C" w14:paraId="27B0AEFF" w14:textId="77777777" w:rsidTr="007D77F0">
        <w:tc>
          <w:tcPr>
            <w:tcW w:w="4538" w:type="dxa"/>
          </w:tcPr>
          <w:p w14:paraId="24BC1E0F" w14:textId="77777777" w:rsidR="00CD661C" w:rsidRPr="00927455" w:rsidRDefault="00CD661C" w:rsidP="007D77F0">
            <w:r>
              <w:t xml:space="preserve">3° the following footnote is added to the footnotes in the last row:</w:t>
            </w:r>
          </w:p>
          <w:p w14:paraId="5FD9DB52" w14:textId="77777777" w:rsidR="00CD661C" w:rsidRPr="00927455" w:rsidRDefault="00CD661C" w:rsidP="007D77F0">
            <w:r>
              <w:t xml:space="preserve">‘**** for parking areas’.</w:t>
            </w:r>
          </w:p>
          <w:p w14:paraId="43BFC9A2" w14:textId="77777777" w:rsidR="00CD661C" w:rsidRPr="00927455" w:rsidRDefault="00CD661C" w:rsidP="007D77F0"/>
        </w:tc>
      </w:tr>
      <w:tr w:rsidR="00CD661C" w:rsidRPr="00CD661C" w14:paraId="18B2879D" w14:textId="77777777" w:rsidTr="007262A6">
        <w:tc>
          <w:tcPr>
            <w:tcW w:w="4538" w:type="dxa"/>
          </w:tcPr>
          <w:p w14:paraId="4036316C" w14:textId="25F0318D" w:rsidR="00CD661C" w:rsidRPr="00927455" w:rsidRDefault="00CD661C" w:rsidP="007262A6">
            <w:r>
              <w:rPr>
                <w:b/>
              </w:rPr>
              <w:t xml:space="preserve">Article 25.</w:t>
            </w:r>
            <w:r>
              <w:rPr>
                <w:b/>
              </w:rPr>
              <w:t xml:space="preserve"> </w:t>
            </w:r>
            <w:r>
              <w:t xml:space="preserve">In the point 4.2 of the Annex 5/1 to the same decree, the word ‘generalised’ is replaced with the word ‘total’ in the French version.</w:t>
            </w:r>
          </w:p>
          <w:p w14:paraId="7A12CC54" w14:textId="77777777" w:rsidR="00CD661C" w:rsidRPr="00927455" w:rsidRDefault="00CD661C" w:rsidP="007262A6">
            <w:pPr>
              <w:rPr>
                <w:b/>
              </w:rPr>
            </w:pPr>
          </w:p>
        </w:tc>
      </w:tr>
      <w:tr w:rsidR="00CD661C" w:rsidRPr="00CD661C" w14:paraId="72F1BCA7" w14:textId="77777777" w:rsidTr="004F667F">
        <w:tc>
          <w:tcPr>
            <w:tcW w:w="4538" w:type="dxa"/>
          </w:tcPr>
          <w:p w14:paraId="14095B3E" w14:textId="72ABB29E" w:rsidR="00CD661C" w:rsidRPr="00927455" w:rsidRDefault="00CD661C" w:rsidP="003774D1">
            <w:r>
              <w:rPr>
                <w:b/>
              </w:rPr>
              <w:t xml:space="preserve">Article 26.</w:t>
            </w:r>
            <w:r>
              <w:rPr>
                <w:b/>
              </w:rPr>
              <w:t xml:space="preserve"> </w:t>
            </w:r>
            <w:r>
              <w:t xml:space="preserve">The Point 6 of the Annex 5/1 to the same decree is replaced with a point 6, containing points 6.1 to 6.4, reading:</w:t>
            </w:r>
          </w:p>
          <w:p w14:paraId="45FE1EC2" w14:textId="77777777" w:rsidR="00CD661C" w:rsidRPr="00927455" w:rsidRDefault="00CD661C" w:rsidP="003774D1"/>
        </w:tc>
      </w:tr>
      <w:tr w:rsidR="00CD661C" w:rsidRPr="00927455" w14:paraId="60C9AF82" w14:textId="77777777" w:rsidTr="004F667F">
        <w:tc>
          <w:tcPr>
            <w:tcW w:w="4538" w:type="dxa"/>
          </w:tcPr>
          <w:p w14:paraId="3EDF4E26" w14:textId="77777777" w:rsidR="00CD661C" w:rsidRPr="00927455" w:rsidRDefault="00CD661C" w:rsidP="003774D1">
            <w:pPr>
              <w:rPr>
                <w:b/>
              </w:rPr>
            </w:pPr>
            <w:r>
              <w:t xml:space="preserve">‘</w:t>
            </w:r>
            <w:r>
              <w:rPr>
                <w:b/>
              </w:rPr>
              <w:t xml:space="preserve">6. FAÇADES</w:t>
            </w:r>
          </w:p>
          <w:p w14:paraId="17C5EED5" w14:textId="77777777" w:rsidR="00CD661C" w:rsidRPr="00927455" w:rsidRDefault="00CD661C" w:rsidP="003774D1">
            <w:pPr>
              <w:rPr>
                <w:b/>
              </w:rPr>
            </w:pPr>
          </w:p>
        </w:tc>
      </w:tr>
      <w:tr w:rsidR="00CD661C" w:rsidRPr="00927455" w14:paraId="051BE19E" w14:textId="77777777" w:rsidTr="004F667F">
        <w:tc>
          <w:tcPr>
            <w:tcW w:w="4538" w:type="dxa"/>
          </w:tcPr>
          <w:p w14:paraId="345EFA59" w14:textId="77777777" w:rsidR="00CD661C" w:rsidRPr="00927455" w:rsidRDefault="00CD661C" w:rsidP="003774D1">
            <w:pPr>
              <w:rPr>
                <w:b/>
              </w:rPr>
            </w:pPr>
            <w:r>
              <w:rPr>
                <w:b/>
              </w:rPr>
              <w:t xml:space="preserve">6.1 Building façades</w:t>
            </w:r>
          </w:p>
          <w:p w14:paraId="3AB7064B" w14:textId="77777777" w:rsidR="00CD661C" w:rsidRPr="00927455" w:rsidRDefault="00CD661C" w:rsidP="003774D1">
            <w:pPr>
              <w:rPr>
                <w:b/>
              </w:rPr>
            </w:pPr>
          </w:p>
        </w:tc>
      </w:tr>
      <w:tr w:rsidR="00CD661C" w:rsidRPr="00CD661C" w14:paraId="1639A0FB" w14:textId="77777777" w:rsidTr="004F667F">
        <w:tc>
          <w:tcPr>
            <w:tcW w:w="4538" w:type="dxa"/>
          </w:tcPr>
          <w:p w14:paraId="19AB0DEB" w14:textId="77777777" w:rsidR="00CD661C" w:rsidRPr="00927455" w:rsidRDefault="00CD661C" w:rsidP="003774D1">
            <w:r>
              <w:t xml:space="preserve">6.1.1 Table V gives the reaction to fire requirements that apply to products used for façade cladding.</w:t>
            </w:r>
          </w:p>
          <w:p w14:paraId="5241A798" w14:textId="77777777" w:rsidR="00CD661C" w:rsidRPr="00927455" w:rsidRDefault="00CD661C" w:rsidP="003774D1"/>
        </w:tc>
      </w:tr>
      <w:tr w:rsidR="00CD661C" w:rsidRPr="00CD661C" w14:paraId="1F26E02A" w14:textId="77777777" w:rsidTr="004F667F">
        <w:tc>
          <w:tcPr>
            <w:tcW w:w="4538" w:type="dxa"/>
          </w:tcPr>
          <w:p w14:paraId="3BE1724F" w14:textId="77777777" w:rsidR="00CD661C" w:rsidRPr="00CD661C" w:rsidRDefault="00CD661C" w:rsidP="003774D1"/>
        </w:tc>
      </w:tr>
    </w:tbl>
    <w:tbl>
      <w:tblPr>
        <w:tblStyle w:val="Tabelraster31"/>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8A5C17" w:rsidRPr="00927455" w14:paraId="6095BE8E" w14:textId="77777777" w:rsidTr="00F93AB4">
        <w:tc>
          <w:tcPr>
            <w:tcW w:w="9853" w:type="dxa"/>
            <w:tcMar>
              <w:right w:w="0" w:type="dxa"/>
            </w:tcMar>
          </w:tcPr>
          <w:p w14:paraId="31725B5D" w14:textId="77777777" w:rsidR="00E21611" w:rsidRPr="00927455" w:rsidRDefault="00E21611" w:rsidP="00F93AB4">
            <w:pPr>
              <w:jc w:val="both"/>
              <w:rPr>
                <w:sz w:val="18"/>
                <w:szCs w:val="18"/>
              </w:rPr>
            </w:pPr>
            <w:r>
              <w:rPr>
                <w:sz w:val="18"/>
              </w:rPr>
              <w:t xml:space="preserve">TABLE V:</w:t>
            </w:r>
            <w:r>
              <w:rPr>
                <w:sz w:val="18"/>
              </w:rPr>
              <w:t xml:space="preserve"> </w:t>
            </w:r>
            <w:r>
              <w:rPr>
                <w:sz w:val="18"/>
              </w:rPr>
              <w:t xml:space="preserve">FAÇADES</w:t>
            </w:r>
          </w:p>
          <w:p w14:paraId="0B27C9CB" w14:textId="77777777" w:rsidR="00E21611" w:rsidRPr="00927455" w:rsidRDefault="00E21611" w:rsidP="00F93AB4">
            <w:pPr>
              <w:jc w:val="both"/>
              <w:rPr>
                <w:sz w:val="18"/>
                <w:szCs w:val="18"/>
                <w:lang w:val="nl-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90"/>
              <w:gridCol w:w="2155"/>
              <w:gridCol w:w="2324"/>
              <w:gridCol w:w="1191"/>
              <w:gridCol w:w="1191"/>
              <w:gridCol w:w="794"/>
              <w:gridCol w:w="794"/>
            </w:tblGrid>
            <w:tr w:rsidR="008A5C17" w:rsidRPr="00927455" w14:paraId="52030165" w14:textId="77777777" w:rsidTr="00F93AB4">
              <w:tc>
                <w:tcPr>
                  <w:tcW w:w="5669" w:type="dxa"/>
                  <w:gridSpan w:val="3"/>
                  <w:vMerge w:val="restart"/>
                  <w:tcBorders>
                    <w:top w:val="single" w:sz="4" w:space="0" w:color="auto"/>
                  </w:tcBorders>
                </w:tcPr>
                <w:p w14:paraId="10751D68" w14:textId="77777777" w:rsidR="00E21611" w:rsidRPr="00927455" w:rsidRDefault="00E21611" w:rsidP="00F93AB4">
                  <w:pPr>
                    <w:rPr>
                      <w:b/>
                      <w:sz w:val="18"/>
                      <w:szCs w:val="18"/>
                    </w:rPr>
                  </w:pPr>
                  <w:r>
                    <w:rPr>
                      <w:b/>
                      <w:sz w:val="18"/>
                    </w:rPr>
                    <w:tab/>
                  </w:r>
                  <w:r>
                    <w:rPr>
                      <w:b/>
                      <w:sz w:val="18"/>
                    </w:rPr>
                    <w:t xml:space="preserve">type</w:t>
                  </w:r>
                </w:p>
              </w:tc>
              <w:tc>
                <w:tcPr>
                  <w:tcW w:w="1191" w:type="dxa"/>
                  <w:vMerge w:val="restart"/>
                  <w:tcBorders>
                    <w:top w:val="single" w:sz="4" w:space="0" w:color="auto"/>
                  </w:tcBorders>
                </w:tcPr>
                <w:p w14:paraId="77F5DC25" w14:textId="77777777" w:rsidR="00E21611" w:rsidRPr="00927455" w:rsidRDefault="00E21611" w:rsidP="00F93AB4">
                  <w:pPr>
                    <w:jc w:val="center"/>
                    <w:rPr>
                      <w:b/>
                      <w:sz w:val="18"/>
                      <w:szCs w:val="18"/>
                    </w:rPr>
                  </w:pPr>
                  <w:r>
                    <w:rPr>
                      <w:b/>
                      <w:sz w:val="18"/>
                    </w:rPr>
                    <w:t xml:space="preserve">H.G.</w:t>
                  </w:r>
                </w:p>
              </w:tc>
              <w:tc>
                <w:tcPr>
                  <w:tcW w:w="1191" w:type="dxa"/>
                  <w:vMerge w:val="restart"/>
                  <w:tcBorders>
                    <w:top w:val="single" w:sz="4" w:space="0" w:color="auto"/>
                  </w:tcBorders>
                </w:tcPr>
                <w:p w14:paraId="2E0B6E94" w14:textId="77777777" w:rsidR="00E21611" w:rsidRPr="00927455" w:rsidRDefault="00E21611" w:rsidP="00F93AB4">
                  <w:pPr>
                    <w:jc w:val="center"/>
                    <w:rPr>
                      <w:b/>
                      <w:sz w:val="18"/>
                      <w:szCs w:val="18"/>
                    </w:rPr>
                  </w:pPr>
                  <w:r>
                    <w:rPr>
                      <w:b/>
                      <w:sz w:val="18"/>
                    </w:rPr>
                    <w:t xml:space="preserve">M.G.</w:t>
                  </w:r>
                </w:p>
              </w:tc>
              <w:tc>
                <w:tcPr>
                  <w:tcW w:w="1588" w:type="dxa"/>
                  <w:gridSpan w:val="2"/>
                </w:tcPr>
                <w:p w14:paraId="079DF66A" w14:textId="77777777" w:rsidR="00E21611" w:rsidRPr="00927455" w:rsidRDefault="00E21611" w:rsidP="00F93AB4">
                  <w:pPr>
                    <w:jc w:val="center"/>
                    <w:rPr>
                      <w:b/>
                      <w:sz w:val="18"/>
                      <w:szCs w:val="18"/>
                    </w:rPr>
                  </w:pPr>
                  <w:r>
                    <w:rPr>
                      <w:b/>
                      <w:sz w:val="18"/>
                    </w:rPr>
                    <w:t xml:space="preserve">L.G.</w:t>
                  </w:r>
                </w:p>
              </w:tc>
            </w:tr>
            <w:tr w:rsidR="008A5C17" w:rsidRPr="00927455" w14:paraId="24114144" w14:textId="77777777" w:rsidTr="00F93AB4">
              <w:tc>
                <w:tcPr>
                  <w:tcW w:w="5669" w:type="dxa"/>
                  <w:gridSpan w:val="3"/>
                  <w:vMerge/>
                  <w:vAlign w:val="center"/>
                </w:tcPr>
                <w:p w14:paraId="58596511" w14:textId="77777777" w:rsidR="00E21611" w:rsidRPr="00927455" w:rsidRDefault="00E21611" w:rsidP="00F93AB4">
                  <w:pPr>
                    <w:rPr>
                      <w:b/>
                      <w:sz w:val="18"/>
                      <w:szCs w:val="18"/>
                    </w:rPr>
                  </w:pPr>
                </w:p>
              </w:tc>
              <w:tc>
                <w:tcPr>
                  <w:tcW w:w="1191" w:type="dxa"/>
                  <w:vMerge/>
                </w:tcPr>
                <w:p w14:paraId="78873429" w14:textId="77777777" w:rsidR="00E21611" w:rsidRPr="00927455" w:rsidRDefault="00E21611" w:rsidP="00F93AB4">
                  <w:pPr>
                    <w:jc w:val="center"/>
                    <w:rPr>
                      <w:b/>
                      <w:sz w:val="18"/>
                      <w:szCs w:val="18"/>
                    </w:rPr>
                  </w:pPr>
                </w:p>
              </w:tc>
              <w:tc>
                <w:tcPr>
                  <w:tcW w:w="1191" w:type="dxa"/>
                  <w:vMerge/>
                </w:tcPr>
                <w:p w14:paraId="75E8F3D0" w14:textId="77777777" w:rsidR="00E21611" w:rsidRPr="00927455" w:rsidRDefault="00E21611" w:rsidP="00F93AB4">
                  <w:pPr>
                    <w:jc w:val="center"/>
                    <w:rPr>
                      <w:b/>
                      <w:sz w:val="18"/>
                      <w:szCs w:val="18"/>
                    </w:rPr>
                  </w:pPr>
                </w:p>
              </w:tc>
              <w:tc>
                <w:tcPr>
                  <w:tcW w:w="794" w:type="dxa"/>
                </w:tcPr>
                <w:p w14:paraId="04DE7A90" w14:textId="77777777" w:rsidR="00E21611" w:rsidRPr="00927455" w:rsidRDefault="00E21611" w:rsidP="00F93AB4">
                  <w:pPr>
                    <w:jc w:val="center"/>
                    <w:rPr>
                      <w:b/>
                      <w:sz w:val="18"/>
                      <w:szCs w:val="18"/>
                    </w:rPr>
                  </w:pPr>
                  <w:r>
                    <w:rPr>
                      <w:b/>
                      <w:sz w:val="18"/>
                    </w:rPr>
                    <w:t xml:space="preserve">1</w:t>
                  </w:r>
                </w:p>
              </w:tc>
              <w:tc>
                <w:tcPr>
                  <w:tcW w:w="794" w:type="dxa"/>
                </w:tcPr>
                <w:p w14:paraId="66108D7F" w14:textId="77777777" w:rsidR="00E21611" w:rsidRPr="00927455" w:rsidRDefault="00E21611" w:rsidP="00F93AB4">
                  <w:pPr>
                    <w:jc w:val="center"/>
                    <w:rPr>
                      <w:b/>
                      <w:sz w:val="18"/>
                      <w:szCs w:val="18"/>
                    </w:rPr>
                  </w:pPr>
                  <w:r>
                    <w:rPr>
                      <w:b/>
                      <w:sz w:val="18"/>
                    </w:rPr>
                    <w:t xml:space="preserve">2 and 3</w:t>
                  </w:r>
                </w:p>
              </w:tc>
            </w:tr>
            <w:tr w:rsidR="008A5C17" w:rsidRPr="00927455" w14:paraId="4E846945" w14:textId="77777777" w:rsidTr="00F93AB4">
              <w:tc>
                <w:tcPr>
                  <w:tcW w:w="3345" w:type="dxa"/>
                  <w:gridSpan w:val="2"/>
                  <w:vAlign w:val="center"/>
                </w:tcPr>
                <w:p w14:paraId="45019868" w14:textId="77777777" w:rsidR="00E21611" w:rsidRPr="00927455" w:rsidRDefault="00E21611" w:rsidP="00F93AB4">
                  <w:pPr>
                    <w:rPr>
                      <w:b/>
                      <w:sz w:val="18"/>
                      <w:szCs w:val="18"/>
                    </w:rPr>
                  </w:pPr>
                  <w:r>
                    <w:rPr>
                      <w:sz w:val="18"/>
                      <w:b/>
                    </w:rPr>
                    <w:t xml:space="preserve">Façade component type</w:t>
                  </w:r>
                  <w:r>
                    <w:rPr>
                      <w:sz w:val="18"/>
                      <w:vertAlign w:val="superscript"/>
                    </w:rPr>
                    <w:t xml:space="preserve">(5)</w:t>
                  </w:r>
                </w:p>
              </w:tc>
              <w:tc>
                <w:tcPr>
                  <w:tcW w:w="2324" w:type="dxa"/>
                  <w:vAlign w:val="center"/>
                </w:tcPr>
                <w:p w14:paraId="6940AB4A" w14:textId="77777777" w:rsidR="00E21611" w:rsidRPr="00927455" w:rsidRDefault="00E21611" w:rsidP="00F93AB4">
                  <w:pPr>
                    <w:rPr>
                      <w:b/>
                      <w:sz w:val="18"/>
                      <w:szCs w:val="18"/>
                    </w:rPr>
                  </w:pPr>
                  <w:r>
                    <w:rPr>
                      <w:b/>
                      <w:sz w:val="18"/>
                    </w:rPr>
                    <w:t xml:space="preserve">Conditions</w:t>
                  </w:r>
                </w:p>
              </w:tc>
              <w:tc>
                <w:tcPr>
                  <w:tcW w:w="1191" w:type="dxa"/>
                </w:tcPr>
                <w:p w14:paraId="70F82A18" w14:textId="77777777" w:rsidR="00E21611" w:rsidRPr="00927455" w:rsidRDefault="00E21611" w:rsidP="00F93AB4">
                  <w:pPr>
                    <w:jc w:val="center"/>
                    <w:rPr>
                      <w:b/>
                      <w:sz w:val="18"/>
                      <w:szCs w:val="18"/>
                    </w:rPr>
                  </w:pPr>
                </w:p>
              </w:tc>
              <w:tc>
                <w:tcPr>
                  <w:tcW w:w="1191" w:type="dxa"/>
                </w:tcPr>
                <w:p w14:paraId="7B73D05A" w14:textId="77777777" w:rsidR="00E21611" w:rsidRPr="00927455" w:rsidRDefault="00E21611" w:rsidP="00F93AB4">
                  <w:pPr>
                    <w:jc w:val="center"/>
                    <w:rPr>
                      <w:b/>
                      <w:sz w:val="18"/>
                      <w:szCs w:val="18"/>
                    </w:rPr>
                  </w:pPr>
                </w:p>
              </w:tc>
              <w:tc>
                <w:tcPr>
                  <w:tcW w:w="794" w:type="dxa"/>
                </w:tcPr>
                <w:p w14:paraId="250D13CB" w14:textId="77777777" w:rsidR="00E21611" w:rsidRPr="00927455" w:rsidRDefault="00E21611" w:rsidP="00F93AB4">
                  <w:pPr>
                    <w:jc w:val="center"/>
                    <w:rPr>
                      <w:b/>
                      <w:sz w:val="18"/>
                      <w:szCs w:val="18"/>
                    </w:rPr>
                  </w:pPr>
                </w:p>
              </w:tc>
              <w:tc>
                <w:tcPr>
                  <w:tcW w:w="794" w:type="dxa"/>
                </w:tcPr>
                <w:p w14:paraId="01BD1968" w14:textId="77777777" w:rsidR="00E21611" w:rsidRPr="00927455" w:rsidRDefault="00E21611" w:rsidP="00F93AB4">
                  <w:pPr>
                    <w:jc w:val="center"/>
                    <w:rPr>
                      <w:b/>
                      <w:sz w:val="18"/>
                      <w:szCs w:val="18"/>
                    </w:rPr>
                  </w:pPr>
                </w:p>
              </w:tc>
            </w:tr>
            <w:tr w:rsidR="008A5C17" w:rsidRPr="00927455" w14:paraId="31CB38AF" w14:textId="77777777" w:rsidTr="00F93AB4">
              <w:tc>
                <w:tcPr>
                  <w:tcW w:w="3345" w:type="dxa"/>
                  <w:gridSpan w:val="2"/>
                  <w:tcMar>
                    <w:left w:w="28" w:type="dxa"/>
                    <w:right w:w="28" w:type="dxa"/>
                  </w:tcMar>
                  <w:vAlign w:val="center"/>
                </w:tcPr>
                <w:p w14:paraId="48C768A4" w14:textId="77777777" w:rsidR="00E21611" w:rsidRPr="00927455" w:rsidRDefault="00E21611" w:rsidP="00F93AB4">
                  <w:pPr>
                    <w:rPr>
                      <w:sz w:val="18"/>
                      <w:szCs w:val="18"/>
                    </w:rPr>
                  </w:pPr>
                  <w:r>
                    <w:rPr>
                      <w:sz w:val="18"/>
                    </w:rPr>
                    <w:t xml:space="preserve">Outer cladding</w:t>
                  </w:r>
                  <w:r>
                    <w:rPr>
                      <w:sz w:val="18"/>
                      <w:vertAlign w:val="superscript"/>
                    </w:rPr>
                    <w:t xml:space="preserve">(6)</w:t>
                  </w:r>
                </w:p>
              </w:tc>
              <w:tc>
                <w:tcPr>
                  <w:tcW w:w="2324" w:type="dxa"/>
                  <w:tcMar>
                    <w:left w:w="28" w:type="dxa"/>
                    <w:right w:w="28" w:type="dxa"/>
                  </w:tcMar>
                  <w:vAlign w:val="center"/>
                </w:tcPr>
                <w:p w14:paraId="25062DA0" w14:textId="77777777" w:rsidR="00E21611" w:rsidRPr="00927455" w:rsidRDefault="00E21611" w:rsidP="00F93AB4">
                  <w:pPr>
                    <w:rPr>
                      <w:sz w:val="18"/>
                      <w:szCs w:val="18"/>
                    </w:rPr>
                  </w:pPr>
                  <w:r>
                    <w:rPr>
                      <w:sz w:val="18"/>
                    </w:rPr>
                    <w:t xml:space="preserve">in final application conditions</w:t>
                  </w:r>
                  <w:r>
                    <w:rPr>
                      <w:sz w:val="18"/>
                      <w:vertAlign w:val="superscript"/>
                    </w:rPr>
                    <w:t xml:space="preserve">(1)</w:t>
                  </w:r>
                </w:p>
              </w:tc>
              <w:tc>
                <w:tcPr>
                  <w:tcW w:w="1191" w:type="dxa"/>
                  <w:tcMar>
                    <w:left w:w="28" w:type="dxa"/>
                    <w:right w:w="28" w:type="dxa"/>
                  </w:tcMar>
                  <w:vAlign w:val="center"/>
                </w:tcPr>
                <w:p w14:paraId="791128FD" w14:textId="77777777" w:rsidR="00E21611" w:rsidRPr="00927455" w:rsidRDefault="00E21611" w:rsidP="00F93AB4">
                  <w:pPr>
                    <w:jc w:val="center"/>
                    <w:rPr>
                      <w:sz w:val="18"/>
                      <w:szCs w:val="18"/>
                    </w:rPr>
                  </w:pPr>
                  <w:r>
                    <w:rPr>
                      <w:sz w:val="18"/>
                    </w:rPr>
                    <w:t xml:space="preserve">A2-s3, d0</w:t>
                  </w:r>
                </w:p>
              </w:tc>
              <w:tc>
                <w:tcPr>
                  <w:tcW w:w="1191" w:type="dxa"/>
                  <w:tcMar>
                    <w:left w:w="28" w:type="dxa"/>
                    <w:right w:w="28" w:type="dxa"/>
                  </w:tcMar>
                  <w:vAlign w:val="center"/>
                </w:tcPr>
                <w:p w14:paraId="225E7842" w14:textId="77777777" w:rsidR="00E21611" w:rsidRPr="00927455" w:rsidRDefault="00E21611" w:rsidP="00F93AB4">
                  <w:pPr>
                    <w:jc w:val="center"/>
                    <w:rPr>
                      <w:sz w:val="18"/>
                      <w:szCs w:val="18"/>
                    </w:rPr>
                  </w:pPr>
                  <w:r>
                    <w:rPr>
                      <w:sz w:val="18"/>
                    </w:rPr>
                    <w:t xml:space="preserve">B-s3, d1</w:t>
                  </w:r>
                </w:p>
              </w:tc>
              <w:tc>
                <w:tcPr>
                  <w:tcW w:w="794" w:type="dxa"/>
                  <w:tcMar>
                    <w:left w:w="28" w:type="dxa"/>
                    <w:right w:w="28" w:type="dxa"/>
                  </w:tcMar>
                  <w:vAlign w:val="center"/>
                </w:tcPr>
                <w:p w14:paraId="1D3849AE" w14:textId="77777777" w:rsidR="00E21611" w:rsidRPr="00927455" w:rsidRDefault="00E21611" w:rsidP="00F93AB4">
                  <w:pPr>
                    <w:jc w:val="center"/>
                    <w:rPr>
                      <w:sz w:val="18"/>
                      <w:szCs w:val="18"/>
                    </w:rPr>
                  </w:pPr>
                  <w:r>
                    <w:rPr>
                      <w:sz w:val="18"/>
                    </w:rPr>
                    <w:t xml:space="preserve">C-s3, d1</w:t>
                  </w:r>
                </w:p>
              </w:tc>
              <w:tc>
                <w:tcPr>
                  <w:tcW w:w="794" w:type="dxa"/>
                  <w:tcMar>
                    <w:left w:w="28" w:type="dxa"/>
                    <w:right w:w="28" w:type="dxa"/>
                  </w:tcMar>
                  <w:vAlign w:val="center"/>
                </w:tcPr>
                <w:p w14:paraId="136F598D" w14:textId="77777777" w:rsidR="00E21611" w:rsidRPr="00927455" w:rsidRDefault="00E21611" w:rsidP="00F93AB4">
                  <w:pPr>
                    <w:jc w:val="center"/>
                    <w:rPr>
                      <w:sz w:val="18"/>
                      <w:szCs w:val="18"/>
                    </w:rPr>
                  </w:pPr>
                  <w:r>
                    <w:rPr>
                      <w:sz w:val="18"/>
                    </w:rPr>
                    <w:t xml:space="preserve">D-s3, d1</w:t>
                  </w:r>
                </w:p>
              </w:tc>
            </w:tr>
            <w:tr w:rsidR="008A5C17" w:rsidRPr="00927455" w14:paraId="78F1D77B" w14:textId="77777777" w:rsidTr="00F93AB4">
              <w:tc>
                <w:tcPr>
                  <w:tcW w:w="1190" w:type="dxa"/>
                  <w:vMerge w:val="restart"/>
                  <w:tcMar>
                    <w:left w:w="28" w:type="dxa"/>
                    <w:right w:w="28" w:type="dxa"/>
                  </w:tcMar>
                  <w:vAlign w:val="center"/>
                </w:tcPr>
                <w:p w14:paraId="5C4A6FD5" w14:textId="77777777" w:rsidR="00E21611" w:rsidRPr="00927455" w:rsidRDefault="00E21611" w:rsidP="00F93AB4">
                  <w:pPr>
                    <w:rPr>
                      <w:sz w:val="18"/>
                      <w:szCs w:val="18"/>
                    </w:rPr>
                  </w:pPr>
                  <w:r>
                    <w:rPr>
                      <w:sz w:val="18"/>
                    </w:rPr>
                    <w:t xml:space="preserve">Essential components</w:t>
                  </w:r>
                  <w:r>
                    <w:rPr>
                      <w:sz w:val="18"/>
                      <w:vertAlign w:val="superscript"/>
                    </w:rPr>
                    <w:t xml:space="preserve">(3)</w:t>
                  </w:r>
                </w:p>
              </w:tc>
              <w:tc>
                <w:tcPr>
                  <w:tcW w:w="2155" w:type="dxa"/>
                  <w:tcMar>
                    <w:left w:w="28" w:type="dxa"/>
                    <w:right w:w="28" w:type="dxa"/>
                  </w:tcMar>
                  <w:vAlign w:val="center"/>
                </w:tcPr>
                <w:p w14:paraId="2EB12B8D" w14:textId="77777777" w:rsidR="00E21611" w:rsidRPr="00927455" w:rsidRDefault="00E21611" w:rsidP="00F93AB4">
                  <w:pPr>
                    <w:rPr>
                      <w:sz w:val="18"/>
                      <w:szCs w:val="18"/>
                    </w:rPr>
                  </w:pPr>
                  <w:r>
                    <w:rPr>
                      <w:sz w:val="18"/>
                    </w:rPr>
                    <w:t xml:space="preserve">All, except for outer cladding and studs of the support structure of the façade</w:t>
                  </w:r>
                </w:p>
              </w:tc>
              <w:tc>
                <w:tcPr>
                  <w:tcW w:w="2324" w:type="dxa"/>
                  <w:tcMar>
                    <w:left w:w="28" w:type="dxa"/>
                    <w:right w:w="28" w:type="dxa"/>
                  </w:tcMar>
                  <w:vAlign w:val="center"/>
                </w:tcPr>
                <w:p w14:paraId="5DE08CA6" w14:textId="77777777" w:rsidR="00E21611" w:rsidRPr="00927455" w:rsidRDefault="00E21611" w:rsidP="00F93AB4">
                  <w:pPr>
                    <w:rPr>
                      <w:sz w:val="18"/>
                      <w:szCs w:val="18"/>
                      <w:vertAlign w:val="superscript"/>
                    </w:rPr>
                  </w:pPr>
                  <w:r>
                    <w:rPr>
                      <w:sz w:val="18"/>
                    </w:rPr>
                    <w:t xml:space="preserve">Assessed separately</w:t>
                  </w:r>
                  <w:r>
                    <w:rPr>
                      <w:sz w:val="18"/>
                      <w:vertAlign w:val="superscript"/>
                    </w:rPr>
                    <w:t xml:space="preserve">(2)</w:t>
                  </w:r>
                </w:p>
                <w:p w14:paraId="0A80A0A3" w14:textId="77777777" w:rsidR="00E21611" w:rsidRPr="00927455" w:rsidRDefault="00E21611" w:rsidP="00F93AB4">
                  <w:pPr>
                    <w:rPr>
                      <w:sz w:val="18"/>
                      <w:szCs w:val="18"/>
                    </w:rPr>
                  </w:pPr>
                  <w:r>
                    <w:rPr>
                      <w:sz w:val="18"/>
                    </w:rPr>
                    <w:t xml:space="preserve">Not fully protected from fire</w:t>
                  </w:r>
                  <w:r>
                    <w:rPr>
                      <w:sz w:val="18"/>
                      <w:vertAlign w:val="superscript"/>
                    </w:rPr>
                    <w:t xml:space="preserve">(4)</w:t>
                  </w:r>
                </w:p>
              </w:tc>
              <w:tc>
                <w:tcPr>
                  <w:tcW w:w="1191" w:type="dxa"/>
                  <w:tcMar>
                    <w:left w:w="28" w:type="dxa"/>
                    <w:right w:w="28" w:type="dxa"/>
                  </w:tcMar>
                  <w:vAlign w:val="center"/>
                </w:tcPr>
                <w:p w14:paraId="039F4903" w14:textId="77777777" w:rsidR="00E21611" w:rsidRPr="00927455" w:rsidRDefault="00E21611" w:rsidP="00F93AB4">
                  <w:pPr>
                    <w:jc w:val="center"/>
                    <w:rPr>
                      <w:sz w:val="18"/>
                      <w:szCs w:val="18"/>
                    </w:rPr>
                  </w:pPr>
                  <w:r>
                    <w:rPr>
                      <w:sz w:val="18"/>
                    </w:rPr>
                    <w:t xml:space="preserve">A2-s3, d0</w:t>
                  </w:r>
                </w:p>
              </w:tc>
              <w:tc>
                <w:tcPr>
                  <w:tcW w:w="1191" w:type="dxa"/>
                  <w:tcMar>
                    <w:left w:w="28" w:type="dxa"/>
                    <w:right w:w="28" w:type="dxa"/>
                  </w:tcMar>
                  <w:vAlign w:val="center"/>
                </w:tcPr>
                <w:p w14:paraId="10C0A99F" w14:textId="77777777" w:rsidR="00E21611" w:rsidRPr="00927455" w:rsidRDefault="00E21611" w:rsidP="00F93AB4">
                  <w:pPr>
                    <w:jc w:val="center"/>
                    <w:rPr>
                      <w:sz w:val="18"/>
                      <w:szCs w:val="18"/>
                    </w:rPr>
                  </w:pPr>
                  <w:r>
                    <w:rPr>
                      <w:sz w:val="18"/>
                    </w:rPr>
                    <w:t xml:space="preserve">A2-s3, d0</w:t>
                  </w:r>
                </w:p>
                <w:p w14:paraId="4A37EEB6" w14:textId="77777777" w:rsidR="00E21611" w:rsidRPr="00927455" w:rsidRDefault="00E21611" w:rsidP="00F93AB4">
                  <w:pPr>
                    <w:jc w:val="center"/>
                    <w:rPr>
                      <w:b/>
                      <w:i/>
                      <w:sz w:val="18"/>
                      <w:szCs w:val="18"/>
                    </w:rPr>
                  </w:pPr>
                  <w:r>
                    <w:rPr>
                      <w:b/>
                      <w:i/>
                      <w:sz w:val="18"/>
                    </w:rPr>
                    <w:t xml:space="preserve">OR</w:t>
                  </w:r>
                </w:p>
                <w:p w14:paraId="5ECD8D90" w14:textId="77777777" w:rsidR="00E21611" w:rsidRPr="00927455" w:rsidRDefault="00E21611" w:rsidP="00F93AB4">
                  <w:pPr>
                    <w:jc w:val="center"/>
                    <w:rPr>
                      <w:sz w:val="18"/>
                      <w:szCs w:val="18"/>
                    </w:rPr>
                  </w:pPr>
                  <w:r>
                    <w:rPr>
                      <w:sz w:val="18"/>
                    </w:rPr>
                    <w:t xml:space="preserve">E if the type of solutions</w:t>
                  </w:r>
                  <w:r>
                    <w:rPr>
                      <w:sz w:val="18"/>
                      <w:vertAlign w:val="superscript"/>
                    </w:rPr>
                    <w:t xml:space="preserve">(7)</w:t>
                  </w:r>
                </w:p>
              </w:tc>
              <w:tc>
                <w:tcPr>
                  <w:tcW w:w="1588" w:type="dxa"/>
                  <w:gridSpan w:val="2"/>
                  <w:tcMar>
                    <w:left w:w="28" w:type="dxa"/>
                    <w:right w:w="28" w:type="dxa"/>
                  </w:tcMar>
                  <w:vAlign w:val="center"/>
                </w:tcPr>
                <w:p w14:paraId="0EBCB82A" w14:textId="77777777" w:rsidR="00E21611" w:rsidRPr="00927455" w:rsidRDefault="00E21611" w:rsidP="00F93AB4">
                  <w:pPr>
                    <w:jc w:val="center"/>
                    <w:rPr>
                      <w:sz w:val="18"/>
                      <w:szCs w:val="18"/>
                    </w:rPr>
                  </w:pPr>
                  <w:r>
                    <w:rPr>
                      <w:sz w:val="18"/>
                    </w:rPr>
                    <w:t xml:space="preserve">E</w:t>
                  </w:r>
                </w:p>
              </w:tc>
            </w:tr>
            <w:tr w:rsidR="008A5C17" w:rsidRPr="00927455" w14:paraId="3D59F8EE" w14:textId="77777777" w:rsidTr="00F93AB4">
              <w:tc>
                <w:tcPr>
                  <w:tcW w:w="1190" w:type="dxa"/>
                  <w:vMerge/>
                  <w:tcMar>
                    <w:left w:w="28" w:type="dxa"/>
                    <w:right w:w="28" w:type="dxa"/>
                  </w:tcMar>
                  <w:vAlign w:val="center"/>
                </w:tcPr>
                <w:p w14:paraId="70E47AAC" w14:textId="77777777" w:rsidR="00E21611" w:rsidRPr="00927455" w:rsidRDefault="00E21611" w:rsidP="00F93AB4">
                  <w:pPr>
                    <w:rPr>
                      <w:b/>
                      <w:sz w:val="18"/>
                      <w:szCs w:val="18"/>
                    </w:rPr>
                  </w:pPr>
                </w:p>
              </w:tc>
              <w:tc>
                <w:tcPr>
                  <w:tcW w:w="2155" w:type="dxa"/>
                  <w:tcMar>
                    <w:left w:w="28" w:type="dxa"/>
                    <w:right w:w="28" w:type="dxa"/>
                  </w:tcMar>
                  <w:vAlign w:val="center"/>
                </w:tcPr>
                <w:p w14:paraId="08431565" w14:textId="77777777" w:rsidR="00E21611" w:rsidRPr="00927455" w:rsidRDefault="00E21611" w:rsidP="00F93AB4">
                  <w:pPr>
                    <w:rPr>
                      <w:sz w:val="18"/>
                      <w:szCs w:val="18"/>
                    </w:rPr>
                  </w:pPr>
                  <w:r>
                    <w:rPr>
                      <w:sz w:val="18"/>
                    </w:rPr>
                    <w:t xml:space="preserve">Studs of the support structure of the façade</w:t>
                  </w:r>
                </w:p>
              </w:tc>
              <w:tc>
                <w:tcPr>
                  <w:tcW w:w="2324" w:type="dxa"/>
                  <w:tcMar>
                    <w:left w:w="28" w:type="dxa"/>
                    <w:right w:w="28" w:type="dxa"/>
                  </w:tcMar>
                  <w:vAlign w:val="center"/>
                </w:tcPr>
                <w:p w14:paraId="10986F61" w14:textId="77777777" w:rsidR="00E21611" w:rsidRPr="00927455" w:rsidRDefault="00E21611" w:rsidP="00F93AB4">
                  <w:pPr>
                    <w:rPr>
                      <w:sz w:val="18"/>
                      <w:szCs w:val="18"/>
                      <w:vertAlign w:val="superscript"/>
                    </w:rPr>
                  </w:pPr>
                  <w:r>
                    <w:rPr>
                      <w:sz w:val="18"/>
                    </w:rPr>
                    <w:t xml:space="preserve">Assessed separately</w:t>
                  </w:r>
                  <w:r>
                    <w:rPr>
                      <w:sz w:val="18"/>
                      <w:vertAlign w:val="superscript"/>
                    </w:rPr>
                    <w:t xml:space="preserve">(2)</w:t>
                  </w:r>
                </w:p>
                <w:p w14:paraId="42F58BBE" w14:textId="77777777" w:rsidR="00E21611" w:rsidRPr="00927455" w:rsidRDefault="00E21611" w:rsidP="00F93AB4">
                  <w:pPr>
                    <w:rPr>
                      <w:sz w:val="18"/>
                      <w:szCs w:val="18"/>
                    </w:rPr>
                  </w:pPr>
                  <w:r>
                    <w:rPr>
                      <w:sz w:val="18"/>
                    </w:rPr>
                    <w:t xml:space="preserve">Not fully protected from fire</w:t>
                  </w:r>
                  <w:r>
                    <w:rPr>
                      <w:sz w:val="18"/>
                      <w:vertAlign w:val="superscript"/>
                    </w:rPr>
                    <w:t xml:space="preserve">(4)</w:t>
                  </w:r>
                </w:p>
              </w:tc>
              <w:tc>
                <w:tcPr>
                  <w:tcW w:w="1191" w:type="dxa"/>
                  <w:tcMar>
                    <w:left w:w="28" w:type="dxa"/>
                    <w:right w:w="28" w:type="dxa"/>
                  </w:tcMar>
                  <w:vAlign w:val="center"/>
                </w:tcPr>
                <w:p w14:paraId="60FED801" w14:textId="77777777" w:rsidR="00E21611" w:rsidRPr="00927455" w:rsidRDefault="00E21611" w:rsidP="00F93AB4">
                  <w:pPr>
                    <w:jc w:val="center"/>
                    <w:rPr>
                      <w:sz w:val="18"/>
                      <w:szCs w:val="18"/>
                    </w:rPr>
                  </w:pPr>
                  <w:r>
                    <w:rPr>
                      <w:sz w:val="18"/>
                    </w:rPr>
                    <w:t xml:space="preserve">A1</w:t>
                  </w:r>
                </w:p>
              </w:tc>
              <w:tc>
                <w:tcPr>
                  <w:tcW w:w="1191" w:type="dxa"/>
                  <w:tcMar>
                    <w:left w:w="28" w:type="dxa"/>
                    <w:right w:w="28" w:type="dxa"/>
                  </w:tcMar>
                  <w:vAlign w:val="center"/>
                </w:tcPr>
                <w:p w14:paraId="2BB1925B" w14:textId="77777777" w:rsidR="00E21611" w:rsidRPr="00927455" w:rsidRDefault="00E21611" w:rsidP="00F93AB4">
                  <w:pPr>
                    <w:jc w:val="center"/>
                    <w:rPr>
                      <w:sz w:val="18"/>
                      <w:szCs w:val="18"/>
                    </w:rPr>
                  </w:pPr>
                  <w:r>
                    <w:rPr>
                      <w:sz w:val="18"/>
                    </w:rPr>
                    <w:t xml:space="preserve">A1</w:t>
                  </w:r>
                </w:p>
                <w:p w14:paraId="5648676D" w14:textId="77777777" w:rsidR="00E21611" w:rsidRPr="00927455" w:rsidRDefault="00E21611" w:rsidP="00F93AB4">
                  <w:pPr>
                    <w:jc w:val="center"/>
                    <w:rPr>
                      <w:b/>
                      <w:i/>
                      <w:sz w:val="18"/>
                      <w:szCs w:val="18"/>
                    </w:rPr>
                  </w:pPr>
                  <w:r>
                    <w:rPr>
                      <w:b/>
                      <w:i/>
                      <w:sz w:val="18"/>
                    </w:rPr>
                    <w:t xml:space="preserve">OR</w:t>
                  </w:r>
                </w:p>
                <w:p w14:paraId="32B4AD8B" w14:textId="77777777" w:rsidR="00E21611" w:rsidRPr="00927455" w:rsidRDefault="00E21611" w:rsidP="00F93AB4">
                  <w:pPr>
                    <w:jc w:val="center"/>
                    <w:rPr>
                      <w:sz w:val="18"/>
                      <w:szCs w:val="18"/>
                    </w:rPr>
                  </w:pPr>
                  <w:r>
                    <w:rPr>
                      <w:sz w:val="18"/>
                    </w:rPr>
                    <w:t xml:space="preserve">Wood</w:t>
                  </w:r>
                </w:p>
              </w:tc>
              <w:tc>
                <w:tcPr>
                  <w:tcW w:w="1588" w:type="dxa"/>
                  <w:gridSpan w:val="2"/>
                  <w:tcMar>
                    <w:left w:w="28" w:type="dxa"/>
                    <w:right w:w="28" w:type="dxa"/>
                  </w:tcMar>
                  <w:vAlign w:val="center"/>
                </w:tcPr>
                <w:p w14:paraId="58728B61" w14:textId="77777777" w:rsidR="00E21611" w:rsidRPr="00927455" w:rsidRDefault="00E21611" w:rsidP="00F93AB4">
                  <w:pPr>
                    <w:jc w:val="center"/>
                    <w:rPr>
                      <w:sz w:val="18"/>
                      <w:szCs w:val="18"/>
                    </w:rPr>
                  </w:pPr>
                  <w:r>
                    <w:rPr>
                      <w:sz w:val="18"/>
                    </w:rPr>
                    <w:t xml:space="preserve">/</w:t>
                  </w:r>
                </w:p>
              </w:tc>
            </w:tr>
            <w:tr w:rsidR="008A5C17" w:rsidRPr="00927455" w14:paraId="543B053B" w14:textId="77777777" w:rsidTr="00F93AB4">
              <w:tc>
                <w:tcPr>
                  <w:tcW w:w="1190" w:type="dxa"/>
                  <w:vMerge/>
                  <w:tcMar>
                    <w:left w:w="28" w:type="dxa"/>
                    <w:right w:w="28" w:type="dxa"/>
                  </w:tcMar>
                  <w:vAlign w:val="center"/>
                </w:tcPr>
                <w:p w14:paraId="3FAFA37E" w14:textId="77777777" w:rsidR="00E21611" w:rsidRPr="00927455" w:rsidRDefault="00E21611" w:rsidP="00F93AB4">
                  <w:pPr>
                    <w:rPr>
                      <w:b/>
                      <w:sz w:val="18"/>
                      <w:szCs w:val="18"/>
                    </w:rPr>
                  </w:pPr>
                </w:p>
              </w:tc>
              <w:tc>
                <w:tcPr>
                  <w:tcW w:w="2155" w:type="dxa"/>
                  <w:tcMar>
                    <w:left w:w="28" w:type="dxa"/>
                    <w:right w:w="28" w:type="dxa"/>
                  </w:tcMar>
                  <w:vAlign w:val="center"/>
                </w:tcPr>
                <w:p w14:paraId="501FFB3B" w14:textId="77777777" w:rsidR="00E21611" w:rsidRPr="00927455" w:rsidRDefault="00E21611" w:rsidP="00F93AB4">
                  <w:pPr>
                    <w:rPr>
                      <w:sz w:val="18"/>
                      <w:szCs w:val="18"/>
                    </w:rPr>
                  </w:pPr>
                  <w:r>
                    <w:rPr>
                      <w:sz w:val="18"/>
                    </w:rPr>
                    <w:t xml:space="preserve">All, except outer cladding</w:t>
                  </w:r>
                </w:p>
              </w:tc>
              <w:tc>
                <w:tcPr>
                  <w:tcW w:w="2324" w:type="dxa"/>
                  <w:tcMar>
                    <w:left w:w="28" w:type="dxa"/>
                    <w:right w:w="28" w:type="dxa"/>
                  </w:tcMar>
                  <w:vAlign w:val="center"/>
                </w:tcPr>
                <w:p w14:paraId="75F5D3D5" w14:textId="77777777" w:rsidR="00E21611" w:rsidRPr="00927455" w:rsidRDefault="00E21611" w:rsidP="00F93AB4">
                  <w:pPr>
                    <w:rPr>
                      <w:sz w:val="18"/>
                      <w:szCs w:val="18"/>
                    </w:rPr>
                  </w:pPr>
                  <w:r>
                    <w:rPr>
                      <w:sz w:val="18"/>
                    </w:rPr>
                    <w:t xml:space="preserve">Assessed separately</w:t>
                  </w:r>
                  <w:r>
                    <w:rPr>
                      <w:sz w:val="18"/>
                      <w:vertAlign w:val="superscript"/>
                    </w:rPr>
                    <w:t xml:space="preserve">(2)</w:t>
                  </w:r>
                  <w:r>
                    <w:rPr>
                      <w:sz w:val="18"/>
                    </w:rPr>
                    <w:t xml:space="preserve"> </w:t>
                  </w:r>
                </w:p>
                <w:p w14:paraId="72CC8491" w14:textId="77777777" w:rsidR="00E21611" w:rsidRPr="00927455" w:rsidRDefault="00E21611" w:rsidP="00F93AB4">
                  <w:pPr>
                    <w:rPr>
                      <w:sz w:val="18"/>
                      <w:szCs w:val="18"/>
                    </w:rPr>
                  </w:pPr>
                  <w:r>
                    <w:rPr>
                      <w:sz w:val="18"/>
                    </w:rPr>
                    <w:t xml:space="preserve">Fully protected from the fire</w:t>
                  </w:r>
                  <w:r>
                    <w:rPr>
                      <w:sz w:val="18"/>
                      <w:vertAlign w:val="superscript"/>
                    </w:rPr>
                    <w:t xml:space="preserve">(4)</w:t>
                  </w:r>
                </w:p>
              </w:tc>
              <w:tc>
                <w:tcPr>
                  <w:tcW w:w="1191" w:type="dxa"/>
                  <w:tcMar>
                    <w:left w:w="28" w:type="dxa"/>
                    <w:right w:w="28" w:type="dxa"/>
                  </w:tcMar>
                  <w:vAlign w:val="center"/>
                </w:tcPr>
                <w:p w14:paraId="2B06A7FC" w14:textId="77777777" w:rsidR="00E21611" w:rsidRPr="00927455" w:rsidRDefault="00E21611" w:rsidP="00F93AB4">
                  <w:pPr>
                    <w:jc w:val="center"/>
                    <w:rPr>
                      <w:sz w:val="18"/>
                      <w:szCs w:val="18"/>
                    </w:rPr>
                  </w:pPr>
                  <w:r>
                    <w:rPr>
                      <w:sz w:val="18"/>
                    </w:rPr>
                    <w:t xml:space="preserve">E if the type of solution</w:t>
                  </w:r>
                  <w:r>
                    <w:rPr>
                      <w:sz w:val="18"/>
                      <w:vertAlign w:val="superscript"/>
                    </w:rPr>
                    <w:t xml:space="preserve">(8)</w:t>
                  </w:r>
                </w:p>
              </w:tc>
              <w:tc>
                <w:tcPr>
                  <w:tcW w:w="1191" w:type="dxa"/>
                  <w:tcMar>
                    <w:left w:w="28" w:type="dxa"/>
                    <w:right w:w="28" w:type="dxa"/>
                  </w:tcMar>
                  <w:vAlign w:val="center"/>
                </w:tcPr>
                <w:p w14:paraId="39674B62" w14:textId="77777777" w:rsidR="00E21611" w:rsidRPr="00927455" w:rsidRDefault="00E21611" w:rsidP="00F93AB4">
                  <w:pPr>
                    <w:jc w:val="center"/>
                    <w:rPr>
                      <w:sz w:val="18"/>
                      <w:szCs w:val="18"/>
                    </w:rPr>
                  </w:pPr>
                  <w:r>
                    <w:rPr>
                      <w:sz w:val="18"/>
                    </w:rPr>
                    <w:t xml:space="preserve">E</w:t>
                  </w:r>
                </w:p>
              </w:tc>
              <w:tc>
                <w:tcPr>
                  <w:tcW w:w="1588" w:type="dxa"/>
                  <w:gridSpan w:val="2"/>
                  <w:tcMar>
                    <w:left w:w="28" w:type="dxa"/>
                    <w:right w:w="28" w:type="dxa"/>
                  </w:tcMar>
                  <w:vAlign w:val="center"/>
                </w:tcPr>
                <w:p w14:paraId="4AC3CA77" w14:textId="77777777" w:rsidR="00E21611" w:rsidRPr="00927455" w:rsidRDefault="00E21611" w:rsidP="00F93AB4">
                  <w:pPr>
                    <w:jc w:val="center"/>
                    <w:rPr>
                      <w:sz w:val="18"/>
                      <w:szCs w:val="18"/>
                    </w:rPr>
                  </w:pPr>
                  <w:r>
                    <w:rPr>
                      <w:sz w:val="18"/>
                    </w:rPr>
                    <w:t xml:space="preserve">/</w:t>
                  </w:r>
                </w:p>
              </w:tc>
            </w:tr>
            <w:tr w:rsidR="008A5C17" w:rsidRPr="00927455" w14:paraId="1CBECB5C" w14:textId="77777777" w:rsidTr="00F93AB4">
              <w:tc>
                <w:tcPr>
                  <w:tcW w:w="3345" w:type="dxa"/>
                  <w:gridSpan w:val="2"/>
                  <w:tcMar>
                    <w:left w:w="28" w:type="dxa"/>
                    <w:right w:w="28" w:type="dxa"/>
                  </w:tcMar>
                  <w:vAlign w:val="center"/>
                </w:tcPr>
                <w:p w14:paraId="774485A4" w14:textId="77777777" w:rsidR="00E21611" w:rsidRPr="00927455" w:rsidRDefault="00E21611" w:rsidP="00F93AB4">
                  <w:pPr>
                    <w:rPr>
                      <w:sz w:val="18"/>
                      <w:szCs w:val="18"/>
                    </w:rPr>
                  </w:pPr>
                  <w:r>
                    <w:rPr>
                      <w:sz w:val="18"/>
                    </w:rPr>
                    <w:t xml:space="preserve">Non-essential components</w:t>
                  </w:r>
                  <w:r>
                    <w:rPr>
                      <w:sz w:val="18"/>
                      <w:vertAlign w:val="superscript"/>
                    </w:rPr>
                    <w:t xml:space="preserve">(3)</w:t>
                  </w:r>
                </w:p>
              </w:tc>
              <w:tc>
                <w:tcPr>
                  <w:tcW w:w="2324" w:type="dxa"/>
                  <w:tcMar>
                    <w:left w:w="28" w:type="dxa"/>
                    <w:right w:w="28" w:type="dxa"/>
                  </w:tcMar>
                  <w:vAlign w:val="center"/>
                </w:tcPr>
                <w:p w14:paraId="1AC7E349" w14:textId="77777777" w:rsidR="00E21611" w:rsidRPr="00927455" w:rsidRDefault="00E21611" w:rsidP="00F93AB4">
                  <w:pPr>
                    <w:rPr>
                      <w:sz w:val="18"/>
                      <w:szCs w:val="18"/>
                    </w:rPr>
                  </w:pPr>
                  <w:r>
                    <w:rPr>
                      <w:sz w:val="18"/>
                    </w:rPr>
                    <w:t xml:space="preserve">-</w:t>
                  </w:r>
                </w:p>
                <w:p w14:paraId="016720FE" w14:textId="77777777" w:rsidR="00E21611" w:rsidRPr="00927455" w:rsidRDefault="00E21611" w:rsidP="00F93AB4">
                  <w:pPr>
                    <w:rPr>
                      <w:sz w:val="18"/>
                      <w:szCs w:val="18"/>
                    </w:rPr>
                  </w:pPr>
                </w:p>
              </w:tc>
              <w:tc>
                <w:tcPr>
                  <w:tcW w:w="1191" w:type="dxa"/>
                  <w:tcMar>
                    <w:left w:w="28" w:type="dxa"/>
                    <w:right w:w="28" w:type="dxa"/>
                  </w:tcMar>
                  <w:vAlign w:val="center"/>
                </w:tcPr>
                <w:p w14:paraId="6C696FF6" w14:textId="77777777" w:rsidR="00E21611" w:rsidRPr="00927455" w:rsidRDefault="00E21611" w:rsidP="00F93AB4">
                  <w:pPr>
                    <w:jc w:val="center"/>
                    <w:rPr>
                      <w:sz w:val="18"/>
                      <w:szCs w:val="18"/>
                    </w:rPr>
                  </w:pPr>
                  <w:r>
                    <w:rPr>
                      <w:sz w:val="18"/>
                    </w:rPr>
                    <w:t xml:space="preserve">/</w:t>
                  </w:r>
                </w:p>
              </w:tc>
              <w:tc>
                <w:tcPr>
                  <w:tcW w:w="1191" w:type="dxa"/>
                  <w:tcMar>
                    <w:left w:w="28" w:type="dxa"/>
                    <w:right w:w="28" w:type="dxa"/>
                  </w:tcMar>
                  <w:vAlign w:val="center"/>
                </w:tcPr>
                <w:p w14:paraId="23F91958" w14:textId="77777777" w:rsidR="00E21611" w:rsidRPr="00927455" w:rsidRDefault="00E21611" w:rsidP="00F93AB4">
                  <w:pPr>
                    <w:jc w:val="center"/>
                    <w:rPr>
                      <w:sz w:val="18"/>
                      <w:szCs w:val="18"/>
                    </w:rPr>
                  </w:pPr>
                  <w:r>
                    <w:rPr>
                      <w:sz w:val="18"/>
                    </w:rPr>
                    <w:t xml:space="preserve">/</w:t>
                  </w:r>
                </w:p>
              </w:tc>
              <w:tc>
                <w:tcPr>
                  <w:tcW w:w="1588" w:type="dxa"/>
                  <w:gridSpan w:val="2"/>
                  <w:tcMar>
                    <w:left w:w="28" w:type="dxa"/>
                    <w:right w:w="28" w:type="dxa"/>
                  </w:tcMar>
                  <w:vAlign w:val="center"/>
                </w:tcPr>
                <w:p w14:paraId="264E166B" w14:textId="77777777" w:rsidR="00E21611" w:rsidRPr="00927455" w:rsidRDefault="00E21611" w:rsidP="00F93AB4">
                  <w:pPr>
                    <w:jc w:val="center"/>
                    <w:rPr>
                      <w:sz w:val="18"/>
                      <w:szCs w:val="18"/>
                    </w:rPr>
                  </w:pPr>
                  <w:r>
                    <w:rPr>
                      <w:sz w:val="18"/>
                    </w:rPr>
                    <w:t xml:space="preserve">/</w:t>
                  </w:r>
                </w:p>
              </w:tc>
            </w:tr>
            <w:tr w:rsidR="008A5C17" w:rsidRPr="00927455" w14:paraId="36C7B624" w14:textId="77777777" w:rsidTr="00F93AB4">
              <w:tc>
                <w:tcPr>
                  <w:tcW w:w="9639" w:type="dxa"/>
                  <w:gridSpan w:val="7"/>
                </w:tcPr>
                <w:p w14:paraId="5E8C3CA5" w14:textId="77777777" w:rsidR="00E21611" w:rsidRPr="00927455" w:rsidRDefault="00E21611" w:rsidP="00F93AB4">
                  <w:pPr>
                    <w:ind w:left="454" w:hanging="454"/>
                    <w:jc w:val="both"/>
                    <w:rPr>
                      <w:sz w:val="18"/>
                      <w:szCs w:val="18"/>
                    </w:rPr>
                  </w:pPr>
                  <w:r>
                    <w:rPr>
                      <w:sz w:val="18"/>
                    </w:rPr>
                    <w:t xml:space="preserve">H.G.: high-rise buildings</w:t>
                  </w:r>
                </w:p>
                <w:p w14:paraId="44FF76EF" w14:textId="77777777" w:rsidR="00E21611" w:rsidRPr="00927455" w:rsidRDefault="00E21611" w:rsidP="00F93AB4">
                  <w:pPr>
                    <w:ind w:left="454" w:hanging="454"/>
                    <w:jc w:val="both"/>
                    <w:rPr>
                      <w:sz w:val="18"/>
                      <w:szCs w:val="18"/>
                    </w:rPr>
                  </w:pPr>
                  <w:r>
                    <w:rPr>
                      <w:sz w:val="18"/>
                    </w:rPr>
                    <w:t xml:space="preserve">M.G.: mid-rise buildings</w:t>
                  </w:r>
                </w:p>
                <w:p w14:paraId="1782855F" w14:textId="77777777" w:rsidR="00E21611" w:rsidRPr="00927455" w:rsidRDefault="00E21611" w:rsidP="00F93AB4">
                  <w:pPr>
                    <w:ind w:left="454" w:hanging="454"/>
                    <w:jc w:val="both"/>
                    <w:rPr>
                      <w:sz w:val="18"/>
                      <w:szCs w:val="18"/>
                    </w:rPr>
                  </w:pPr>
                  <w:r>
                    <w:rPr>
                      <w:sz w:val="18"/>
                    </w:rPr>
                    <w:t xml:space="preserve">L.G.: low-rise buildings</w:t>
                  </w:r>
                </w:p>
                <w:p w14:paraId="05433920" w14:textId="77777777" w:rsidR="00E21611" w:rsidRPr="00927455" w:rsidRDefault="00E21611" w:rsidP="00F93AB4">
                  <w:pPr>
                    <w:ind w:left="454" w:hanging="454"/>
                    <w:jc w:val="both"/>
                    <w:rPr>
                      <w:sz w:val="18"/>
                      <w:szCs w:val="18"/>
                    </w:rPr>
                  </w:pPr>
                  <w:r>
                    <w:rPr>
                      <w:sz w:val="18"/>
                    </w:rPr>
                    <w:t xml:space="preserve">  </w:t>
                  </w:r>
                  <w:r>
                    <w:rPr>
                      <w:sz w:val="18"/>
                    </w:rPr>
                    <w:t xml:space="preserve">/ no requirements</w:t>
                  </w:r>
                </w:p>
                <w:p w14:paraId="7EF32928"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in other words, including underlying storeys and implementation (see also point 3.4 of Annex 1).</w:t>
                  </w:r>
                  <w:r>
                    <w:rPr>
                      <w:sz w:val="18"/>
                    </w:rPr>
                    <w:t xml:space="preserve"> </w:t>
                  </w:r>
                  <w:r>
                    <w:rPr>
                      <w:sz w:val="18"/>
                    </w:rPr>
                    <w:t xml:space="preserve">However, the underlying storeys should not be assessed when determining the reaction to fire of the outer cladding if they are externally protected by a building element with:</w:t>
                  </w:r>
                </w:p>
                <w:p w14:paraId="517EEDFF" w14:textId="77777777" w:rsidR="00E21611" w:rsidRPr="00927455" w:rsidRDefault="00E21611" w:rsidP="00370EB5">
                  <w:pPr>
                    <w:numPr>
                      <w:ilvl w:val="1"/>
                      <w:numId w:val="4"/>
                    </w:numPr>
                    <w:spacing w:before="57" w:after="57" w:line="230" w:lineRule="atLeast"/>
                    <w:jc w:val="both"/>
                    <w:rPr>
                      <w:sz w:val="18"/>
                      <w:szCs w:val="18"/>
                    </w:rPr>
                  </w:pPr>
                  <w:r>
                    <w:rPr>
                      <w:sz w:val="18"/>
                    </w:rPr>
                    <w:t xml:space="preserve">a fire protection ability of K</w:t>
                  </w:r>
                  <w:r>
                    <w:rPr>
                      <w:sz w:val="18"/>
                      <w:vertAlign w:val="subscript"/>
                    </w:rPr>
                    <w:t xml:space="preserve">2</w:t>
                  </w:r>
                  <w:r>
                    <w:rPr>
                      <w:sz w:val="18"/>
                    </w:rPr>
                    <w:t xml:space="preserve"> 30 or a fire resistance of EI 30 (high-rise buildings);</w:t>
                  </w:r>
                </w:p>
                <w:p w14:paraId="0D7D4341" w14:textId="77777777" w:rsidR="00E21611" w:rsidRPr="00927455" w:rsidRDefault="00E21611" w:rsidP="00370EB5">
                  <w:pPr>
                    <w:numPr>
                      <w:ilvl w:val="1"/>
                      <w:numId w:val="4"/>
                    </w:numPr>
                    <w:spacing w:before="57" w:after="57" w:line="230" w:lineRule="atLeast"/>
                    <w:jc w:val="both"/>
                    <w:rPr>
                      <w:sz w:val="18"/>
                      <w:szCs w:val="18"/>
                    </w:rPr>
                  </w:pPr>
                  <w:r>
                    <w:rPr>
                      <w:sz w:val="18"/>
                    </w:rPr>
                    <w:t xml:space="preserve">a fire protection ability of K</w:t>
                  </w:r>
                  <w:r>
                    <w:rPr>
                      <w:sz w:val="18"/>
                      <w:vertAlign w:val="subscript"/>
                    </w:rPr>
                    <w:t xml:space="preserve">2</w:t>
                  </w:r>
                  <w:r>
                    <w:rPr>
                      <w:sz w:val="18"/>
                    </w:rPr>
                    <w:t xml:space="preserve"> 10 or a fire resistance of EI 15 (low and mid-rise buildings).</w:t>
                  </w:r>
                </w:p>
                <w:p w14:paraId="1989D282"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this means that the effect of the underlying storeys is not assessed for the product as marketed;</w:t>
                  </w:r>
                </w:p>
                <w:p w14:paraId="575D7A0D"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see also the definitions in point 3.1 of Annex 1;</w:t>
                  </w:r>
                </w:p>
                <w:p w14:paraId="382020BC"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fully protected from fire: the essential components are fully protected (along all sides, from both internal and external fire) by a building element with:</w:t>
                  </w:r>
                </w:p>
                <w:p w14:paraId="4394A83C" w14:textId="77777777" w:rsidR="00E21611" w:rsidRPr="00927455" w:rsidRDefault="00E21611" w:rsidP="00370EB5">
                  <w:pPr>
                    <w:numPr>
                      <w:ilvl w:val="1"/>
                      <w:numId w:val="4"/>
                    </w:numPr>
                    <w:spacing w:before="57" w:after="57" w:line="230" w:lineRule="atLeast"/>
                    <w:jc w:val="both"/>
                    <w:rPr>
                      <w:sz w:val="18"/>
                      <w:szCs w:val="18"/>
                    </w:rPr>
                  </w:pPr>
                  <w:r>
                    <w:rPr>
                      <w:sz w:val="18"/>
                    </w:rPr>
                    <w:t xml:space="preserve">a fire protection ability of K</w:t>
                  </w:r>
                  <w:r>
                    <w:rPr>
                      <w:sz w:val="18"/>
                      <w:vertAlign w:val="subscript"/>
                    </w:rPr>
                    <w:t xml:space="preserve">2</w:t>
                  </w:r>
                  <w:r>
                    <w:rPr>
                      <w:sz w:val="18"/>
                    </w:rPr>
                    <w:t xml:space="preserve"> 30 or a fire resistance of EI 30 (high-rise buildings);</w:t>
                  </w:r>
                </w:p>
                <w:p w14:paraId="3906DAC4" w14:textId="77777777" w:rsidR="00E21611" w:rsidRPr="00927455" w:rsidRDefault="00E21611" w:rsidP="00370EB5">
                  <w:pPr>
                    <w:numPr>
                      <w:ilvl w:val="1"/>
                      <w:numId w:val="4"/>
                    </w:numPr>
                    <w:spacing w:before="57" w:after="57" w:line="230" w:lineRule="atLeast"/>
                    <w:jc w:val="both"/>
                    <w:rPr>
                      <w:sz w:val="18"/>
                      <w:szCs w:val="18"/>
                    </w:rPr>
                  </w:pPr>
                  <w:r>
                    <w:rPr>
                      <w:sz w:val="18"/>
                    </w:rPr>
                    <w:t xml:space="preserve">a fire protection ability of K</w:t>
                  </w:r>
                  <w:r>
                    <w:rPr>
                      <w:sz w:val="18"/>
                      <w:vertAlign w:val="subscript"/>
                    </w:rPr>
                    <w:t xml:space="preserve">2</w:t>
                  </w:r>
                  <w:r>
                    <w:rPr>
                      <w:sz w:val="18"/>
                    </w:rPr>
                    <w:t xml:space="preserve"> 10 or a fire resistance of EI 15 (mid-rise buildings).</w:t>
                  </w:r>
                </w:p>
                <w:p w14:paraId="57036A4B"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the requirements do not apply to window or door frames or glazing in the façade.</w:t>
                  </w:r>
                </w:p>
                <w:p w14:paraId="391197F6"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the requirements do not apply to doors, façade decorations, joints or technical equipment in the façade, such as signs, lighting equipment, ventilation grilles, drains, planters or wall penetrations for heating systems, provided that their total visible area is less than 5% of the visible area of the façade in question.</w:t>
                  </w:r>
                </w:p>
                <w:p w14:paraId="72FF949A"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see also point 6.1.2 Type of solutions for mid-rise buildings.</w:t>
                  </w:r>
                </w:p>
                <w:p w14:paraId="51F4C8C9" w14:textId="77777777" w:rsidR="00E21611" w:rsidRPr="00927455" w:rsidRDefault="00E21611" w:rsidP="00370EB5">
                  <w:pPr>
                    <w:numPr>
                      <w:ilvl w:val="0"/>
                      <w:numId w:val="4"/>
                    </w:numPr>
                    <w:spacing w:before="57" w:after="57" w:line="230" w:lineRule="atLeast"/>
                    <w:jc w:val="both"/>
                    <w:rPr>
                      <w:sz w:val="18"/>
                      <w:szCs w:val="18"/>
                    </w:rPr>
                  </w:pPr>
                  <w:r>
                    <w:rPr>
                      <w:sz w:val="18"/>
                    </w:rPr>
                    <w:t xml:space="preserve">see also point 6.1.3 Type of solution for high-rise buildings.</w:t>
                  </w:r>
                </w:p>
              </w:tc>
            </w:tr>
          </w:tbl>
          <w:p w14:paraId="26A344DE" w14:textId="77777777" w:rsidR="00E21611" w:rsidRPr="00927455" w:rsidRDefault="00E21611" w:rsidP="00F93AB4">
            <w:pPr>
              <w:jc w:val="both"/>
              <w:rPr>
                <w:sz w:val="18"/>
                <w:szCs w:val="18"/>
                <w:lang w:val="nl-BE"/>
              </w:rPr>
            </w:pPr>
          </w:p>
        </w:tc>
      </w:tr>
    </w:tbl>
    <w:tbl>
      <w:tblPr>
        <w:tblStyle w:val="Grilledutableau"/>
        <w:tblW w:w="0" w:type="auto"/>
        <w:tblLook w:val="04A0" w:firstRow="1" w:lastRow="0" w:firstColumn="1" w:lastColumn="0" w:noHBand="0" w:noVBand="1"/>
      </w:tblPr>
      <w:tblGrid>
        <w:gridCol w:w="4538"/>
        <w:gridCol w:w="4524"/>
      </w:tblGrid>
      <w:tr w:rsidR="008A5C17" w:rsidRPr="00927455" w14:paraId="25588978" w14:textId="77777777" w:rsidTr="004F667F">
        <w:tc>
          <w:tcPr>
            <w:tcW w:w="4538" w:type="dxa"/>
          </w:tcPr>
          <w:p w14:paraId="6BBC397B" w14:textId="77777777" w:rsidR="007D77F0" w:rsidRPr="00927455" w:rsidRDefault="007D77F0" w:rsidP="003774D1"/>
          <w:p w14:paraId="2EF6131A" w14:textId="77777777" w:rsidR="00E21611" w:rsidRPr="00927455" w:rsidRDefault="00E21611" w:rsidP="003774D1"/>
        </w:tc>
        <w:tc>
          <w:tcPr>
            <w:tcW w:w="4524" w:type="dxa"/>
          </w:tcPr>
          <w:p w14:paraId="3147AA2F" w14:textId="77777777" w:rsidR="007D77F0" w:rsidRPr="00927455" w:rsidRDefault="007D77F0" w:rsidP="003774D1"/>
        </w:tc>
      </w:tr>
    </w:tbl>
    <w:tbl>
      <w:tblPr>
        <w:tblStyle w:val="Tabelraster4"/>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8A5C17" w:rsidRPr="00CD661C" w14:paraId="0559C8AE" w14:textId="77777777" w:rsidTr="00E21611">
        <w:tc>
          <w:tcPr>
            <w:tcW w:w="9853" w:type="dxa"/>
            <w:tcMar>
              <w:right w:w="0" w:type="dxa"/>
            </w:tcMar>
          </w:tcPr>
          <w:p w14:paraId="19379B9E" w14:textId="77777777" w:rsidR="00E21611" w:rsidRPr="00927455" w:rsidRDefault="00E21611" w:rsidP="00F93AB4">
            <w:pPr>
              <w:jc w:val="both"/>
              <w:rPr>
                <w:sz w:val="18"/>
                <w:szCs w:val="18"/>
                <w:lang w:val="fr-BE"/>
              </w:rPr>
            </w:pPr>
          </w:p>
        </w:tc>
      </w:tr>
    </w:tbl>
    <w:tbl>
      <w:tblPr>
        <w:tblStyle w:val="Grilledutableau"/>
        <w:tblW w:w="0" w:type="auto"/>
        <w:tblLook w:val="04A0" w:firstRow="1" w:lastRow="0" w:firstColumn="1" w:lastColumn="0" w:noHBand="0" w:noVBand="1"/>
      </w:tblPr>
      <w:tblGrid>
        <w:gridCol w:w="4538"/>
      </w:tblGrid>
      <w:tr w:rsidR="00CD661C" w:rsidRPr="00CD661C" w14:paraId="3507A948" w14:textId="77777777" w:rsidTr="004F667F">
        <w:tc>
          <w:tcPr>
            <w:tcW w:w="4538" w:type="dxa"/>
          </w:tcPr>
          <w:p w14:paraId="60746B3D" w14:textId="77777777" w:rsidR="00CD661C" w:rsidRPr="00927455" w:rsidRDefault="00CD661C" w:rsidP="003774D1">
            <w:pPr>
              <w:rPr>
                <w:b/>
              </w:rPr>
            </w:pPr>
            <w:r>
              <w:rPr>
                <w:b/>
              </w:rPr>
              <w:t xml:space="preserve">6.1.2 Type of solutions for mid-rise buildings</w:t>
            </w:r>
          </w:p>
          <w:p w14:paraId="6D42ED8E" w14:textId="77777777" w:rsidR="00CD661C" w:rsidRPr="00927455" w:rsidRDefault="00CD661C" w:rsidP="003774D1">
            <w:pPr>
              <w:rPr>
                <w:b/>
              </w:rPr>
            </w:pPr>
          </w:p>
        </w:tc>
      </w:tr>
      <w:tr w:rsidR="00CD661C" w:rsidRPr="00CD661C" w14:paraId="6B495B32" w14:textId="77777777" w:rsidTr="004F667F">
        <w:tc>
          <w:tcPr>
            <w:tcW w:w="4538" w:type="dxa"/>
          </w:tcPr>
          <w:p w14:paraId="01F61224" w14:textId="77777777" w:rsidR="00CD661C" w:rsidRPr="00927455" w:rsidRDefault="00CD661C" w:rsidP="003774D1">
            <w:r>
              <w:t xml:space="preserve">For mid-rise buildings, the essential components of the façade can be of Class E if the façade meets one of the type of solutions below.</w:t>
            </w:r>
          </w:p>
          <w:p w14:paraId="5822A088" w14:textId="77777777" w:rsidR="00CD661C" w:rsidRPr="00927455" w:rsidRDefault="00CD661C" w:rsidP="003774D1"/>
        </w:tc>
      </w:tr>
      <w:tr w:rsidR="00CD661C" w:rsidRPr="00CD661C" w14:paraId="4401BCD9" w14:textId="77777777" w:rsidTr="004F667F">
        <w:tc>
          <w:tcPr>
            <w:tcW w:w="4538" w:type="dxa"/>
          </w:tcPr>
          <w:p w14:paraId="783C6C18" w14:textId="77777777" w:rsidR="00CD661C" w:rsidRPr="00927455" w:rsidRDefault="00CD661C" w:rsidP="003774D1">
            <w:pPr>
              <w:rPr>
                <w:b/>
              </w:rPr>
            </w:pPr>
            <w:r>
              <w:rPr>
                <w:b/>
              </w:rPr>
              <w:t xml:space="preserve">6.1.2.1</w:t>
            </w:r>
            <w:r>
              <w:rPr>
                <w:b/>
              </w:rPr>
              <w:tab/>
            </w:r>
            <w:r>
              <w:rPr>
                <w:b/>
              </w:rPr>
              <w:t xml:space="preserve">Type of solution for façade with continuous air cavity</w:t>
            </w:r>
          </w:p>
          <w:p w14:paraId="410BDA51" w14:textId="77777777" w:rsidR="00CD661C" w:rsidRPr="00927455" w:rsidRDefault="00CD661C" w:rsidP="003774D1">
            <w:pPr>
              <w:rPr>
                <w:b/>
              </w:rPr>
            </w:pPr>
          </w:p>
        </w:tc>
      </w:tr>
      <w:tr w:rsidR="00CD661C" w:rsidRPr="00CD661C" w14:paraId="60B0B37E" w14:textId="77777777" w:rsidTr="004F667F">
        <w:tc>
          <w:tcPr>
            <w:tcW w:w="4538" w:type="dxa"/>
          </w:tcPr>
          <w:p w14:paraId="11B6B9E2" w14:textId="77777777" w:rsidR="00CD661C" w:rsidRPr="00927455" w:rsidRDefault="00CD661C" w:rsidP="00CD4487">
            <w:r>
              <w:t xml:space="preserve">The insulation cannot be EPS (expanded polystyrene) or XPS (extruded polystyrene).</w:t>
            </w:r>
          </w:p>
          <w:p w14:paraId="2A05DFE8" w14:textId="77777777" w:rsidR="00CD661C" w:rsidRPr="00927455" w:rsidRDefault="00CD661C" w:rsidP="00CD4487"/>
          <w:p w14:paraId="3E6B81BA" w14:textId="77777777" w:rsidR="00CD661C" w:rsidRPr="00927455" w:rsidRDefault="00CD661C" w:rsidP="00CD4487">
            <w:r>
              <w:t xml:space="preserve">A firescreen must be installed at the level of the first and second floor between the first and second storeys.</w:t>
            </w:r>
            <w:r>
              <w:t xml:space="preserve"> </w:t>
            </w:r>
            <w:r>
              <w:t xml:space="preserve">If the vertical distance between this firescreen and ground level is greater than 8 m, one or more firescreens must be added every 8 m.</w:t>
            </w:r>
            <w:r>
              <w:t xml:space="preserve"> </w:t>
            </w:r>
            <w:r>
              <w:t xml:space="preserve">(Drawing 5.2)</w:t>
            </w:r>
          </w:p>
          <w:p w14:paraId="3D5C8A1F" w14:textId="77777777" w:rsidR="00CD661C" w:rsidRPr="00927455" w:rsidRDefault="00CD661C" w:rsidP="00CD4487"/>
          <w:p w14:paraId="222BA107" w14:textId="77777777" w:rsidR="00CD661C" w:rsidRPr="00927455" w:rsidRDefault="00CD661C" w:rsidP="00CD4487">
            <w:r>
              <w:t xml:space="preserve">After the previous firescreen, a firescreen must be installed:</w:t>
            </w:r>
          </w:p>
          <w:p w14:paraId="7ECD543E" w14:textId="77777777" w:rsidR="00CD661C" w:rsidRPr="00927455" w:rsidRDefault="00CD661C" w:rsidP="00CD4487">
            <w:r>
              <w:t xml:space="preserve">- either once every two stories;</w:t>
            </w:r>
          </w:p>
          <w:p w14:paraId="2625D266" w14:textId="77777777" w:rsidR="00CD661C" w:rsidRPr="00927455" w:rsidRDefault="00CD661C" w:rsidP="00CD4487">
            <w:r>
              <w:t xml:space="preserve">- or around every opening.</w:t>
            </w:r>
          </w:p>
        </w:tc>
      </w:tr>
      <w:tr w:rsidR="00CD661C" w:rsidRPr="00CD661C" w14:paraId="141AB2EF" w14:textId="77777777" w:rsidTr="004F667F">
        <w:tc>
          <w:tcPr>
            <w:tcW w:w="4538" w:type="dxa"/>
          </w:tcPr>
          <w:p w14:paraId="75E2D8CA" w14:textId="77777777" w:rsidR="00CD661C" w:rsidRPr="00927455" w:rsidRDefault="00CD661C" w:rsidP="003774D1">
            <w:pPr>
              <w:rPr>
                <w:lang w:val="fr-BE"/>
              </w:rPr>
            </w:pPr>
          </w:p>
        </w:tc>
      </w:tr>
    </w:tbl>
    <w:tbl>
      <w:tblPr>
        <w:tblStyle w:val="Tabelraster32"/>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CD4487" w:rsidRPr="00927455" w14:paraId="352770E8" w14:textId="77777777" w:rsidTr="00F93AB4">
        <w:tc>
          <w:tcPr>
            <w:tcW w:w="1020" w:type="dxa"/>
            <w:tcMar>
              <w:right w:w="0" w:type="dxa"/>
            </w:tcMar>
          </w:tcPr>
          <w:p w14:paraId="5F4F2C6D" w14:textId="77777777" w:rsidR="00CD4487" w:rsidRPr="00927455" w:rsidRDefault="00CD4487" w:rsidP="00F93AB4">
            <w:pPr>
              <w:rPr>
                <w:lang w:val="fr-BE" w:eastAsia="nl-NL"/>
              </w:rPr>
            </w:pPr>
          </w:p>
        </w:tc>
        <w:tc>
          <w:tcPr>
            <w:tcW w:w="8833" w:type="dxa"/>
            <w:tcMar>
              <w:left w:w="0" w:type="dxa"/>
            </w:tcMar>
            <w:vAlign w:val="center"/>
          </w:tcPr>
          <w:p w14:paraId="7B6834E0" w14:textId="77777777" w:rsidR="00CD4487" w:rsidRPr="00927455" w:rsidRDefault="00CD4487" w:rsidP="00F93AB4">
            <w:pPr>
              <w:widowControl w:val="0"/>
              <w:tabs>
                <w:tab w:val="left" w:pos="2880"/>
              </w:tabs>
              <w:contextualSpacing/>
              <w:jc w:val="both"/>
              <w:rPr>
                <w:lang w:val="fr-BE" w:eastAsia="nl-NL"/>
              </w:rPr>
            </w:pPr>
          </w:p>
          <w:p w14:paraId="67C16910" w14:textId="77777777" w:rsidR="00CD4487" w:rsidRPr="00927455" w:rsidRDefault="00CD4487" w:rsidP="00F93AB4">
            <w:pPr>
              <w:widowControl w:val="0"/>
              <w:tabs>
                <w:tab w:val="left" w:pos="2880"/>
              </w:tabs>
              <w:contextualSpacing/>
              <w:jc w:val="both"/>
            </w:pPr>
            <w:r>
              <w:drawing>
                <wp:inline distT="0" distB="0" distL="0" distR="0" wp14:anchorId="642FCD3C" wp14:editId="18E1713B">
                  <wp:extent cx="3672000" cy="2919600"/>
                  <wp:effectExtent l="0" t="0" r="508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2000" cy="2919600"/>
                          </a:xfrm>
                          <a:prstGeom prst="rect">
                            <a:avLst/>
                          </a:prstGeom>
                        </pic:spPr>
                      </pic:pic>
                    </a:graphicData>
                  </a:graphic>
                </wp:inline>
              </w:drawing>
            </w:r>
          </w:p>
          <w:p w14:paraId="01E8760A" w14:textId="77777777" w:rsidR="00CD4487" w:rsidRPr="00927455" w:rsidRDefault="00CD4487" w:rsidP="00F93AB4">
            <w:pPr>
              <w:widowControl w:val="0"/>
              <w:tabs>
                <w:tab w:val="left" w:pos="2880"/>
              </w:tabs>
              <w:ind w:left="1134" w:hanging="414"/>
              <w:contextualSpacing/>
              <w:jc w:val="both"/>
            </w:pPr>
            <w:r>
              <w:drawing>
                <wp:inline distT="0" distB="0" distL="0" distR="0" wp14:anchorId="1BC1B6A2" wp14:editId="7188224A">
                  <wp:extent cx="220345" cy="125095"/>
                  <wp:effectExtent l="0" t="0" r="8255" b="8255"/>
                  <wp:docPr id="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8762" t="46848" r="87286" b="49483"/>
                          <a:stretch>
                            <a:fillRect/>
                          </a:stretch>
                        </pic:blipFill>
                        <pic:spPr bwMode="auto">
                          <a:xfrm>
                            <a:off x="0" y="0"/>
                            <a:ext cx="220345" cy="125095"/>
                          </a:xfrm>
                          <a:prstGeom prst="rect">
                            <a:avLst/>
                          </a:prstGeom>
                          <a:noFill/>
                          <a:ln>
                            <a:noFill/>
                          </a:ln>
                        </pic:spPr>
                      </pic:pic>
                    </a:graphicData>
                  </a:graphic>
                </wp:inline>
              </w:drawing>
            </w:r>
            <w:r>
              <w:t xml:space="preserve"> Firescreen</w:t>
            </w:r>
          </w:p>
          <w:p w14:paraId="4E050E56" w14:textId="77777777" w:rsidR="00CD4487" w:rsidRPr="00927455" w:rsidRDefault="00CD4487" w:rsidP="00F93AB4">
            <w:pPr>
              <w:widowControl w:val="0"/>
              <w:tabs>
                <w:tab w:val="left" w:pos="2880"/>
              </w:tabs>
              <w:contextualSpacing/>
              <w:jc w:val="both"/>
              <w:rPr>
                <w:lang w:val="nl-BE" w:eastAsia="nl-NL"/>
              </w:rPr>
            </w:pPr>
          </w:p>
          <w:p w14:paraId="3303D5A2" w14:textId="77777777" w:rsidR="00CD4487" w:rsidRPr="00927455" w:rsidRDefault="00CD4487" w:rsidP="00F93AB4">
            <w:pPr>
              <w:widowControl w:val="0"/>
              <w:tabs>
                <w:tab w:val="left" w:pos="2880"/>
              </w:tabs>
              <w:contextualSpacing/>
              <w:jc w:val="both"/>
              <w:rPr>
                <w:lang w:val="nl-BE" w:eastAsia="nl-NL"/>
              </w:rPr>
            </w:pPr>
          </w:p>
        </w:tc>
      </w:tr>
    </w:tbl>
    <w:tbl>
      <w:tblPr>
        <w:tblStyle w:val="Grilledutableau"/>
        <w:tblW w:w="0" w:type="auto"/>
        <w:tblLook w:val="04A0" w:firstRow="1" w:lastRow="0" w:firstColumn="1" w:lastColumn="0" w:noHBand="0" w:noVBand="1"/>
      </w:tblPr>
      <w:tblGrid>
        <w:gridCol w:w="4538"/>
        <w:gridCol w:w="4524"/>
      </w:tblGrid>
      <w:tr w:rsidR="009362F6" w:rsidRPr="00927455" w14:paraId="0B61DEA4" w14:textId="77777777" w:rsidTr="00120A34">
        <w:tc>
          <w:tcPr>
            <w:tcW w:w="4538" w:type="dxa"/>
          </w:tcPr>
          <w:p w14:paraId="452351F1" w14:textId="77777777" w:rsidR="009362F6" w:rsidRPr="00927455" w:rsidRDefault="009362F6" w:rsidP="00120A34">
            <w:r>
              <w:t xml:space="preserve">Drawing 5.2</w:t>
            </w:r>
          </w:p>
        </w:tc>
        <w:tc>
          <w:tcPr>
            <w:tcW w:w="4524" w:type="dxa"/>
          </w:tcPr>
          <w:p w14:paraId="770B6656" w14:textId="77777777" w:rsidR="009362F6" w:rsidRPr="00927455" w:rsidRDefault="009362F6" w:rsidP="00120A34"/>
        </w:tc>
      </w:tr>
    </w:tbl>
    <w:tbl>
      <w:tblPr>
        <w:tblStyle w:val="Tabelraster5"/>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CD4487" w:rsidRPr="00927455" w14:paraId="65909A06" w14:textId="77777777" w:rsidTr="00CD4487">
        <w:tc>
          <w:tcPr>
            <w:tcW w:w="1020" w:type="dxa"/>
            <w:tcMar>
              <w:right w:w="0" w:type="dxa"/>
            </w:tcMar>
          </w:tcPr>
          <w:p w14:paraId="44A6F48C" w14:textId="77777777" w:rsidR="00CD4487" w:rsidRPr="00927455" w:rsidRDefault="00CD4487" w:rsidP="00F93AB4">
            <w:pPr>
              <w:rPr>
                <w:lang w:val="nl-BE" w:eastAsia="nl-NL"/>
              </w:rPr>
            </w:pPr>
          </w:p>
        </w:tc>
        <w:tc>
          <w:tcPr>
            <w:tcW w:w="8833" w:type="dxa"/>
            <w:tcMar>
              <w:left w:w="0" w:type="dxa"/>
            </w:tcMar>
            <w:vAlign w:val="center"/>
          </w:tcPr>
          <w:p w14:paraId="6AFC2126" w14:textId="77777777" w:rsidR="00CD4487" w:rsidRPr="00927455" w:rsidRDefault="00CD4487" w:rsidP="00CD661C">
            <w:pPr>
              <w:widowControl w:val="0"/>
              <w:tabs>
                <w:tab w:val="left" w:pos="2880"/>
              </w:tabs>
              <w:ind w:left="1134" w:hanging="414"/>
              <w:contextualSpacing/>
              <w:jc w:val="both"/>
              <w:rPr>
                <w:lang w:val="fr-BE" w:eastAsia="nl-NL"/>
              </w:rPr>
            </w:pPr>
          </w:p>
        </w:tc>
      </w:tr>
    </w:tbl>
    <w:tbl>
      <w:tblPr>
        <w:tblStyle w:val="Grilledutableau"/>
        <w:tblW w:w="0" w:type="auto"/>
        <w:tblLook w:val="04A0" w:firstRow="1" w:lastRow="0" w:firstColumn="1" w:lastColumn="0" w:noHBand="0" w:noVBand="1"/>
      </w:tblPr>
      <w:tblGrid>
        <w:gridCol w:w="4538"/>
      </w:tblGrid>
      <w:tr w:rsidR="00CD661C" w:rsidRPr="00927455" w14:paraId="042EE7E9" w14:textId="77777777" w:rsidTr="004F667F">
        <w:tc>
          <w:tcPr>
            <w:tcW w:w="4538" w:type="dxa"/>
          </w:tcPr>
          <w:p w14:paraId="7771D5AE" w14:textId="77777777" w:rsidR="00CD661C" w:rsidRPr="00927455" w:rsidRDefault="00CD661C" w:rsidP="003774D1">
            <w:pPr>
              <w:rPr>
                <w:lang w:val="fr-BE"/>
              </w:rPr>
            </w:pPr>
          </w:p>
        </w:tc>
      </w:tr>
      <w:tr w:rsidR="00CD661C" w:rsidRPr="00CD661C" w14:paraId="0035263F" w14:textId="77777777" w:rsidTr="004F667F">
        <w:tc>
          <w:tcPr>
            <w:tcW w:w="4538" w:type="dxa"/>
          </w:tcPr>
          <w:p w14:paraId="16837DF5" w14:textId="77777777" w:rsidR="00CD661C" w:rsidRPr="00927455" w:rsidRDefault="00CD661C" w:rsidP="00CD4487">
            <w:r>
              <w:t xml:space="preserve">A firescreen is a facility that interrupts the insulation and the air cavity to reduce the risk of fire spreading inside the façade.</w:t>
            </w:r>
          </w:p>
          <w:p w14:paraId="4D83EF34" w14:textId="77777777" w:rsidR="00CD661C" w:rsidRPr="00927455" w:rsidRDefault="00CD661C" w:rsidP="00CD4487"/>
          <w:p w14:paraId="597C7781" w14:textId="77777777" w:rsidR="00CD661C" w:rsidRPr="00927455" w:rsidRDefault="00CD661C" w:rsidP="00CD4487">
            <w:r>
              <w:t xml:space="preserve">The type of solutions described below enable compliance with this requirement:</w:t>
            </w:r>
          </w:p>
          <w:p w14:paraId="170172FF" w14:textId="77777777" w:rsidR="00CD661C" w:rsidRPr="00927455" w:rsidRDefault="00CD661C" w:rsidP="00CD4487">
            <w:r>
              <w:t xml:space="preserve">a) an interruption across the entire width of the façade by a steel slab, a horizontal wooden slat or a horizontal strip of mineral wool;</w:t>
            </w:r>
          </w:p>
          <w:p w14:paraId="2DA56007" w14:textId="77777777" w:rsidR="00CD661C" w:rsidRPr="00927455" w:rsidRDefault="00CD661C" w:rsidP="00CD4487">
            <w:r>
              <w:t xml:space="preserve">b) each façade opening framed (top and sides) with steel or wood, or a horizontal and vertical strip of mineral wool.</w:t>
            </w:r>
          </w:p>
          <w:p w14:paraId="3C61B9A5" w14:textId="77777777" w:rsidR="00CD661C" w:rsidRPr="00927455" w:rsidRDefault="00CD661C" w:rsidP="00CD4487"/>
          <w:p w14:paraId="0C1BC543" w14:textId="77777777" w:rsidR="00CD661C" w:rsidRPr="00927455" w:rsidRDefault="00CD661C" w:rsidP="00CD4487">
            <w:r>
              <w:t xml:space="preserve">The steel slab or frame must have at least the following characteristics:</w:t>
            </w:r>
          </w:p>
          <w:p w14:paraId="206B5869" w14:textId="77777777" w:rsidR="00CD661C" w:rsidRPr="00927455" w:rsidRDefault="00CD661C" w:rsidP="00CD4487">
            <w:r>
              <w:t xml:space="preserve">- Thickness:</w:t>
            </w:r>
            <w:r>
              <w:t xml:space="preserve"> </w:t>
            </w:r>
            <w:r>
              <w:t xml:space="preserve">1 mm</w:t>
            </w:r>
          </w:p>
          <w:p w14:paraId="512B690B" w14:textId="77777777" w:rsidR="00CD661C" w:rsidRPr="00927455" w:rsidRDefault="00CD661C" w:rsidP="00CD4487">
            <w:r>
              <w:t xml:space="preserve">- Mechanically attached</w:t>
            </w:r>
          </w:p>
          <w:p w14:paraId="0969ADFB" w14:textId="77777777" w:rsidR="00CD661C" w:rsidRPr="00927455" w:rsidRDefault="00CD661C" w:rsidP="00CD4487"/>
          <w:p w14:paraId="364427A3" w14:textId="77777777" w:rsidR="00CD661C" w:rsidRPr="00927455" w:rsidRDefault="00CD661C" w:rsidP="00CD4487">
            <w:r>
              <w:t xml:space="preserve">The mineral wool strip must have at least the following characteristics:</w:t>
            </w:r>
          </w:p>
          <w:p w14:paraId="6FB16D8E" w14:textId="77777777" w:rsidR="00CD661C" w:rsidRPr="00927455" w:rsidRDefault="00CD661C" w:rsidP="00CD4487">
            <w:r>
              <w:t xml:space="preserve">- Height/Width:</w:t>
            </w:r>
            <w:r>
              <w:t xml:space="preserve"> </w:t>
            </w:r>
            <w:r>
              <w:t xml:space="preserve">20 cm</w:t>
            </w:r>
          </w:p>
          <w:p w14:paraId="04C4DC85" w14:textId="77777777" w:rsidR="00CD661C" w:rsidRPr="00927455" w:rsidRDefault="00CD661C" w:rsidP="00CD4487">
            <w:r>
              <w:t xml:space="preserve">- Fire performance class:</w:t>
            </w:r>
            <w:r>
              <w:t xml:space="preserve"> </w:t>
            </w:r>
            <w:r>
              <w:t xml:space="preserve">A2-s3, d0</w:t>
            </w:r>
          </w:p>
          <w:p w14:paraId="0F4C9E94" w14:textId="77777777" w:rsidR="00CD661C" w:rsidRPr="00927455" w:rsidRDefault="00CD661C" w:rsidP="00CD4487">
            <w:r>
              <w:t xml:space="preserve">- Density:</w:t>
            </w:r>
            <w:r>
              <w:t xml:space="preserve"> </w:t>
            </w:r>
            <w:r>
              <w:t xml:space="preserve">60 kg/m³</w:t>
            </w:r>
          </w:p>
          <w:p w14:paraId="096C5974" w14:textId="77777777" w:rsidR="00CD661C" w:rsidRPr="00927455" w:rsidRDefault="00CD661C" w:rsidP="00CD4487">
            <w:r>
              <w:t xml:space="preserve">- Mechanically attached</w:t>
            </w:r>
          </w:p>
          <w:p w14:paraId="1CB067C6" w14:textId="77777777" w:rsidR="00CD661C" w:rsidRPr="00927455" w:rsidRDefault="00CD661C" w:rsidP="00CD4487"/>
          <w:p w14:paraId="3689C5FC" w14:textId="77777777" w:rsidR="00CD661C" w:rsidRPr="00927455" w:rsidRDefault="00CD661C" w:rsidP="00CD4487">
            <w:r>
              <w:t xml:space="preserve">The wooden slat or frame shall have at least the following characteristics:</w:t>
            </w:r>
          </w:p>
          <w:p w14:paraId="5E7D3115" w14:textId="77777777" w:rsidR="00CD661C" w:rsidRPr="00927455" w:rsidRDefault="00CD661C" w:rsidP="00CD4487">
            <w:r>
              <w:t xml:space="preserve">- Thickness:</w:t>
            </w:r>
            <w:r>
              <w:t xml:space="preserve"> </w:t>
            </w:r>
            <w:r>
              <w:t xml:space="preserve">25 mm</w:t>
            </w:r>
          </w:p>
          <w:p w14:paraId="03D0D8FC" w14:textId="77777777" w:rsidR="00CD661C" w:rsidRPr="00927455" w:rsidRDefault="00CD661C" w:rsidP="00CD4487">
            <w:r>
              <w:t xml:space="preserve">- Density:</w:t>
            </w:r>
            <w:r>
              <w:t xml:space="preserve"> </w:t>
            </w:r>
            <w:r>
              <w:t xml:space="preserve">390 kg/m³</w:t>
            </w:r>
          </w:p>
          <w:p w14:paraId="7E20F3AA" w14:textId="77777777" w:rsidR="00CD661C" w:rsidRPr="00927455" w:rsidRDefault="00CD661C" w:rsidP="00CD4487">
            <w:r>
              <w:t xml:space="preserve">- Mechanically attached</w:t>
            </w:r>
          </w:p>
          <w:p w14:paraId="5130C2D5" w14:textId="77777777" w:rsidR="00CD661C" w:rsidRPr="00927455" w:rsidRDefault="00CD661C" w:rsidP="00CD4487"/>
          <w:p w14:paraId="56AF4BCE" w14:textId="77777777" w:rsidR="00CD661C" w:rsidRPr="00927455" w:rsidRDefault="00CD661C" w:rsidP="00CD4487">
            <w:r>
              <w:t xml:space="preserve">In addition, up to 100 cm² of ventilation openings are permitted in the firescreens per running metre.</w:t>
            </w:r>
          </w:p>
          <w:p w14:paraId="1DFC034B" w14:textId="77777777" w:rsidR="00CD661C" w:rsidRPr="00927455" w:rsidRDefault="00CD661C" w:rsidP="00CD4487"/>
        </w:tc>
      </w:tr>
      <w:tr w:rsidR="00CD661C" w:rsidRPr="00CD661C" w14:paraId="5D1DB7ED" w14:textId="77777777" w:rsidTr="004F667F">
        <w:tc>
          <w:tcPr>
            <w:tcW w:w="4538" w:type="dxa"/>
          </w:tcPr>
          <w:p w14:paraId="1208E9F9" w14:textId="77777777" w:rsidR="00CD661C" w:rsidRPr="00927455" w:rsidRDefault="00CD661C" w:rsidP="003774D1">
            <w:pPr>
              <w:rPr>
                <w:b/>
              </w:rPr>
            </w:pPr>
            <w:r>
              <w:rPr>
                <w:b/>
              </w:rPr>
              <w:t xml:space="preserve">6.1.2.2</w:t>
            </w:r>
            <w:r>
              <w:rPr>
                <w:b/>
              </w:rPr>
              <w:tab/>
            </w:r>
            <w:r>
              <w:rPr>
                <w:b/>
              </w:rPr>
              <w:t xml:space="preserve">Type of solutions for façade without continuous air cavity</w:t>
            </w:r>
          </w:p>
        </w:tc>
      </w:tr>
      <w:tr w:rsidR="00CD661C" w:rsidRPr="00CD661C" w14:paraId="385F7545" w14:textId="77777777" w:rsidTr="004F667F">
        <w:tc>
          <w:tcPr>
            <w:tcW w:w="4538" w:type="dxa"/>
          </w:tcPr>
          <w:p w14:paraId="5825E6DF" w14:textId="77777777" w:rsidR="00CD661C" w:rsidRPr="00927455" w:rsidRDefault="00CD661C" w:rsidP="003774D1">
            <w:pPr>
              <w:rPr>
                <w:b/>
              </w:rPr>
            </w:pPr>
            <w:r>
              <w:rPr>
                <w:b/>
              </w:rPr>
              <w:t xml:space="preserve">6.1.2.2.1 Type of solution 1 for façade without continuous air cavity</w:t>
            </w:r>
          </w:p>
          <w:p w14:paraId="4116E8CE" w14:textId="77777777" w:rsidR="00CD661C" w:rsidRPr="00927455" w:rsidRDefault="00CD661C" w:rsidP="003774D1">
            <w:pPr>
              <w:rPr>
                <w:b/>
              </w:rPr>
            </w:pPr>
          </w:p>
        </w:tc>
      </w:tr>
      <w:tr w:rsidR="00CD661C" w:rsidRPr="00CD661C" w14:paraId="356A524A" w14:textId="77777777" w:rsidTr="004F667F">
        <w:tc>
          <w:tcPr>
            <w:tcW w:w="4538" w:type="dxa"/>
          </w:tcPr>
          <w:p w14:paraId="4122A7CA" w14:textId="77777777" w:rsidR="00CD661C" w:rsidRPr="00927455" w:rsidRDefault="00CD661C" w:rsidP="003774D1">
            <w:r>
              <w:t xml:space="preserve">The insulation cannot be EPS (expanded polystyrene) or XPS (extruded polystyrene).</w:t>
            </w:r>
          </w:p>
          <w:p w14:paraId="698BD469" w14:textId="77777777" w:rsidR="00CD661C" w:rsidRPr="00927455" w:rsidRDefault="00CD661C" w:rsidP="003774D1"/>
        </w:tc>
      </w:tr>
      <w:tr w:rsidR="00CD661C" w:rsidRPr="00CD661C" w14:paraId="67C01EC6" w14:textId="77777777" w:rsidTr="004F667F">
        <w:tc>
          <w:tcPr>
            <w:tcW w:w="4538" w:type="dxa"/>
          </w:tcPr>
          <w:p w14:paraId="4AE3C06B" w14:textId="77777777" w:rsidR="00CD661C" w:rsidRPr="00927455" w:rsidRDefault="00CD661C" w:rsidP="003774D1">
            <w:pPr>
              <w:rPr>
                <w:b/>
              </w:rPr>
            </w:pPr>
            <w:r>
              <w:rPr>
                <w:b/>
              </w:rPr>
              <w:t xml:space="preserve">6.1.2.2.2 Type of solution 2 for façade without continuous air cavity</w:t>
            </w:r>
          </w:p>
          <w:p w14:paraId="1E59930D" w14:textId="77777777" w:rsidR="00CD661C" w:rsidRPr="00927455" w:rsidRDefault="00CD661C" w:rsidP="003774D1">
            <w:pPr>
              <w:rPr>
                <w:b/>
              </w:rPr>
            </w:pPr>
          </w:p>
        </w:tc>
      </w:tr>
      <w:tr w:rsidR="00CD661C" w:rsidRPr="00CD661C" w14:paraId="35C134B1" w14:textId="77777777" w:rsidTr="004F667F">
        <w:tc>
          <w:tcPr>
            <w:tcW w:w="4538" w:type="dxa"/>
          </w:tcPr>
          <w:p w14:paraId="50698B2A" w14:textId="77777777" w:rsidR="00CD661C" w:rsidRPr="00927455" w:rsidRDefault="00CD661C" w:rsidP="0073662E">
            <w:r>
              <w:t xml:space="preserve">A firescreen must be installed at the level of the floor between the ground floor and first storey.</w:t>
            </w:r>
            <w:r>
              <w:t xml:space="preserve"> </w:t>
            </w:r>
            <w:r>
              <w:t xml:space="preserve">If the vertical distance between this firescreen and ground level is greater than 4 m, one or more firescreens must be added every 4 m.</w:t>
            </w:r>
            <w:r>
              <w:t xml:space="preserve"> </w:t>
            </w:r>
            <w:r>
              <w:t xml:space="preserve">(Drawing 5.3)</w:t>
            </w:r>
          </w:p>
          <w:p w14:paraId="7C0CA00C" w14:textId="77777777" w:rsidR="00CD661C" w:rsidRPr="00927455" w:rsidRDefault="00CD661C" w:rsidP="0073662E"/>
          <w:p w14:paraId="0B64EBBE" w14:textId="77777777" w:rsidR="00CD661C" w:rsidRPr="00927455" w:rsidRDefault="00CD661C" w:rsidP="0073662E">
            <w:r>
              <w:t xml:space="preserve">A firescreen must be installed at the second and third level of the floor between the second and third storey.</w:t>
            </w:r>
            <w:r>
              <w:t xml:space="preserve"> </w:t>
            </w:r>
            <w:r>
              <w:t xml:space="preserve">If the distance between this firescreen and the previous firescreen is greater than 8 m, one or more firescreens must be added every 8 m.</w:t>
            </w:r>
          </w:p>
          <w:p w14:paraId="39B48368" w14:textId="77777777" w:rsidR="00CD661C" w:rsidRPr="00927455" w:rsidRDefault="00CD661C" w:rsidP="0073662E"/>
          <w:p w14:paraId="5D220D23" w14:textId="77777777" w:rsidR="00CD661C" w:rsidRPr="00927455" w:rsidRDefault="00CD661C" w:rsidP="0073662E">
            <w:r>
              <w:t xml:space="preserve">After the previous firescreen, a firescreen must be installed:</w:t>
            </w:r>
          </w:p>
          <w:p w14:paraId="7E5EE82E" w14:textId="77777777" w:rsidR="00CD661C" w:rsidRPr="00927455" w:rsidRDefault="00CD661C" w:rsidP="0073662E">
            <w:r>
              <w:t xml:space="preserve">- either once every two stories;</w:t>
            </w:r>
          </w:p>
          <w:p w14:paraId="19FE1F34" w14:textId="77777777" w:rsidR="00CD661C" w:rsidRPr="00927455" w:rsidRDefault="00CD661C" w:rsidP="0073662E">
            <w:r>
              <w:t xml:space="preserve">- or above or around every opening.</w:t>
            </w:r>
          </w:p>
          <w:p w14:paraId="44FFD659" w14:textId="77777777" w:rsidR="00CD661C" w:rsidRPr="00927455" w:rsidRDefault="00CD661C" w:rsidP="0073662E"/>
        </w:tc>
      </w:tr>
      <w:tr w:rsidR="00CD661C" w:rsidRPr="00CD661C" w14:paraId="5D1E0548" w14:textId="77777777" w:rsidTr="004F667F">
        <w:tc>
          <w:tcPr>
            <w:tcW w:w="4538" w:type="dxa"/>
          </w:tcPr>
          <w:p w14:paraId="500F2E1C" w14:textId="77777777" w:rsidR="00CD661C" w:rsidRPr="00927455" w:rsidRDefault="00CD661C" w:rsidP="003774D1">
            <w:pPr>
              <w:rPr>
                <w:lang w:val="fr-BE"/>
              </w:rPr>
            </w:pPr>
          </w:p>
        </w:tc>
      </w:tr>
    </w:tbl>
    <w:tbl>
      <w:tblPr>
        <w:tblStyle w:val="Tabelraster3"/>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9F78DE" w:rsidRPr="00927455" w14:paraId="20CEA0BC" w14:textId="77777777" w:rsidTr="00F93AB4">
        <w:tc>
          <w:tcPr>
            <w:tcW w:w="1020" w:type="dxa"/>
            <w:tcMar>
              <w:right w:w="0" w:type="dxa"/>
            </w:tcMar>
          </w:tcPr>
          <w:p w14:paraId="63BD94C3" w14:textId="77777777" w:rsidR="009F78DE" w:rsidRPr="00927455" w:rsidRDefault="009F78DE" w:rsidP="00F93AB4">
            <w:pPr>
              <w:rPr>
                <w:lang w:val="fr-BE" w:eastAsia="nl-NL"/>
              </w:rPr>
            </w:pPr>
          </w:p>
        </w:tc>
        <w:tc>
          <w:tcPr>
            <w:tcW w:w="8833" w:type="dxa"/>
            <w:tcMar>
              <w:left w:w="0" w:type="dxa"/>
            </w:tcMar>
            <w:vAlign w:val="center"/>
          </w:tcPr>
          <w:p w14:paraId="7B00F579" w14:textId="77777777" w:rsidR="009F78DE" w:rsidRPr="00927455" w:rsidRDefault="009F78DE" w:rsidP="00F93AB4">
            <w:pPr>
              <w:widowControl w:val="0"/>
              <w:tabs>
                <w:tab w:val="left" w:pos="2880"/>
              </w:tabs>
              <w:contextualSpacing/>
              <w:jc w:val="both"/>
              <w:rPr>
                <w:lang w:val="fr-BE" w:eastAsia="nl-NL"/>
              </w:rPr>
            </w:pPr>
          </w:p>
          <w:p w14:paraId="6ED60DBA" w14:textId="77777777" w:rsidR="009F78DE" w:rsidRPr="00927455" w:rsidRDefault="009F78DE" w:rsidP="00F93AB4">
            <w:pPr>
              <w:widowControl w:val="0"/>
              <w:tabs>
                <w:tab w:val="left" w:pos="2880"/>
              </w:tabs>
              <w:contextualSpacing/>
              <w:jc w:val="both"/>
            </w:pPr>
            <w:r>
              <w:drawing>
                <wp:inline distT="0" distB="0" distL="0" distR="0" wp14:anchorId="17B75F2A" wp14:editId="70CA84E1">
                  <wp:extent cx="5576400" cy="3394800"/>
                  <wp:effectExtent l="0" t="0" r="5715"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6400" cy="3394800"/>
                          </a:xfrm>
                          <a:prstGeom prst="rect">
                            <a:avLst/>
                          </a:prstGeom>
                        </pic:spPr>
                      </pic:pic>
                    </a:graphicData>
                  </a:graphic>
                </wp:inline>
              </w:drawing>
            </w:r>
          </w:p>
          <w:p w14:paraId="24D992A1" w14:textId="77777777" w:rsidR="009F78DE" w:rsidRPr="00927455" w:rsidRDefault="009F78DE" w:rsidP="00F93AB4">
            <w:pPr>
              <w:widowControl w:val="0"/>
              <w:tabs>
                <w:tab w:val="left" w:pos="2880"/>
              </w:tabs>
              <w:ind w:left="1134" w:hanging="414"/>
              <w:contextualSpacing/>
              <w:jc w:val="both"/>
            </w:pPr>
            <w:r>
              <w:drawing>
                <wp:inline distT="0" distB="0" distL="0" distR="0" wp14:anchorId="60140F96" wp14:editId="7CA6E958">
                  <wp:extent cx="220345" cy="125095"/>
                  <wp:effectExtent l="0" t="0" r="8255" b="8255"/>
                  <wp:docPr id="1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8762" t="46848" r="87286" b="49483"/>
                          <a:stretch>
                            <a:fillRect/>
                          </a:stretch>
                        </pic:blipFill>
                        <pic:spPr bwMode="auto">
                          <a:xfrm>
                            <a:off x="0" y="0"/>
                            <a:ext cx="220345" cy="125095"/>
                          </a:xfrm>
                          <a:prstGeom prst="rect">
                            <a:avLst/>
                          </a:prstGeom>
                          <a:noFill/>
                          <a:ln>
                            <a:noFill/>
                          </a:ln>
                        </pic:spPr>
                      </pic:pic>
                    </a:graphicData>
                  </a:graphic>
                </wp:inline>
              </w:drawing>
            </w:r>
            <w:r>
              <w:t xml:space="preserve"> Firescreen</w:t>
            </w:r>
          </w:p>
          <w:p w14:paraId="49DB0048" w14:textId="77777777" w:rsidR="009F78DE" w:rsidRPr="00927455" w:rsidRDefault="009F78DE" w:rsidP="00F93AB4">
            <w:pPr>
              <w:jc w:val="both"/>
            </w:pPr>
          </w:p>
          <w:p w14:paraId="71A6A32B" w14:textId="77777777" w:rsidR="009F78DE" w:rsidRPr="00927455" w:rsidRDefault="009F78DE" w:rsidP="00370EB5">
            <w:pPr>
              <w:pStyle w:val="Paragraphedeliste"/>
              <w:numPr>
                <w:ilvl w:val="0"/>
                <w:numId w:val="5"/>
              </w:numPr>
              <w:jc w:val="both"/>
            </w:pPr>
          </w:p>
        </w:tc>
      </w:tr>
    </w:tbl>
    <w:tbl>
      <w:tblPr>
        <w:tblStyle w:val="Grilledutableau"/>
        <w:tblW w:w="0" w:type="auto"/>
        <w:tblLook w:val="04A0" w:firstRow="1" w:lastRow="0" w:firstColumn="1" w:lastColumn="0" w:noHBand="0" w:noVBand="1"/>
      </w:tblPr>
      <w:tblGrid>
        <w:gridCol w:w="4538"/>
      </w:tblGrid>
      <w:tr w:rsidR="00CD661C" w:rsidRPr="00927455" w14:paraId="0218F3B8" w14:textId="77777777" w:rsidTr="004F667F">
        <w:tc>
          <w:tcPr>
            <w:tcW w:w="4538" w:type="dxa"/>
          </w:tcPr>
          <w:p w14:paraId="31F9065E" w14:textId="77777777" w:rsidR="00CD661C" w:rsidRPr="00927455" w:rsidRDefault="00CD661C" w:rsidP="003774D1">
            <w:r>
              <w:t xml:space="preserve">Drawing 5.3</w:t>
            </w:r>
          </w:p>
        </w:tc>
      </w:tr>
      <w:tr w:rsidR="00CD661C" w:rsidRPr="00927455" w14:paraId="70F2B598" w14:textId="77777777" w:rsidTr="004F667F">
        <w:tc>
          <w:tcPr>
            <w:tcW w:w="4538" w:type="dxa"/>
          </w:tcPr>
          <w:p w14:paraId="6A6BB99B" w14:textId="77777777" w:rsidR="00CD661C" w:rsidRPr="00927455" w:rsidRDefault="00CD661C" w:rsidP="003774D1">
            <w:pPr>
              <w:rPr>
                <w:lang w:val="fr-BE"/>
              </w:rPr>
            </w:pPr>
          </w:p>
        </w:tc>
      </w:tr>
      <w:tr w:rsidR="00CD661C" w:rsidRPr="00927455" w14:paraId="55E2C189" w14:textId="77777777" w:rsidTr="004F667F">
        <w:tc>
          <w:tcPr>
            <w:tcW w:w="4538" w:type="dxa"/>
          </w:tcPr>
          <w:p w14:paraId="2A2D6DC0" w14:textId="77777777" w:rsidR="00CD661C" w:rsidRPr="00927455" w:rsidRDefault="00CD661C" w:rsidP="0073662E">
            <w:r>
              <w:t xml:space="preserve">A firescreen is a facility that interrupts the insulation to reduce the risk of fire spreading inside the façade.</w:t>
            </w:r>
          </w:p>
          <w:p w14:paraId="2BD81706" w14:textId="77777777" w:rsidR="00CD661C" w:rsidRPr="00927455" w:rsidRDefault="00CD661C" w:rsidP="0073662E"/>
          <w:p w14:paraId="1BF80478" w14:textId="77777777" w:rsidR="00CD661C" w:rsidRPr="00927455" w:rsidRDefault="00CD661C" w:rsidP="0073662E">
            <w:r>
              <w:t xml:space="preserve">The type of solutions described below enable compliance with this requirement:</w:t>
            </w:r>
          </w:p>
          <w:p w14:paraId="14D0276B" w14:textId="77777777" w:rsidR="00CD661C" w:rsidRPr="00927455" w:rsidRDefault="00CD661C" w:rsidP="0073662E">
            <w:r>
              <w:t xml:space="preserve">a)</w:t>
            </w:r>
            <w:r>
              <w:tab/>
            </w:r>
            <w:r>
              <w:t xml:space="preserve">an interruption across the entire width of the façade by a horizontal strip of mineral wool;</w:t>
            </w:r>
          </w:p>
          <w:p w14:paraId="1084F3B7" w14:textId="77777777" w:rsidR="00CD661C" w:rsidRPr="00927455" w:rsidRDefault="00CD661C" w:rsidP="0073662E">
            <w:r>
              <w:t xml:space="preserve">b)</w:t>
            </w:r>
            <w:r>
              <w:tab/>
            </w:r>
            <w:r>
              <w:t xml:space="preserve">an interruption above each façade opening by a horizontal strip of mineral wool;</w:t>
            </w:r>
          </w:p>
          <w:p w14:paraId="57865DAA" w14:textId="77777777" w:rsidR="00CD661C" w:rsidRPr="00927455" w:rsidRDefault="00CD661C" w:rsidP="0073662E">
            <w:r>
              <w:t xml:space="preserve">c)</w:t>
            </w:r>
            <w:r>
              <w:tab/>
            </w:r>
            <w:r>
              <w:t xml:space="preserve">each façade opening framed (top and sides) with a horizontal and vertical strip of mineral wool.</w:t>
            </w:r>
          </w:p>
          <w:p w14:paraId="58C426B6" w14:textId="77777777" w:rsidR="00CD661C" w:rsidRPr="00927455" w:rsidRDefault="00CD661C" w:rsidP="0073662E"/>
          <w:p w14:paraId="780DF9CB" w14:textId="77777777" w:rsidR="00CD661C" w:rsidRPr="00927455" w:rsidRDefault="00CD661C" w:rsidP="0073662E">
            <w:r>
              <w:t xml:space="preserve">The mineral wool strip must have at least the following characteristics:</w:t>
            </w:r>
          </w:p>
          <w:p w14:paraId="4B34CD3E" w14:textId="77777777" w:rsidR="00CD661C" w:rsidRPr="00927455" w:rsidRDefault="00CD661C" w:rsidP="0073662E">
            <w:r>
              <w:t xml:space="preserve">- Height/Width:</w:t>
            </w:r>
            <w:r>
              <w:t xml:space="preserve"> </w:t>
            </w:r>
            <w:r>
              <w:t xml:space="preserve">20 cm</w:t>
            </w:r>
          </w:p>
          <w:p w14:paraId="43B29DF6" w14:textId="77777777" w:rsidR="00CD661C" w:rsidRPr="00927455" w:rsidRDefault="00CD661C" w:rsidP="0073662E">
            <w:r>
              <w:t xml:space="preserve">- Lateral overhang (for type of solution b):</w:t>
            </w:r>
            <w:r>
              <w:t xml:space="preserve"> </w:t>
            </w:r>
            <w:r>
              <w:t xml:space="preserve">30 cm</w:t>
            </w:r>
          </w:p>
          <w:p w14:paraId="3662C96C" w14:textId="77777777" w:rsidR="00CD661C" w:rsidRPr="00927455" w:rsidRDefault="00CD661C" w:rsidP="0073662E">
            <w:r>
              <w:t xml:space="preserve">- Fire performance class:</w:t>
            </w:r>
            <w:r>
              <w:t xml:space="preserve"> </w:t>
            </w:r>
            <w:r>
              <w:t xml:space="preserve">A2-s3, d0</w:t>
            </w:r>
          </w:p>
          <w:p w14:paraId="06D61306" w14:textId="77777777" w:rsidR="00CD661C" w:rsidRPr="00927455" w:rsidRDefault="00CD661C" w:rsidP="0073662E">
            <w:r>
              <w:t xml:space="preserve">- Density:</w:t>
            </w:r>
            <w:r>
              <w:t xml:space="preserve"> </w:t>
            </w:r>
            <w:r>
              <w:t xml:space="preserve">60 kg/m³</w:t>
            </w:r>
          </w:p>
          <w:p w14:paraId="5DA4780A" w14:textId="77777777" w:rsidR="00CD661C" w:rsidRPr="00927455" w:rsidRDefault="00CD661C" w:rsidP="0073662E">
            <w:r>
              <w:t xml:space="preserve">- Mechanically attached</w:t>
            </w:r>
          </w:p>
          <w:p w14:paraId="099DED94" w14:textId="77777777" w:rsidR="00CD661C" w:rsidRPr="00927455" w:rsidRDefault="00CD661C" w:rsidP="0073662E">
            <w:pPr>
              <w:rPr>
                <w:lang w:val="fr-BE"/>
              </w:rPr>
            </w:pPr>
          </w:p>
        </w:tc>
      </w:tr>
      <w:tr w:rsidR="00CD661C" w:rsidRPr="00CD661C" w14:paraId="68AEAD08" w14:textId="77777777" w:rsidTr="004F667F">
        <w:tc>
          <w:tcPr>
            <w:tcW w:w="4538" w:type="dxa"/>
          </w:tcPr>
          <w:p w14:paraId="772775EA" w14:textId="77777777" w:rsidR="00CD661C" w:rsidRPr="00927455" w:rsidRDefault="00CD661C" w:rsidP="003774D1">
            <w:pPr>
              <w:rPr>
                <w:b/>
              </w:rPr>
            </w:pPr>
            <w:r>
              <w:rPr>
                <w:b/>
              </w:rPr>
              <w:t xml:space="preserve">6.1.3 Type of solution for high-rise buildings</w:t>
            </w:r>
          </w:p>
          <w:p w14:paraId="3FE38759" w14:textId="77777777" w:rsidR="00CD661C" w:rsidRPr="00927455" w:rsidRDefault="00CD661C" w:rsidP="003774D1">
            <w:pPr>
              <w:rPr>
                <w:b/>
              </w:rPr>
            </w:pPr>
          </w:p>
        </w:tc>
      </w:tr>
      <w:tr w:rsidR="00CD661C" w:rsidRPr="00CD661C" w14:paraId="5B103B34" w14:textId="77777777" w:rsidTr="004F667F">
        <w:tc>
          <w:tcPr>
            <w:tcW w:w="4538" w:type="dxa"/>
          </w:tcPr>
          <w:p w14:paraId="10310AB0" w14:textId="77777777" w:rsidR="00CD661C" w:rsidRPr="00927455" w:rsidRDefault="00CD661C" w:rsidP="00D65420">
            <w:r>
              <w:t xml:space="preserve">For high-rise buildings, the essential components of the façade can be of Class E if all essential components, except for the outer cladding, are fully protected from fire (see also point </w:t>
            </w:r>
            <w:r>
              <w:rPr>
                <w:vertAlign w:val="superscript"/>
              </w:rPr>
              <w:t xml:space="preserve">(4)</w:t>
            </w:r>
            <w:r>
              <w:t xml:space="preserve"> of Table V of point 6.1.1) and if the façade meets the type of solution below.</w:t>
            </w:r>
          </w:p>
          <w:p w14:paraId="4473C24D" w14:textId="77777777" w:rsidR="00CD661C" w:rsidRPr="00927455" w:rsidRDefault="00CD661C" w:rsidP="00D65420"/>
          <w:p w14:paraId="27F1DEF0" w14:textId="77777777" w:rsidR="00CD661C" w:rsidRPr="00927455" w:rsidRDefault="00CD661C" w:rsidP="00D65420">
            <w:r>
              <w:t xml:space="preserve">A firescreen must be installed at the level of the first and second floor between the first and second storeys.</w:t>
            </w:r>
            <w:r>
              <w:t xml:space="preserve"> </w:t>
            </w:r>
            <w:r>
              <w:t xml:space="preserve">If the vertical distance between this firescreen and ground level is greater than 8 m, one or more firescreens must be added every 8 m.</w:t>
            </w:r>
            <w:r>
              <w:t xml:space="preserve"> </w:t>
            </w:r>
            <w:r>
              <w:t xml:space="preserve">(Drawing 5.4)</w:t>
            </w:r>
          </w:p>
          <w:p w14:paraId="0502644C" w14:textId="77777777" w:rsidR="00CD661C" w:rsidRPr="00927455" w:rsidRDefault="00CD661C" w:rsidP="00D65420"/>
          <w:p w14:paraId="47CE798C" w14:textId="77777777" w:rsidR="00CD661C" w:rsidRPr="00927455" w:rsidRDefault="00CD661C" w:rsidP="00D65420">
            <w:r>
              <w:t xml:space="preserve">After the previous firescreen, a firescreen must be installed once every two storeys.</w:t>
            </w:r>
          </w:p>
        </w:tc>
      </w:tr>
      <w:tr w:rsidR="00CD661C" w:rsidRPr="00CD661C" w14:paraId="26A4D62D" w14:textId="77777777" w:rsidTr="004F667F">
        <w:tc>
          <w:tcPr>
            <w:tcW w:w="4538" w:type="dxa"/>
          </w:tcPr>
          <w:p w14:paraId="18BC1E5F" w14:textId="77777777" w:rsidR="00CD661C" w:rsidRPr="00927455" w:rsidRDefault="00CD661C" w:rsidP="003774D1">
            <w:pPr>
              <w:rPr>
                <w:lang w:val="fr-BE"/>
              </w:rPr>
            </w:pPr>
          </w:p>
        </w:tc>
      </w:tr>
      <w:tr w:rsidR="00CD661C" w:rsidRPr="00CD661C" w14:paraId="6ECAA9D6" w14:textId="77777777" w:rsidTr="004F667F">
        <w:tc>
          <w:tcPr>
            <w:tcW w:w="4538" w:type="dxa"/>
          </w:tcPr>
          <w:p w14:paraId="1CB9330C" w14:textId="77777777" w:rsidR="00CD661C" w:rsidRPr="00927455" w:rsidRDefault="00CD661C" w:rsidP="003774D1">
            <w:pPr>
              <w:rPr>
                <w:lang w:val="fr-BE"/>
              </w:rPr>
            </w:pPr>
          </w:p>
        </w:tc>
      </w:tr>
    </w:tbl>
    <w:tbl>
      <w:tblPr>
        <w:tblStyle w:val="Tabelraster3"/>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97CBD" w:rsidRPr="00927455" w14:paraId="006027B5" w14:textId="77777777" w:rsidTr="00F93AB4">
        <w:tc>
          <w:tcPr>
            <w:tcW w:w="1020" w:type="dxa"/>
            <w:tcMar>
              <w:right w:w="0" w:type="dxa"/>
            </w:tcMar>
          </w:tcPr>
          <w:p w14:paraId="6FE27B70" w14:textId="77777777" w:rsidR="00397CBD" w:rsidRPr="00927455" w:rsidRDefault="00397CBD" w:rsidP="00F93AB4">
            <w:pPr>
              <w:rPr>
                <w:lang w:val="fr-BE" w:eastAsia="nl-NL"/>
              </w:rPr>
            </w:pPr>
          </w:p>
        </w:tc>
        <w:tc>
          <w:tcPr>
            <w:tcW w:w="8833" w:type="dxa"/>
            <w:tcMar>
              <w:left w:w="0" w:type="dxa"/>
            </w:tcMar>
            <w:vAlign w:val="center"/>
          </w:tcPr>
          <w:p w14:paraId="5EA66BE6" w14:textId="77777777" w:rsidR="00397CBD" w:rsidRPr="00927455" w:rsidRDefault="00397CBD" w:rsidP="00F93AB4">
            <w:pPr>
              <w:widowControl w:val="0"/>
              <w:tabs>
                <w:tab w:val="left" w:pos="2880"/>
              </w:tabs>
              <w:contextualSpacing/>
              <w:jc w:val="both"/>
              <w:rPr>
                <w:lang w:val="fr-BE" w:eastAsia="nl-NL"/>
              </w:rPr>
            </w:pPr>
          </w:p>
          <w:p w14:paraId="31864C45" w14:textId="77777777" w:rsidR="00397CBD" w:rsidRPr="00927455" w:rsidRDefault="00397CBD" w:rsidP="00F93AB4">
            <w:pPr>
              <w:widowControl w:val="0"/>
              <w:tabs>
                <w:tab w:val="left" w:pos="2880"/>
              </w:tabs>
              <w:contextualSpacing/>
              <w:jc w:val="both"/>
            </w:pPr>
            <w:r>
              <w:drawing>
                <wp:inline distT="0" distB="0" distL="0" distR="0" wp14:anchorId="45CF9F2A" wp14:editId="4919E1A7">
                  <wp:extent cx="1796400" cy="3859200"/>
                  <wp:effectExtent l="0" t="0" r="0" b="8255"/>
                  <wp:docPr id="3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6400" cy="3859200"/>
                          </a:xfrm>
                          <a:prstGeom prst="rect">
                            <a:avLst/>
                          </a:prstGeom>
                        </pic:spPr>
                      </pic:pic>
                    </a:graphicData>
                  </a:graphic>
                </wp:inline>
              </w:drawing>
            </w:r>
          </w:p>
          <w:p w14:paraId="0828B442" w14:textId="77777777" w:rsidR="00397CBD" w:rsidRPr="00927455" w:rsidRDefault="00397CBD" w:rsidP="00F93AB4">
            <w:pPr>
              <w:widowControl w:val="0"/>
              <w:tabs>
                <w:tab w:val="left" w:pos="2880"/>
              </w:tabs>
              <w:ind w:left="1134" w:hanging="414"/>
              <w:contextualSpacing/>
              <w:jc w:val="both"/>
            </w:pPr>
            <w:r>
              <w:drawing>
                <wp:inline distT="0" distB="0" distL="0" distR="0" wp14:anchorId="00F2A3E1" wp14:editId="7785AAE7">
                  <wp:extent cx="219075" cy="123825"/>
                  <wp:effectExtent l="0" t="0" r="9525" b="9525"/>
                  <wp:docPr id="3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extLst>
                              <a:ext uri="{28A0092B-C50C-407E-A947-70E740481C1C}">
                                <a14:useLocalDpi xmlns:a14="http://schemas.microsoft.com/office/drawing/2010/main" val="0"/>
                              </a:ext>
                            </a:extLst>
                          </a:blip>
                          <a:srcRect l="8762" t="46848" r="87286" b="49483"/>
                          <a:stretch>
                            <a:fillRect/>
                          </a:stretch>
                        </pic:blipFill>
                        <pic:spPr bwMode="auto">
                          <a:xfrm>
                            <a:off x="0" y="0"/>
                            <a:ext cx="219075" cy="123825"/>
                          </a:xfrm>
                          <a:prstGeom prst="rect">
                            <a:avLst/>
                          </a:prstGeom>
                          <a:noFill/>
                          <a:ln>
                            <a:noFill/>
                          </a:ln>
                        </pic:spPr>
                      </pic:pic>
                    </a:graphicData>
                  </a:graphic>
                </wp:inline>
              </w:drawing>
            </w:r>
            <w:r>
              <w:t xml:space="preserve"> Firescreen</w:t>
            </w:r>
          </w:p>
          <w:p w14:paraId="1C97FC81" w14:textId="77777777" w:rsidR="00397CBD" w:rsidRPr="00927455" w:rsidRDefault="00397CBD" w:rsidP="00F93AB4">
            <w:pPr>
              <w:widowControl w:val="0"/>
              <w:tabs>
                <w:tab w:val="left" w:pos="2880"/>
              </w:tabs>
              <w:ind w:left="1134" w:hanging="414"/>
              <w:contextualSpacing/>
              <w:jc w:val="both"/>
            </w:pPr>
            <w:r>
              <w:drawing>
                <wp:inline distT="0" distB="0" distL="0" distR="0" wp14:anchorId="5DFA5AA6" wp14:editId="68748BE9">
                  <wp:extent cx="220980" cy="125730"/>
                  <wp:effectExtent l="0" t="0" r="7620" b="7620"/>
                  <wp:docPr id="3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d.jpg"/>
                          <pic:cNvPicPr/>
                        </pic:nvPicPr>
                        <pic:blipFill rotWithShape="1">
                          <a:blip r:embed="rId13" cstate="print">
                            <a:extLst>
                              <a:ext uri="{28A0092B-C50C-407E-A947-70E740481C1C}">
                                <a14:useLocalDpi xmlns:a14="http://schemas.microsoft.com/office/drawing/2010/main" val="0"/>
                              </a:ext>
                            </a:extLst>
                          </a:blip>
                          <a:srcRect l="34392" t="79159" r="53333" b="17590"/>
                          <a:stretch/>
                        </pic:blipFill>
                        <pic:spPr bwMode="auto">
                          <a:xfrm>
                            <a:off x="0" y="0"/>
                            <a:ext cx="220980" cy="125730"/>
                          </a:xfrm>
                          <a:prstGeom prst="rect">
                            <a:avLst/>
                          </a:prstGeom>
                          <a:ln>
                            <a:noFill/>
                          </a:ln>
                          <a:extLst>
                            <a:ext uri="{53640926-AAD7-44D8-BBD7-CCE9431645EC}">
                              <a14:shadowObscured xmlns:a14="http://schemas.microsoft.com/office/drawing/2010/main"/>
                            </a:ext>
                          </a:extLst>
                        </pic:spPr>
                      </pic:pic>
                    </a:graphicData>
                  </a:graphic>
                </wp:inline>
              </w:drawing>
            </w:r>
            <w:r>
              <w:t xml:space="preserve"> Building element with fire protection ability of K</w:t>
            </w:r>
            <w:r>
              <w:rPr>
                <w:vertAlign w:val="subscript"/>
              </w:rPr>
              <w:t xml:space="preserve">2</w:t>
            </w:r>
            <w:r>
              <w:t xml:space="preserve"> 30 or a fire resistance of EI 30</w:t>
            </w:r>
          </w:p>
          <w:p w14:paraId="0DBEA101" w14:textId="77777777" w:rsidR="00397CBD" w:rsidRPr="00927455" w:rsidRDefault="00397CBD" w:rsidP="00F93AB4">
            <w:pPr>
              <w:widowControl w:val="0"/>
              <w:tabs>
                <w:tab w:val="left" w:pos="2880"/>
              </w:tabs>
              <w:contextualSpacing/>
              <w:jc w:val="both"/>
              <w:rPr>
                <w:lang w:val="nl-BE" w:eastAsia="nl-NL"/>
              </w:rPr>
            </w:pPr>
          </w:p>
          <w:p w14:paraId="6533696B" w14:textId="77777777" w:rsidR="00397CBD" w:rsidRPr="00927455" w:rsidRDefault="00397CBD" w:rsidP="00F93AB4">
            <w:pPr>
              <w:widowControl w:val="0"/>
              <w:tabs>
                <w:tab w:val="left" w:pos="2880"/>
              </w:tabs>
              <w:contextualSpacing/>
              <w:jc w:val="both"/>
            </w:pPr>
            <w:r>
              <w:t xml:space="preserve">.</w:t>
            </w:r>
          </w:p>
        </w:tc>
      </w:tr>
    </w:tbl>
    <w:tbl>
      <w:tblPr>
        <w:tblStyle w:val="Grilledutableau"/>
        <w:tblW w:w="0" w:type="auto"/>
        <w:tblLook w:val="04A0" w:firstRow="1" w:lastRow="0" w:firstColumn="1" w:lastColumn="0" w:noHBand="0" w:noVBand="1"/>
      </w:tblPr>
      <w:tblGrid>
        <w:gridCol w:w="4538"/>
      </w:tblGrid>
      <w:tr w:rsidR="00CD661C" w:rsidRPr="00927455" w14:paraId="415F671C" w14:textId="77777777" w:rsidTr="004F667F">
        <w:tc>
          <w:tcPr>
            <w:tcW w:w="4538" w:type="dxa"/>
          </w:tcPr>
          <w:p w14:paraId="03E00B92" w14:textId="77777777" w:rsidR="00CD661C" w:rsidRPr="00927455" w:rsidRDefault="00CD661C" w:rsidP="003774D1">
            <w:r>
              <w:t xml:space="preserve">Drawing 5.4</w:t>
            </w:r>
          </w:p>
        </w:tc>
      </w:tr>
      <w:tr w:rsidR="00CD661C" w:rsidRPr="00927455" w14:paraId="017ED132" w14:textId="77777777" w:rsidTr="004F667F">
        <w:tc>
          <w:tcPr>
            <w:tcW w:w="4538" w:type="dxa"/>
          </w:tcPr>
          <w:p w14:paraId="04036C13" w14:textId="77777777" w:rsidR="00CD661C" w:rsidRPr="00927455" w:rsidRDefault="00CD661C" w:rsidP="003774D1"/>
        </w:tc>
      </w:tr>
      <w:tr w:rsidR="00CD661C" w:rsidRPr="00927455" w14:paraId="5D7B7EED" w14:textId="77777777" w:rsidTr="004F667F">
        <w:tc>
          <w:tcPr>
            <w:tcW w:w="4538" w:type="dxa"/>
          </w:tcPr>
          <w:p w14:paraId="2CEB3625" w14:textId="77777777" w:rsidR="00CD661C" w:rsidRPr="00927455" w:rsidRDefault="00CD661C" w:rsidP="009362F6">
            <w:pPr>
              <w:rPr>
                <w:lang w:val="fr-BE"/>
              </w:rPr>
            </w:pPr>
          </w:p>
        </w:tc>
      </w:tr>
      <w:tr w:rsidR="00CD661C" w:rsidRPr="00CD661C" w14:paraId="50956430" w14:textId="77777777" w:rsidTr="004F667F">
        <w:tc>
          <w:tcPr>
            <w:tcW w:w="4538" w:type="dxa"/>
          </w:tcPr>
          <w:p w14:paraId="65C13BB0" w14:textId="77777777" w:rsidR="00CD661C" w:rsidRPr="00927455" w:rsidRDefault="00CD661C" w:rsidP="009362F6">
            <w:r>
              <w:t xml:space="preserve">A firescreen is a facility that interrupts the insulation and any air cavity to reduce the risk of fire spreading inside the façade.</w:t>
            </w:r>
          </w:p>
          <w:p w14:paraId="411BB6DD" w14:textId="77777777" w:rsidR="00CD661C" w:rsidRPr="00927455" w:rsidRDefault="00CD661C" w:rsidP="009362F6"/>
          <w:p w14:paraId="5F4313A6" w14:textId="77777777" w:rsidR="00CD661C" w:rsidRPr="00927455" w:rsidRDefault="00CD661C" w:rsidP="009362F6">
            <w:r>
              <w:t xml:space="preserve">The type of solution described below enables compliance with this requirement:</w:t>
            </w:r>
          </w:p>
          <w:p w14:paraId="2B55BF91" w14:textId="77777777" w:rsidR="00CD661C" w:rsidRPr="00927455" w:rsidRDefault="00CD661C" w:rsidP="009362F6">
            <w:r>
              <w:t xml:space="preserve">- an interruption across the entire width of the façade by a horizontal strip of mineral wool.</w:t>
            </w:r>
          </w:p>
          <w:p w14:paraId="13A2E59C" w14:textId="77777777" w:rsidR="00CD661C" w:rsidRPr="00927455" w:rsidRDefault="00CD661C" w:rsidP="009362F6"/>
          <w:p w14:paraId="6B4F5388" w14:textId="77777777" w:rsidR="00CD661C" w:rsidRPr="00927455" w:rsidRDefault="00CD661C" w:rsidP="009362F6">
            <w:r>
              <w:t xml:space="preserve">The mineral wool strip must have at least the following characteristics:</w:t>
            </w:r>
          </w:p>
          <w:p w14:paraId="5D447BA5" w14:textId="77777777" w:rsidR="00CD661C" w:rsidRPr="00927455" w:rsidRDefault="00CD661C" w:rsidP="009362F6">
            <w:r>
              <w:t xml:space="preserve">- Height/Width:</w:t>
            </w:r>
            <w:r>
              <w:t xml:space="preserve"> </w:t>
            </w:r>
            <w:r>
              <w:t xml:space="preserve">20 cm</w:t>
            </w:r>
          </w:p>
          <w:p w14:paraId="274850DE" w14:textId="77777777" w:rsidR="00CD661C" w:rsidRPr="00927455" w:rsidRDefault="00CD661C" w:rsidP="009362F6">
            <w:r>
              <w:t xml:space="preserve">- Fire performance class:</w:t>
            </w:r>
            <w:r>
              <w:t xml:space="preserve"> </w:t>
            </w:r>
            <w:r>
              <w:t xml:space="preserve">A2-s3, d0</w:t>
            </w:r>
          </w:p>
          <w:p w14:paraId="1C532C04" w14:textId="77777777" w:rsidR="00CD661C" w:rsidRPr="00927455" w:rsidRDefault="00CD661C" w:rsidP="009362F6">
            <w:r>
              <w:t xml:space="preserve">- Density:</w:t>
            </w:r>
            <w:r>
              <w:t xml:space="preserve"> </w:t>
            </w:r>
            <w:r>
              <w:t xml:space="preserve">60 kg/m³</w:t>
            </w:r>
          </w:p>
          <w:p w14:paraId="3DCC675A" w14:textId="77777777" w:rsidR="00CD661C" w:rsidRPr="00927455" w:rsidRDefault="00CD661C" w:rsidP="009362F6">
            <w:r>
              <w:t xml:space="preserve">- Mechanically attached</w:t>
            </w:r>
          </w:p>
          <w:p w14:paraId="65A5AFA0" w14:textId="77777777" w:rsidR="00CD661C" w:rsidRPr="00927455" w:rsidRDefault="00CD661C" w:rsidP="009362F6"/>
          <w:p w14:paraId="204F755A" w14:textId="77777777" w:rsidR="00CD661C" w:rsidRPr="00927455" w:rsidRDefault="00CD661C" w:rsidP="009362F6">
            <w:r>
              <w:t xml:space="preserve">In addition, up to 100 cm² of ventilation openings are permitted in the firescreens per running metre.</w:t>
            </w:r>
          </w:p>
          <w:p w14:paraId="2355CA93" w14:textId="77777777" w:rsidR="00CD661C" w:rsidRPr="00927455" w:rsidRDefault="00CD661C" w:rsidP="009362F6"/>
        </w:tc>
      </w:tr>
      <w:tr w:rsidR="00CD661C" w:rsidRPr="00927455" w14:paraId="3D4AF2EF" w14:textId="77777777" w:rsidTr="004F667F">
        <w:tc>
          <w:tcPr>
            <w:tcW w:w="4538" w:type="dxa"/>
          </w:tcPr>
          <w:p w14:paraId="0E3174DC" w14:textId="77777777" w:rsidR="00CD661C" w:rsidRPr="00927455" w:rsidRDefault="00CD661C" w:rsidP="009362F6">
            <w:pPr>
              <w:rPr>
                <w:b/>
              </w:rPr>
            </w:pPr>
            <w:r>
              <w:rPr>
                <w:b/>
              </w:rPr>
              <w:t xml:space="preserve">6.2 Large-scale test</w:t>
            </w:r>
          </w:p>
          <w:p w14:paraId="1A5CD339" w14:textId="77777777" w:rsidR="00CD661C" w:rsidRPr="00927455" w:rsidRDefault="00CD661C" w:rsidP="009362F6">
            <w:pPr>
              <w:rPr>
                <w:b/>
              </w:rPr>
            </w:pPr>
          </w:p>
        </w:tc>
      </w:tr>
      <w:tr w:rsidR="00CD661C" w:rsidRPr="00CD661C" w14:paraId="24AFFDB9" w14:textId="77777777" w:rsidTr="004F667F">
        <w:tc>
          <w:tcPr>
            <w:tcW w:w="4538" w:type="dxa"/>
          </w:tcPr>
          <w:p w14:paraId="7F5692C9" w14:textId="77777777" w:rsidR="00CD661C" w:rsidRPr="00927455" w:rsidRDefault="00CD661C" w:rsidP="009362F6">
            <w:r>
              <w:t xml:space="preserve">Point 6.1 does not apply to façades tested according to one of the following test standards that meet the performance criteria defined in the following documents:</w:t>
            </w:r>
          </w:p>
          <w:p w14:paraId="374A32AA" w14:textId="77777777" w:rsidR="00CD661C" w:rsidRPr="00927455" w:rsidRDefault="00CD661C" w:rsidP="009362F6"/>
        </w:tc>
      </w:tr>
      <w:tr w:rsidR="00CD661C" w:rsidRPr="00CD661C" w14:paraId="29FDC05B" w14:textId="77777777" w:rsidTr="004F667F">
        <w:tc>
          <w:tcPr>
            <w:tcW w:w="4538" w:type="dxa"/>
          </w:tcPr>
          <w:p w14:paraId="0EA57528" w14:textId="77777777" w:rsidR="00CD661C" w:rsidRPr="00CD661C" w:rsidRDefault="00CD661C" w:rsidP="009362F6"/>
        </w:tc>
      </w:tr>
    </w:tbl>
    <w:tbl>
      <w:tblPr>
        <w:tblStyle w:val="Tabelraster3"/>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C45E0" w:rsidRPr="00927455" w14:paraId="31754EC3" w14:textId="77777777" w:rsidTr="00F93AB4">
        <w:tc>
          <w:tcPr>
            <w:tcW w:w="1020" w:type="dxa"/>
            <w:tcMar>
              <w:right w:w="0" w:type="dxa"/>
            </w:tcMar>
          </w:tcPr>
          <w:p w14:paraId="06C93542" w14:textId="77777777" w:rsidR="003C45E0" w:rsidRPr="00CD661C" w:rsidRDefault="003C45E0" w:rsidP="00F93AB4">
            <w:pPr>
              <w:keepNext/>
              <w:keepLines/>
              <w:rPr>
                <w:lang w:val="nl-BE" w:eastAsia="nl-NL"/>
              </w:rPr>
            </w:pPr>
          </w:p>
        </w:tc>
        <w:tc>
          <w:tcPr>
            <w:tcW w:w="8833" w:type="dxa"/>
            <w:tcMar>
              <w:left w:w="0" w:type="dxa"/>
            </w:tcMar>
            <w:vAlign w:val="center"/>
          </w:tcPr>
          <w:p w14:paraId="700CE26A" w14:textId="77777777" w:rsidR="003C45E0" w:rsidRPr="00CD661C" w:rsidRDefault="003C45E0" w:rsidP="00F93AB4">
            <w:pPr>
              <w:keepNext/>
              <w:keepLines/>
              <w:jc w:val="both"/>
              <w:rPr>
                <w:lang w:val="nl-BE"/>
              </w:rPr>
            </w:pP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3"/>
              <w:gridCol w:w="2183"/>
              <w:gridCol w:w="2183"/>
              <w:gridCol w:w="2183"/>
            </w:tblGrid>
            <w:tr w:rsidR="003C45E0" w:rsidRPr="00927455" w14:paraId="1DCCA0B5" w14:textId="77777777" w:rsidTr="00F93AB4">
              <w:trPr>
                <w:trHeight w:val="207"/>
              </w:trPr>
              <w:tc>
                <w:tcPr>
                  <w:tcW w:w="2183" w:type="dxa"/>
                  <w:vMerge w:val="restart"/>
                  <w:tcBorders>
                    <w:top w:val="single" w:sz="4" w:space="0" w:color="auto"/>
                  </w:tcBorders>
                  <w:vAlign w:val="center"/>
                </w:tcPr>
                <w:p w14:paraId="3956FA9D" w14:textId="77777777" w:rsidR="003C45E0" w:rsidRPr="00927455" w:rsidRDefault="003C45E0" w:rsidP="00F93AB4">
                  <w:pPr>
                    <w:keepNext/>
                    <w:keepLines/>
                  </w:pPr>
                  <w:r>
                    <w:rPr>
                      <w:b/>
                    </w:rPr>
                    <w:t xml:space="preserve">Test standard</w:t>
                  </w:r>
                </w:p>
              </w:tc>
              <w:tc>
                <w:tcPr>
                  <w:tcW w:w="6549" w:type="dxa"/>
                  <w:gridSpan w:val="3"/>
                  <w:tcBorders>
                    <w:top w:val="single" w:sz="4" w:space="0" w:color="auto"/>
                  </w:tcBorders>
                  <w:vAlign w:val="center"/>
                </w:tcPr>
                <w:p w14:paraId="58D9277C" w14:textId="77777777" w:rsidR="003C45E0" w:rsidRPr="00927455" w:rsidRDefault="003C45E0" w:rsidP="00F93AB4">
                  <w:pPr>
                    <w:keepNext/>
                    <w:keepLines/>
                    <w:jc w:val="center"/>
                    <w:rPr>
                      <w:b/>
                    </w:rPr>
                  </w:pPr>
                  <w:r>
                    <w:rPr>
                      <w:b/>
                    </w:rPr>
                    <w:t xml:space="preserve">Document indicating the performance criteria</w:t>
                  </w:r>
                </w:p>
              </w:tc>
            </w:tr>
            <w:tr w:rsidR="003C45E0" w:rsidRPr="00927455" w14:paraId="2C6CE8A5" w14:textId="77777777" w:rsidTr="00F93AB4">
              <w:trPr>
                <w:trHeight w:val="207"/>
              </w:trPr>
              <w:tc>
                <w:tcPr>
                  <w:tcW w:w="2183" w:type="dxa"/>
                  <w:vMerge/>
                </w:tcPr>
                <w:p w14:paraId="4E3DFF5E" w14:textId="77777777" w:rsidR="003C45E0" w:rsidRPr="00927455" w:rsidRDefault="003C45E0" w:rsidP="00F93AB4">
                  <w:pPr>
                    <w:keepNext/>
                    <w:keepLines/>
                    <w:rPr>
                      <w:b/>
                    </w:rPr>
                  </w:pPr>
                </w:p>
              </w:tc>
              <w:tc>
                <w:tcPr>
                  <w:tcW w:w="2183" w:type="dxa"/>
                  <w:tcBorders>
                    <w:top w:val="single" w:sz="4" w:space="0" w:color="auto"/>
                  </w:tcBorders>
                </w:tcPr>
                <w:p w14:paraId="3B7A9B28" w14:textId="77777777" w:rsidR="003C45E0" w:rsidRPr="00927455" w:rsidRDefault="003C45E0" w:rsidP="00F93AB4">
                  <w:pPr>
                    <w:keepNext/>
                    <w:keepLines/>
                    <w:jc w:val="center"/>
                    <w:rPr>
                      <w:b/>
                    </w:rPr>
                  </w:pPr>
                  <w:r>
                    <w:rPr>
                      <w:b/>
                    </w:rPr>
                    <w:t xml:space="preserve">H.G.</w:t>
                  </w:r>
                </w:p>
              </w:tc>
              <w:tc>
                <w:tcPr>
                  <w:tcW w:w="2183" w:type="dxa"/>
                  <w:tcBorders>
                    <w:top w:val="single" w:sz="4" w:space="0" w:color="auto"/>
                  </w:tcBorders>
                  <w:vAlign w:val="center"/>
                </w:tcPr>
                <w:p w14:paraId="699F177C" w14:textId="77777777" w:rsidR="003C45E0" w:rsidRPr="00927455" w:rsidRDefault="003C45E0" w:rsidP="00F93AB4">
                  <w:pPr>
                    <w:keepNext/>
                    <w:keepLines/>
                    <w:jc w:val="center"/>
                    <w:rPr>
                      <w:b/>
                    </w:rPr>
                  </w:pPr>
                  <w:r>
                    <w:rPr>
                      <w:b/>
                    </w:rPr>
                    <w:t xml:space="preserve">M.G.</w:t>
                  </w:r>
                </w:p>
              </w:tc>
              <w:tc>
                <w:tcPr>
                  <w:tcW w:w="2183" w:type="dxa"/>
                  <w:tcBorders>
                    <w:top w:val="single" w:sz="4" w:space="0" w:color="auto"/>
                  </w:tcBorders>
                  <w:vAlign w:val="center"/>
                </w:tcPr>
                <w:p w14:paraId="1754D49A" w14:textId="77777777" w:rsidR="003C45E0" w:rsidRPr="00927455" w:rsidRDefault="003C45E0" w:rsidP="00F93AB4">
                  <w:pPr>
                    <w:keepNext/>
                    <w:keepLines/>
                    <w:jc w:val="center"/>
                    <w:rPr>
                      <w:b/>
                    </w:rPr>
                  </w:pPr>
                  <w:r>
                    <w:rPr>
                      <w:b/>
                    </w:rPr>
                    <w:t xml:space="preserve">L.G.</w:t>
                  </w:r>
                </w:p>
              </w:tc>
            </w:tr>
            <w:tr w:rsidR="003C45E0" w:rsidRPr="00927455" w14:paraId="0786EFC8" w14:textId="77777777" w:rsidTr="00F93AB4">
              <w:trPr>
                <w:trHeight w:val="459"/>
              </w:trPr>
              <w:tc>
                <w:tcPr>
                  <w:tcW w:w="2183" w:type="dxa"/>
                  <w:tcBorders>
                    <w:top w:val="single" w:sz="4" w:space="0" w:color="auto"/>
                  </w:tcBorders>
                  <w:vAlign w:val="center"/>
                </w:tcPr>
                <w:p w14:paraId="6925CD78" w14:textId="77777777" w:rsidR="003C45E0" w:rsidRPr="00927455" w:rsidRDefault="003C45E0" w:rsidP="00F93AB4">
                  <w:pPr>
                    <w:keepNext/>
                    <w:keepLines/>
                  </w:pPr>
                  <w:r>
                    <w:t xml:space="preserve">BS 8414-1</w:t>
                  </w:r>
                </w:p>
              </w:tc>
              <w:tc>
                <w:tcPr>
                  <w:tcW w:w="2183" w:type="dxa"/>
                  <w:tcBorders>
                    <w:top w:val="single" w:sz="4" w:space="0" w:color="auto"/>
                  </w:tcBorders>
                  <w:vAlign w:val="center"/>
                </w:tcPr>
                <w:p w14:paraId="6A485207" w14:textId="77777777" w:rsidR="003C45E0" w:rsidRPr="00927455" w:rsidRDefault="003C45E0" w:rsidP="00F93AB4">
                  <w:pPr>
                    <w:keepNext/>
                    <w:keepLines/>
                    <w:jc w:val="center"/>
                  </w:pPr>
                  <w:r>
                    <w:t xml:space="preserve">LPS 1581</w:t>
                  </w:r>
                </w:p>
              </w:tc>
              <w:tc>
                <w:tcPr>
                  <w:tcW w:w="4366" w:type="dxa"/>
                  <w:gridSpan w:val="2"/>
                  <w:tcBorders>
                    <w:top w:val="single" w:sz="4" w:space="0" w:color="auto"/>
                  </w:tcBorders>
                  <w:vAlign w:val="center"/>
                </w:tcPr>
                <w:p w14:paraId="737FC3C9" w14:textId="77777777" w:rsidR="003C45E0" w:rsidRPr="00927455" w:rsidRDefault="003C45E0" w:rsidP="00F93AB4">
                  <w:pPr>
                    <w:keepNext/>
                    <w:keepLines/>
                    <w:jc w:val="center"/>
                  </w:pPr>
                  <w:r>
                    <w:t xml:space="preserve">BRE 135</w:t>
                  </w:r>
                </w:p>
              </w:tc>
            </w:tr>
            <w:tr w:rsidR="003C45E0" w:rsidRPr="00927455" w14:paraId="177838B4" w14:textId="77777777" w:rsidTr="00F93AB4">
              <w:trPr>
                <w:trHeight w:val="459"/>
              </w:trPr>
              <w:tc>
                <w:tcPr>
                  <w:tcW w:w="2183" w:type="dxa"/>
                  <w:tcBorders>
                    <w:top w:val="single" w:sz="4" w:space="0" w:color="auto"/>
                  </w:tcBorders>
                  <w:vAlign w:val="center"/>
                </w:tcPr>
                <w:p w14:paraId="5EA98593" w14:textId="77777777" w:rsidR="003C45E0" w:rsidRPr="00927455" w:rsidRDefault="003C45E0" w:rsidP="00F93AB4">
                  <w:pPr>
                    <w:keepNext/>
                    <w:keepLines/>
                  </w:pPr>
                  <w:r>
                    <w:t xml:space="preserve">BS 8414-2</w:t>
                  </w:r>
                </w:p>
              </w:tc>
              <w:tc>
                <w:tcPr>
                  <w:tcW w:w="2183" w:type="dxa"/>
                  <w:vAlign w:val="center"/>
                </w:tcPr>
                <w:p w14:paraId="287641E7" w14:textId="77777777" w:rsidR="003C45E0" w:rsidRPr="00927455" w:rsidRDefault="003C45E0" w:rsidP="00F93AB4">
                  <w:pPr>
                    <w:keepNext/>
                    <w:keepLines/>
                    <w:jc w:val="center"/>
                  </w:pPr>
                  <w:r>
                    <w:t xml:space="preserve">LPS 1582</w:t>
                  </w:r>
                </w:p>
              </w:tc>
              <w:tc>
                <w:tcPr>
                  <w:tcW w:w="4366" w:type="dxa"/>
                  <w:gridSpan w:val="2"/>
                  <w:vAlign w:val="center"/>
                </w:tcPr>
                <w:p w14:paraId="5BCB0B2A" w14:textId="77777777" w:rsidR="003C45E0" w:rsidRPr="00927455" w:rsidRDefault="003C45E0" w:rsidP="00F93AB4">
                  <w:pPr>
                    <w:keepNext/>
                    <w:keepLines/>
                    <w:jc w:val="center"/>
                  </w:pPr>
                  <w:r>
                    <w:t xml:space="preserve">BRE 135</w:t>
                  </w:r>
                </w:p>
              </w:tc>
            </w:tr>
            <w:tr w:rsidR="003C45E0" w:rsidRPr="00927455" w14:paraId="26573095" w14:textId="77777777" w:rsidTr="00F93AB4">
              <w:trPr>
                <w:trHeight w:val="459"/>
              </w:trPr>
              <w:tc>
                <w:tcPr>
                  <w:tcW w:w="2183" w:type="dxa"/>
                  <w:tcBorders>
                    <w:top w:val="single" w:sz="4" w:space="0" w:color="auto"/>
                  </w:tcBorders>
                  <w:vAlign w:val="center"/>
                </w:tcPr>
                <w:p w14:paraId="7A242130" w14:textId="77777777" w:rsidR="003C45E0" w:rsidRPr="00927455" w:rsidRDefault="003C45E0" w:rsidP="00F93AB4">
                  <w:pPr>
                    <w:keepNext/>
                    <w:keepLines/>
                  </w:pPr>
                  <w:r>
                    <w:t xml:space="preserve">DIN 4102-20</w:t>
                  </w:r>
                </w:p>
              </w:tc>
              <w:tc>
                <w:tcPr>
                  <w:tcW w:w="2183" w:type="dxa"/>
                  <w:vAlign w:val="center"/>
                </w:tcPr>
                <w:p w14:paraId="571A196F" w14:textId="77777777" w:rsidR="003C45E0" w:rsidRPr="00927455" w:rsidRDefault="003C45E0" w:rsidP="00F93AB4">
                  <w:pPr>
                    <w:keepNext/>
                    <w:keepLines/>
                    <w:jc w:val="center"/>
                  </w:pPr>
                  <w:r>
                    <w:t xml:space="preserve">/</w:t>
                  </w:r>
                </w:p>
              </w:tc>
              <w:tc>
                <w:tcPr>
                  <w:tcW w:w="4366" w:type="dxa"/>
                  <w:gridSpan w:val="2"/>
                  <w:vAlign w:val="center"/>
                </w:tcPr>
                <w:p w14:paraId="1F4E9FDA" w14:textId="34C7F7AD" w:rsidR="003C45E0" w:rsidRPr="00927455" w:rsidRDefault="004F5840" w:rsidP="004F5840">
                  <w:pPr>
                    <w:keepNext/>
                    <w:keepLines/>
                    <w:jc w:val="center"/>
                  </w:pPr>
                  <w:r>
                    <w:t xml:space="preserve">Document HR 1882 of the Belgian High Council for Fire and Explosion Safety [Hoge Raad voor beveiliging tegen brand en ontploffing]</w:t>
                  </w:r>
                </w:p>
              </w:tc>
            </w:tr>
            <w:tr w:rsidR="003C45E0" w:rsidRPr="00CD661C" w14:paraId="4E8A6AA0" w14:textId="77777777" w:rsidTr="00F93AB4">
              <w:trPr>
                <w:trHeight w:val="459"/>
              </w:trPr>
              <w:tc>
                <w:tcPr>
                  <w:tcW w:w="2183" w:type="dxa"/>
                  <w:tcBorders>
                    <w:top w:val="single" w:sz="4" w:space="0" w:color="auto"/>
                  </w:tcBorders>
                  <w:vAlign w:val="center"/>
                </w:tcPr>
                <w:p w14:paraId="79EF9B6B" w14:textId="77777777" w:rsidR="003C45E0" w:rsidRPr="00927455" w:rsidRDefault="003C45E0" w:rsidP="00F93AB4">
                  <w:pPr>
                    <w:keepNext/>
                    <w:keepLines/>
                  </w:pPr>
                  <w:r>
                    <w:t xml:space="preserve">LEPIR 2</w:t>
                  </w:r>
                </w:p>
              </w:tc>
              <w:tc>
                <w:tcPr>
                  <w:tcW w:w="6549" w:type="dxa"/>
                  <w:gridSpan w:val="3"/>
                  <w:tcBorders>
                    <w:top w:val="single" w:sz="4" w:space="0" w:color="auto"/>
                  </w:tcBorders>
                  <w:vAlign w:val="center"/>
                </w:tcPr>
                <w:p w14:paraId="782A4929" w14:textId="77777777" w:rsidR="003C45E0" w:rsidRPr="00927455" w:rsidRDefault="003C45E0" w:rsidP="00F93AB4">
                  <w:pPr>
                    <w:keepNext/>
                    <w:keepLines/>
                    <w:jc w:val="center"/>
                  </w:pPr>
                  <w:r>
                    <w:t xml:space="preserve">French Order of 10 September 1970 on the fire hazard classification of glass façades [Arrêté français du 10 septembre 1970 relatif à la classification</w:t>
                  </w:r>
                </w:p>
                <w:p w14:paraId="09459C50" w14:textId="77777777" w:rsidR="003C45E0" w:rsidRPr="00927455" w:rsidRDefault="003C45E0" w:rsidP="00F93AB4">
                  <w:pPr>
                    <w:keepNext/>
                    <w:keepLines/>
                    <w:jc w:val="center"/>
                  </w:pPr>
                  <w:r>
                    <w:t xml:space="preserve">des façades vitrées par rapport au danger d’incendie]</w:t>
                  </w:r>
                </w:p>
              </w:tc>
            </w:tr>
            <w:tr w:rsidR="003C45E0" w:rsidRPr="00927455" w14:paraId="0EE38ABD" w14:textId="77777777" w:rsidTr="00F93AB4">
              <w:tc>
                <w:tcPr>
                  <w:tcW w:w="8732" w:type="dxa"/>
                  <w:gridSpan w:val="4"/>
                </w:tcPr>
                <w:p w14:paraId="2F29537E" w14:textId="77777777" w:rsidR="003C45E0" w:rsidRPr="00927455" w:rsidRDefault="003C45E0" w:rsidP="00F93AB4">
                  <w:pPr>
                    <w:keepNext/>
                    <w:keepLines/>
                    <w:ind w:left="454" w:hanging="454"/>
                    <w:jc w:val="both"/>
                  </w:pPr>
                  <w:r>
                    <w:t xml:space="preserve">H.G.: high-rise buildings</w:t>
                  </w:r>
                  <w:r>
                    <w:tab/>
                  </w:r>
                </w:p>
                <w:p w14:paraId="5F74DAAB" w14:textId="77777777" w:rsidR="003C45E0" w:rsidRPr="00927455" w:rsidRDefault="003C45E0" w:rsidP="00F93AB4">
                  <w:pPr>
                    <w:keepNext/>
                    <w:keepLines/>
                    <w:ind w:left="454" w:hanging="454"/>
                    <w:jc w:val="both"/>
                  </w:pPr>
                  <w:r>
                    <w:t xml:space="preserve">M.G.: mid-rise buildings</w:t>
                  </w:r>
                </w:p>
                <w:p w14:paraId="20F5C06B" w14:textId="77777777" w:rsidR="003C45E0" w:rsidRPr="00927455" w:rsidRDefault="003C45E0" w:rsidP="00F93AB4">
                  <w:pPr>
                    <w:keepNext/>
                    <w:keepLines/>
                    <w:ind w:left="454" w:hanging="454"/>
                    <w:jc w:val="both"/>
                  </w:pPr>
                  <w:r>
                    <w:t xml:space="preserve">L.G.: low-rise buildings</w:t>
                  </w:r>
                </w:p>
              </w:tc>
            </w:tr>
          </w:tbl>
          <w:p w14:paraId="4A4E1B2C" w14:textId="77777777" w:rsidR="003C45E0" w:rsidRPr="00927455" w:rsidRDefault="003C45E0" w:rsidP="00F93AB4">
            <w:pPr>
              <w:keepNext/>
              <w:keepLines/>
              <w:widowControl w:val="0"/>
              <w:tabs>
                <w:tab w:val="left" w:pos="-549"/>
                <w:tab w:val="left" w:pos="1080"/>
              </w:tabs>
              <w:jc w:val="both"/>
              <w:rPr>
                <w:lang w:eastAsia="nl-NL"/>
              </w:rPr>
            </w:pPr>
          </w:p>
        </w:tc>
      </w:tr>
    </w:tbl>
    <w:tbl>
      <w:tblPr>
        <w:tblStyle w:val="Grilledutableau"/>
        <w:tblW w:w="0" w:type="auto"/>
        <w:tblLook w:val="04A0" w:firstRow="1" w:lastRow="0" w:firstColumn="1" w:lastColumn="0" w:noHBand="0" w:noVBand="1"/>
      </w:tblPr>
      <w:tblGrid>
        <w:gridCol w:w="4538"/>
      </w:tblGrid>
      <w:tr w:rsidR="00CD661C" w:rsidRPr="00927455" w14:paraId="1F779D83" w14:textId="77777777" w:rsidTr="004F667F">
        <w:tc>
          <w:tcPr>
            <w:tcW w:w="4538" w:type="dxa"/>
          </w:tcPr>
          <w:p w14:paraId="7C5B5844" w14:textId="77777777" w:rsidR="00CD661C" w:rsidRPr="00927455" w:rsidRDefault="00CD661C" w:rsidP="003774D1">
            <w:pPr>
              <w:rPr>
                <w:lang w:val="fr-BE"/>
              </w:rPr>
            </w:pPr>
          </w:p>
        </w:tc>
      </w:tr>
      <w:tr w:rsidR="00CD661C" w:rsidRPr="00927455" w14:paraId="5E73E96B" w14:textId="77777777" w:rsidTr="004F667F">
        <w:tc>
          <w:tcPr>
            <w:tcW w:w="4538" w:type="dxa"/>
          </w:tcPr>
          <w:p w14:paraId="544DF821" w14:textId="77777777" w:rsidR="00CD661C" w:rsidRPr="00927455" w:rsidRDefault="00CD661C" w:rsidP="003774D1">
            <w:pPr>
              <w:rPr>
                <w:lang w:val="fr-BE"/>
              </w:rPr>
            </w:pPr>
          </w:p>
        </w:tc>
      </w:tr>
      <w:tr w:rsidR="00CD661C" w:rsidRPr="00CD661C" w14:paraId="72EA4D0B" w14:textId="77777777" w:rsidTr="004F667F">
        <w:tc>
          <w:tcPr>
            <w:tcW w:w="4538" w:type="dxa"/>
          </w:tcPr>
          <w:p w14:paraId="1FCE98B9" w14:textId="77777777" w:rsidR="00CD661C" w:rsidRPr="00927455" w:rsidRDefault="00CD661C" w:rsidP="003774D1">
            <w:pPr>
              <w:rPr>
                <w:b/>
              </w:rPr>
            </w:pPr>
            <w:r>
              <w:rPr>
                <w:b/>
              </w:rPr>
              <w:t xml:space="preserve">6.3 Buildings with different parts of different heights</w:t>
            </w:r>
          </w:p>
          <w:p w14:paraId="53C5A56E" w14:textId="77777777" w:rsidR="00CD661C" w:rsidRPr="00927455" w:rsidRDefault="00CD661C" w:rsidP="003774D1">
            <w:pPr>
              <w:rPr>
                <w:b/>
              </w:rPr>
            </w:pPr>
          </w:p>
        </w:tc>
      </w:tr>
      <w:tr w:rsidR="00CD661C" w:rsidRPr="00927455" w14:paraId="79042A57" w14:textId="77777777" w:rsidTr="004F667F">
        <w:tc>
          <w:tcPr>
            <w:tcW w:w="4538" w:type="dxa"/>
          </w:tcPr>
          <w:p w14:paraId="219A9443" w14:textId="77777777" w:rsidR="00CD661C" w:rsidRPr="00927455" w:rsidRDefault="00CD661C" w:rsidP="003C45E0">
            <w:r>
              <w:t xml:space="preserve">Buildings featuring different parts of different heights may be divided vertically according to the conventional height of each building part.</w:t>
            </w:r>
          </w:p>
          <w:p w14:paraId="42368C28" w14:textId="77777777" w:rsidR="00CD661C" w:rsidRPr="00927455" w:rsidRDefault="00CD661C" w:rsidP="003C45E0"/>
          <w:p w14:paraId="41ABAEC0" w14:textId="77777777" w:rsidR="00CD661C" w:rsidRPr="00927455" w:rsidRDefault="00CD661C" w:rsidP="003C45E0">
            <w:r>
              <w:t xml:space="preserve">The applicable provisions of points 6.1 and 6.2 are those corresponding to the conventional height of the part in question, but only from a horizontal distance of 5 m from the façade that dominates the part in question.</w:t>
            </w:r>
            <w:r>
              <w:t xml:space="preserve"> </w:t>
            </w:r>
            <w:r>
              <w:t xml:space="preserve">(Drawing 5.5)</w:t>
            </w:r>
          </w:p>
          <w:p w14:paraId="725BDBE1" w14:textId="77777777" w:rsidR="00CD661C" w:rsidRPr="00927455" w:rsidRDefault="00CD661C" w:rsidP="003C45E0">
            <w:pPr>
              <w:rPr>
                <w:lang w:val="fr-BE"/>
              </w:rPr>
            </w:pPr>
          </w:p>
        </w:tc>
      </w:tr>
      <w:tr w:rsidR="00CD661C" w:rsidRPr="00927455" w14:paraId="552A4796" w14:textId="77777777" w:rsidTr="004F667F">
        <w:tc>
          <w:tcPr>
            <w:tcW w:w="4538" w:type="dxa"/>
          </w:tcPr>
          <w:p w14:paraId="2FD94FB5" w14:textId="77777777" w:rsidR="00CD661C" w:rsidRPr="00927455" w:rsidRDefault="00CD661C" w:rsidP="003774D1">
            <w:pPr>
              <w:rPr>
                <w:lang w:val="fr-BE"/>
              </w:rPr>
            </w:pPr>
          </w:p>
        </w:tc>
      </w:tr>
    </w:tbl>
    <w:tbl>
      <w:tblPr>
        <w:tblStyle w:val="Tabelraster3"/>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C45E0" w:rsidRPr="00927455" w14:paraId="04CBEA67" w14:textId="77777777" w:rsidTr="00F93AB4">
        <w:tc>
          <w:tcPr>
            <w:tcW w:w="1020" w:type="dxa"/>
            <w:tcMar>
              <w:right w:w="0" w:type="dxa"/>
            </w:tcMar>
          </w:tcPr>
          <w:p w14:paraId="52092314" w14:textId="77777777" w:rsidR="003C45E0" w:rsidRPr="00927455" w:rsidRDefault="003C45E0" w:rsidP="00F93AB4">
            <w:pPr>
              <w:rPr>
                <w:lang w:val="nl-BE" w:eastAsia="nl-NL"/>
              </w:rPr>
            </w:pPr>
          </w:p>
        </w:tc>
        <w:tc>
          <w:tcPr>
            <w:tcW w:w="8833" w:type="dxa"/>
            <w:tcMar>
              <w:left w:w="0" w:type="dxa"/>
            </w:tcMar>
            <w:vAlign w:val="center"/>
          </w:tcPr>
          <w:p w14:paraId="43938B16" w14:textId="77777777" w:rsidR="003C45E0" w:rsidRPr="00927455" w:rsidRDefault="003C45E0" w:rsidP="00F93AB4">
            <w:pPr>
              <w:jc w:val="both"/>
              <w:rPr>
                <w:bCs/>
              </w:rPr>
            </w:pPr>
          </w:p>
          <w:p w14:paraId="0E4B9626" w14:textId="77777777" w:rsidR="003C45E0" w:rsidRPr="00927455" w:rsidRDefault="003C45E0" w:rsidP="00F93AB4">
            <w:pPr>
              <w:jc w:val="center"/>
            </w:pPr>
            <w:r>
              <w:drawing>
                <wp:inline distT="0" distB="0" distL="0" distR="0" wp14:anchorId="65648650" wp14:editId="5C818799">
                  <wp:extent cx="3938400" cy="3960000"/>
                  <wp:effectExtent l="0" t="0" r="5080" b="2540"/>
                  <wp:docPr id="42" name="Image 3" descr="C:\Users\bpifr03\Desktop\201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ifr03\Desktop\2019.0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3979" t="22111" r="35004" b="12228"/>
                          <a:stretch/>
                        </pic:blipFill>
                        <pic:spPr bwMode="auto">
                          <a:xfrm>
                            <a:off x="0" y="0"/>
                            <a:ext cx="3938400" cy="39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tbl>
      <w:tblPr>
        <w:tblStyle w:val="Grilledutableau"/>
        <w:tblW w:w="0" w:type="auto"/>
        <w:tblLook w:val="04A0" w:firstRow="1" w:lastRow="0" w:firstColumn="1" w:lastColumn="0" w:noHBand="0" w:noVBand="1"/>
      </w:tblPr>
      <w:tblGrid>
        <w:gridCol w:w="4531"/>
        <w:gridCol w:w="7"/>
      </w:tblGrid>
      <w:tr w:rsidR="00CD661C" w:rsidRPr="00927455" w14:paraId="2562AF45" w14:textId="77777777" w:rsidTr="004F667F">
        <w:tc>
          <w:tcPr>
            <w:tcW w:w="4538" w:type="dxa"/>
            <w:gridSpan w:val="2"/>
          </w:tcPr>
          <w:p w14:paraId="1DEC268B" w14:textId="77777777" w:rsidR="00CD661C" w:rsidRPr="00927455" w:rsidRDefault="00CD661C" w:rsidP="003774D1">
            <w:r>
              <w:t xml:space="preserve">Drawing 5.5</w:t>
            </w:r>
          </w:p>
        </w:tc>
      </w:tr>
      <w:tr w:rsidR="00CD661C" w:rsidRPr="00CD661C" w14:paraId="408ABB93" w14:textId="77777777" w:rsidTr="004F667F">
        <w:tc>
          <w:tcPr>
            <w:tcW w:w="4538" w:type="dxa"/>
            <w:gridSpan w:val="2"/>
          </w:tcPr>
          <w:p w14:paraId="55EAC088" w14:textId="1575D4AF" w:rsidR="00CD661C" w:rsidRPr="00927455" w:rsidRDefault="00CD661C" w:rsidP="003774D1">
            <w:pPr>
              <w:rPr>
                <w:b/>
              </w:rPr>
            </w:pPr>
            <w:r>
              <w:rPr>
                <w:b/>
              </w:rPr>
              <w:t xml:space="preserve">6.4 Buildings for which an urban planning permit application was submitted before 1 July 2022</w:t>
            </w:r>
          </w:p>
          <w:p w14:paraId="29E912C6" w14:textId="77777777" w:rsidR="00CD661C" w:rsidRPr="00927455" w:rsidRDefault="00CD661C" w:rsidP="003774D1">
            <w:pPr>
              <w:rPr>
                <w:b/>
              </w:rPr>
            </w:pPr>
          </w:p>
        </w:tc>
      </w:tr>
      <w:tr w:rsidR="00CD661C" w:rsidRPr="00CD661C" w14:paraId="0B1F3331" w14:textId="77777777" w:rsidTr="004F667F">
        <w:tc>
          <w:tcPr>
            <w:tcW w:w="4538" w:type="dxa"/>
            <w:gridSpan w:val="2"/>
          </w:tcPr>
          <w:p w14:paraId="254ACFDE" w14:textId="41995AB5" w:rsidR="00CD661C" w:rsidRPr="00927455" w:rsidRDefault="00CD661C" w:rsidP="003C45E0">
            <w:r>
              <w:t xml:space="preserve">Points 6.1 to 6.3 do not apply to façades on a building for which an urban planning permit application was submitted before 1 July 2022 if it meets the conditions below.</w:t>
            </w:r>
          </w:p>
          <w:p w14:paraId="42154CD8" w14:textId="77777777" w:rsidR="00CD661C" w:rsidRPr="00927455" w:rsidRDefault="00CD661C" w:rsidP="003C45E0"/>
          <w:p w14:paraId="4631C21A" w14:textId="77777777" w:rsidR="00CD661C" w:rsidRPr="00927455" w:rsidRDefault="00CD661C" w:rsidP="003C45E0">
            <w:r>
              <w:t xml:space="preserve">The façade claddings of the low-rise buildings are of Class D-s3, d1.</w:t>
            </w:r>
          </w:p>
          <w:p w14:paraId="7DF02BCB" w14:textId="77777777" w:rsidR="00CD661C" w:rsidRPr="00927455" w:rsidRDefault="00CD661C" w:rsidP="003C45E0"/>
          <w:p w14:paraId="01CD0E79" w14:textId="77777777" w:rsidR="00CD661C" w:rsidRPr="00927455" w:rsidRDefault="00CD661C" w:rsidP="003C45E0">
            <w:r>
              <w:t xml:space="preserve">The façade claddings of the mid and high-rise buildings are of Class B-s3, d1.</w:t>
            </w:r>
          </w:p>
          <w:p w14:paraId="32B0F806" w14:textId="77777777" w:rsidR="00CD661C" w:rsidRPr="00927455" w:rsidRDefault="00CD661C" w:rsidP="003C45E0"/>
          <w:p w14:paraId="4A27BD45" w14:textId="77777777" w:rsidR="00CD661C" w:rsidRPr="00927455" w:rsidRDefault="00CD661C" w:rsidP="003C45E0">
            <w:r>
              <w:t xml:space="preserve">A maximum of 5% of the visible area of the façades is not subject to this requirement.’.</w:t>
            </w:r>
          </w:p>
          <w:p w14:paraId="7194EEA8" w14:textId="77777777" w:rsidR="00CD661C" w:rsidRPr="00927455" w:rsidRDefault="00CD661C" w:rsidP="003C45E0"/>
        </w:tc>
      </w:tr>
      <w:tr w:rsidR="00CD661C" w:rsidRPr="00CD661C" w14:paraId="34D18BCF" w14:textId="77777777" w:rsidTr="004F667F">
        <w:tc>
          <w:tcPr>
            <w:tcW w:w="4538" w:type="dxa"/>
            <w:gridSpan w:val="2"/>
          </w:tcPr>
          <w:p w14:paraId="46FB90C7" w14:textId="77777777" w:rsidR="00CD661C" w:rsidRPr="00927455" w:rsidRDefault="00CD661C" w:rsidP="003774D1">
            <w:pPr>
              <w:rPr>
                <w:b/>
                <w:lang w:val="fr-BE"/>
              </w:rPr>
            </w:pPr>
          </w:p>
        </w:tc>
      </w:tr>
      <w:tr w:rsidR="00CD661C" w:rsidRPr="00CD661C" w14:paraId="6E3FA45D" w14:textId="77777777" w:rsidTr="004F667F">
        <w:tc>
          <w:tcPr>
            <w:tcW w:w="4538" w:type="dxa"/>
            <w:gridSpan w:val="2"/>
          </w:tcPr>
          <w:p w14:paraId="65ED4AEE" w14:textId="7524C2BE" w:rsidR="00CD661C" w:rsidRPr="00927455" w:rsidRDefault="00CD661C" w:rsidP="003774D1">
            <w:r>
              <w:rPr>
                <w:b/>
              </w:rPr>
              <w:t xml:space="preserve">Article 27.</w:t>
            </w:r>
            <w:r>
              <w:t xml:space="preserve"> </w:t>
            </w:r>
            <w:r>
              <w:t xml:space="preserve">A new paragraph is added to point 8.3 of the Annex 5/1 to the same decree, reading:</w:t>
            </w:r>
          </w:p>
          <w:p w14:paraId="5B607848" w14:textId="77777777" w:rsidR="00CD661C" w:rsidRPr="00927455" w:rsidRDefault="00CD661C" w:rsidP="007358D5">
            <w:r>
              <w:t xml:space="preserve">‘A wooden terrace on a flat roof is assumed to meet the requirements set out in point 8.1, i.e. Class B</w:t>
            </w:r>
            <w:r>
              <w:rPr>
                <w:vertAlign w:val="subscript"/>
              </w:rPr>
              <w:t xml:space="preserve">ROOF</w:t>
            </w:r>
            <w:r>
              <w:t xml:space="preserve"> (t1), if it meets the following conditions:</w:t>
            </w:r>
          </w:p>
          <w:p w14:paraId="1EF34A9C" w14:textId="77777777" w:rsidR="00CD661C" w:rsidRPr="00927455" w:rsidRDefault="00CD661C" w:rsidP="007358D5">
            <w:r>
              <w:t xml:space="preserve">- wooden terrace boards: minimum density of 750 kg/m³, thickness of 21 to 40 mm, minimum width of 120 mm, mechanical attachment to a wooden support structure, parallel or perpendicular to the roof slope</w:t>
            </w:r>
          </w:p>
          <w:p w14:paraId="7681FE16" w14:textId="77777777" w:rsidR="00CD661C" w:rsidRPr="00927455" w:rsidRDefault="00CD661C" w:rsidP="007358D5">
            <w:r>
              <w:t xml:space="preserve">- width of joints between boards:</w:t>
            </w:r>
            <w:r>
              <w:t xml:space="preserve"> </w:t>
            </w:r>
            <w:r>
              <w:t xml:space="preserve">4 to 6 mm</w:t>
            </w:r>
          </w:p>
          <w:p w14:paraId="73FD93C4" w14:textId="77777777" w:rsidR="00CD661C" w:rsidRPr="00927455" w:rsidRDefault="00CD661C" w:rsidP="007358D5">
            <w:r>
              <w:t xml:space="preserve">- wooden support structure: wooden joists (minimum density of 750 kg/m³, section of 60 x 40 mm), placed directly on the roof or with insertion of polypropylene floor pedestals (max. 6 per m²)</w:t>
            </w:r>
          </w:p>
          <w:p w14:paraId="621AB71E" w14:textId="77777777" w:rsidR="00CD661C" w:rsidRPr="00927455" w:rsidRDefault="00CD661C" w:rsidP="007358D5">
            <w:r>
              <w:t xml:space="preserve">- roofs under the wooden terrace: all flat roofs (slope of 0 to 20°) belonging to Class B</w:t>
            </w:r>
            <w:r>
              <w:rPr>
                <w:vertAlign w:val="subscript"/>
              </w:rPr>
              <w:t xml:space="preserve">ROOF</w:t>
            </w:r>
            <w:r>
              <w:t xml:space="preserve"> (t1).’.</w:t>
            </w:r>
          </w:p>
          <w:p w14:paraId="35EFEFE9" w14:textId="77777777" w:rsidR="00CD661C" w:rsidRPr="00927455" w:rsidRDefault="00CD661C" w:rsidP="003774D1"/>
        </w:tc>
      </w:tr>
      <w:tr w:rsidR="00CD661C" w:rsidRPr="00CD661C" w14:paraId="31DB4BAF" w14:textId="77777777" w:rsidTr="007262A6">
        <w:tc>
          <w:tcPr>
            <w:tcW w:w="4538" w:type="dxa"/>
            <w:gridSpan w:val="2"/>
          </w:tcPr>
          <w:p w14:paraId="1A916A4A" w14:textId="64E28816" w:rsidR="00CD661C" w:rsidRPr="00927455" w:rsidRDefault="00CD661C" w:rsidP="007262A6">
            <w:r>
              <w:rPr>
                <w:b/>
              </w:rPr>
              <w:t xml:space="preserve">Article 28.</w:t>
            </w:r>
            <w:r>
              <w:t xml:space="preserve"> </w:t>
            </w:r>
            <w:r>
              <w:t xml:space="preserve">In point 8.4.1 of the Annex 5/1 to the same decree, the abbreviation ‘NBN ENV’ is replaced with ‘CEN/TS’.</w:t>
            </w:r>
          </w:p>
          <w:p w14:paraId="57A75EF1" w14:textId="77777777" w:rsidR="00CD661C" w:rsidRPr="00927455" w:rsidRDefault="00CD661C" w:rsidP="00AB45D1"/>
        </w:tc>
      </w:tr>
      <w:tr w:rsidR="00CD661C" w:rsidRPr="00CD661C" w14:paraId="611A6389" w14:textId="77777777" w:rsidTr="004F667F">
        <w:tc>
          <w:tcPr>
            <w:tcW w:w="4538" w:type="dxa"/>
            <w:gridSpan w:val="2"/>
          </w:tcPr>
          <w:p w14:paraId="44F34D51" w14:textId="77777777" w:rsidR="00CD661C" w:rsidRPr="00927455" w:rsidRDefault="00CD661C" w:rsidP="003774D1">
            <w:pPr>
              <w:rPr>
                <w:b/>
                <w:lang w:val="fr-BE"/>
              </w:rPr>
            </w:pPr>
          </w:p>
        </w:tc>
      </w:tr>
      <w:tr w:rsidR="00CD661C" w:rsidRPr="00CD661C" w14:paraId="16075381" w14:textId="77777777" w:rsidTr="004F667F">
        <w:tc>
          <w:tcPr>
            <w:tcW w:w="4538" w:type="dxa"/>
            <w:gridSpan w:val="2"/>
          </w:tcPr>
          <w:p w14:paraId="4C6959E2" w14:textId="64032AA5" w:rsidR="00CD661C" w:rsidRPr="00927455" w:rsidRDefault="00CD661C" w:rsidP="003774D1">
            <w:pPr>
              <w:rPr>
                <w:b/>
              </w:rPr>
            </w:pPr>
            <w:r>
              <w:rPr>
                <w:b/>
              </w:rPr>
              <w:t xml:space="preserve">Chapter 7.</w:t>
            </w:r>
            <w:r>
              <w:rPr>
                <w:b/>
              </w:rPr>
              <w:t xml:space="preserve"> </w:t>
            </w:r>
            <w:r>
              <w:rPr>
                <w:b/>
              </w:rPr>
              <w:t xml:space="preserve">Amendments to the Annex 6 to the Royal Decree of 7 July 1994 laying down the basic fire and explosion prevention standards with which buildings must comply</w:t>
            </w:r>
          </w:p>
        </w:tc>
      </w:tr>
      <w:tr w:rsidR="00CD661C" w:rsidRPr="00CD661C" w14:paraId="213A98F5" w14:textId="77777777" w:rsidTr="007262A6">
        <w:tc>
          <w:tcPr>
            <w:tcW w:w="4538" w:type="dxa"/>
            <w:gridSpan w:val="2"/>
          </w:tcPr>
          <w:p w14:paraId="321B2A19" w14:textId="6C5BC45A" w:rsidR="00CD661C" w:rsidRPr="00927455" w:rsidRDefault="00CD661C" w:rsidP="007262A6">
            <w:r>
              <w:rPr>
                <w:b/>
              </w:rPr>
              <w:t xml:space="preserve">Article 29.</w:t>
            </w:r>
            <w:r>
              <w:rPr>
                <w:b/>
              </w:rPr>
              <w:t xml:space="preserve"> </w:t>
            </w:r>
            <w:r>
              <w:t xml:space="preserve">In point 1.2.1, paragraph 1, 3, fifth indent, of the Annex 6 to the same decree, the word ‘general’ is replaced with the word ‘total’ in the Dutch version.</w:t>
            </w:r>
          </w:p>
          <w:p w14:paraId="572AC2D5" w14:textId="77777777" w:rsidR="00CD661C" w:rsidRPr="00927455" w:rsidRDefault="00CD661C" w:rsidP="007262A6">
            <w:pPr>
              <w:rPr>
                <w:b/>
              </w:rPr>
            </w:pPr>
          </w:p>
        </w:tc>
      </w:tr>
      <w:tr w:rsidR="00CD661C" w:rsidRPr="00CD661C" w14:paraId="3DA15AEC" w14:textId="77777777" w:rsidTr="00E205DF">
        <w:tc>
          <w:tcPr>
            <w:tcW w:w="4538" w:type="dxa"/>
            <w:gridSpan w:val="2"/>
          </w:tcPr>
          <w:p w14:paraId="600AB92E" w14:textId="5FCD12FF" w:rsidR="00CD661C" w:rsidRPr="00927455" w:rsidRDefault="00CD661C" w:rsidP="00E205DF">
            <w:r>
              <w:rPr>
                <w:b/>
              </w:rPr>
              <w:t xml:space="preserve">Article 30.</w:t>
            </w:r>
            <w:r>
              <w:rPr>
                <w:b/>
              </w:rPr>
              <w:t xml:space="preserve"> </w:t>
            </w:r>
            <w:r>
              <w:t xml:space="preserve">In the title of point 3 of the Annex 6 to the same decree, a typographical correction is applied to the term ‘structural’ in the French version.</w:t>
            </w:r>
          </w:p>
          <w:p w14:paraId="166F132C" w14:textId="77777777" w:rsidR="00CD661C" w:rsidRPr="00927455" w:rsidRDefault="00CD661C" w:rsidP="00E205DF">
            <w:pPr>
              <w:rPr>
                <w:b/>
              </w:rPr>
            </w:pPr>
          </w:p>
        </w:tc>
      </w:tr>
      <w:tr w:rsidR="00CD661C" w:rsidRPr="00CD661C" w14:paraId="0F78B6C9" w14:textId="77777777" w:rsidTr="00E205DF">
        <w:tc>
          <w:tcPr>
            <w:tcW w:w="4538" w:type="dxa"/>
            <w:gridSpan w:val="2"/>
          </w:tcPr>
          <w:p w14:paraId="7229E586" w14:textId="1D2B0E10" w:rsidR="00CD661C" w:rsidRPr="00927455" w:rsidRDefault="00CD661C" w:rsidP="00E205DF">
            <w:r>
              <w:rPr>
                <w:b/>
              </w:rPr>
              <w:t xml:space="preserve">Article 31.</w:t>
            </w:r>
            <w:r>
              <w:rPr>
                <w:b/>
              </w:rPr>
              <w:t xml:space="preserve"> </w:t>
            </w:r>
            <w:r>
              <w:t xml:space="preserve">In the title and text of point 3.1 of the Annex 6 to the same decree, a typographical correction is applied to all instances of the term ‘structural’ in the masculine plural in the French version.</w:t>
            </w:r>
          </w:p>
          <w:p w14:paraId="4C57450F" w14:textId="77777777" w:rsidR="00CD661C" w:rsidRPr="00927455" w:rsidRDefault="00CD661C" w:rsidP="00E205DF">
            <w:pPr>
              <w:rPr>
                <w:b/>
              </w:rPr>
            </w:pPr>
          </w:p>
        </w:tc>
      </w:tr>
      <w:tr w:rsidR="00CD661C" w:rsidRPr="00CD661C" w14:paraId="317887C8" w14:textId="77777777" w:rsidTr="006C0FC8">
        <w:tc>
          <w:tcPr>
            <w:tcW w:w="4538" w:type="dxa"/>
            <w:gridSpan w:val="2"/>
          </w:tcPr>
          <w:p w14:paraId="25090926" w14:textId="537E8CBD" w:rsidR="00CD661C" w:rsidRPr="00927455" w:rsidRDefault="00CD661C" w:rsidP="006C0FC8">
            <w:r>
              <w:rPr>
                <w:b/>
              </w:rPr>
              <w:t xml:space="preserve">Article 32.</w:t>
            </w:r>
            <w:r>
              <w:rPr>
                <w:b/>
              </w:rPr>
              <w:t xml:space="preserve"> </w:t>
            </w:r>
            <w:r>
              <w:t xml:space="preserve">In the text and table in the point 3.3 of the Annex 6 to the same decree, a typographical correction is applied to all instances of the term ‘structural’ in the masculine singular and plural in the French version.</w:t>
            </w:r>
          </w:p>
          <w:p w14:paraId="66B0BF42" w14:textId="77777777" w:rsidR="00CD661C" w:rsidRPr="00927455" w:rsidRDefault="00CD661C" w:rsidP="006C0FC8">
            <w:pPr>
              <w:rPr>
                <w:b/>
              </w:rPr>
            </w:pPr>
          </w:p>
        </w:tc>
      </w:tr>
      <w:tr w:rsidR="00CD661C" w:rsidRPr="00CD661C" w14:paraId="0002C6E2" w14:textId="77777777" w:rsidTr="00E205DF">
        <w:tc>
          <w:tcPr>
            <w:tcW w:w="4538" w:type="dxa"/>
            <w:gridSpan w:val="2"/>
          </w:tcPr>
          <w:p w14:paraId="77FDDACB" w14:textId="0BA93BB1" w:rsidR="00CD661C" w:rsidRPr="00927455" w:rsidRDefault="00CD661C" w:rsidP="00E205DF">
            <w:r>
              <w:rPr>
                <w:b/>
              </w:rPr>
              <w:t xml:space="preserve">Article 33.</w:t>
            </w:r>
            <w:r>
              <w:rPr>
                <w:b/>
              </w:rPr>
              <w:t xml:space="preserve"> </w:t>
            </w:r>
            <w:r>
              <w:t xml:space="preserve">The point 3.4.3 of the Annex 6 to the same decree is amended as follows:</w:t>
            </w:r>
          </w:p>
          <w:p w14:paraId="60BFA776" w14:textId="77777777" w:rsidR="00CD661C" w:rsidRPr="00927455" w:rsidRDefault="00CD661C" w:rsidP="00E205DF"/>
        </w:tc>
      </w:tr>
      <w:tr w:rsidR="00CD661C" w:rsidRPr="00CD661C" w14:paraId="7E0A3E7F" w14:textId="77777777" w:rsidTr="00E205DF">
        <w:tc>
          <w:tcPr>
            <w:tcW w:w="4538" w:type="dxa"/>
            <w:gridSpan w:val="2"/>
          </w:tcPr>
          <w:p w14:paraId="05947F5B" w14:textId="77777777" w:rsidR="00CD661C" w:rsidRPr="00927455" w:rsidRDefault="00CD661C" w:rsidP="00E205DF">
            <w:r>
              <w:t xml:space="preserve">1° in the second indent of paragraph 2, the word ‘horizontal’ is removed;</w:t>
            </w:r>
          </w:p>
          <w:p w14:paraId="2CE682D4" w14:textId="77777777" w:rsidR="00CD661C" w:rsidRPr="00927455" w:rsidRDefault="00CD661C" w:rsidP="00E205DF">
            <w:pPr>
              <w:rPr>
                <w:b/>
              </w:rPr>
            </w:pPr>
          </w:p>
        </w:tc>
      </w:tr>
      <w:tr w:rsidR="00CD661C" w:rsidRPr="00CD661C" w14:paraId="1676FA51" w14:textId="77777777" w:rsidTr="00E205DF">
        <w:tc>
          <w:tcPr>
            <w:tcW w:w="4538" w:type="dxa"/>
            <w:gridSpan w:val="2"/>
          </w:tcPr>
          <w:p w14:paraId="0AFAB4A8" w14:textId="313B5422" w:rsidR="00CD661C" w:rsidRPr="00927455" w:rsidRDefault="00CD661C" w:rsidP="00C0174D">
            <w:r>
              <w:t xml:space="preserve">2° in the second indent of paragraph 2, ‘A1’ is replaced with ‘A1 and/or A2-s1, d0’;</w:t>
            </w:r>
          </w:p>
          <w:p w14:paraId="73CF0321" w14:textId="77777777" w:rsidR="00CD661C" w:rsidRPr="00927455" w:rsidRDefault="00CD661C" w:rsidP="00C0174D"/>
        </w:tc>
      </w:tr>
      <w:tr w:rsidR="00CD661C" w:rsidRPr="00CD661C" w14:paraId="4C40E8A0" w14:textId="77777777" w:rsidTr="00E205DF">
        <w:tc>
          <w:tcPr>
            <w:tcW w:w="4538" w:type="dxa"/>
            <w:gridSpan w:val="2"/>
          </w:tcPr>
          <w:p w14:paraId="6A0C8280" w14:textId="68096AB6" w:rsidR="00CD661C" w:rsidRPr="00927455" w:rsidRDefault="00CD661C" w:rsidP="00E205DF">
            <w:r>
              <w:t xml:space="preserve">3° in the second indent of paragraph 3, the word ‘horizontal’ is removed;</w:t>
            </w:r>
          </w:p>
          <w:p w14:paraId="7CF745C8" w14:textId="77777777" w:rsidR="00CD661C" w:rsidRPr="00927455" w:rsidRDefault="00CD661C" w:rsidP="00E205DF">
            <w:pPr>
              <w:rPr>
                <w:b/>
              </w:rPr>
            </w:pPr>
          </w:p>
        </w:tc>
      </w:tr>
      <w:tr w:rsidR="00CD661C" w:rsidRPr="00CD661C" w14:paraId="0ACD569D" w14:textId="77777777" w:rsidTr="00E205DF">
        <w:tc>
          <w:tcPr>
            <w:tcW w:w="4538" w:type="dxa"/>
            <w:gridSpan w:val="2"/>
          </w:tcPr>
          <w:p w14:paraId="57AAE0B7" w14:textId="1704931C" w:rsidR="00CD661C" w:rsidRPr="00927455" w:rsidRDefault="00CD661C" w:rsidP="00C0174D">
            <w:r>
              <w:t xml:space="preserve">4° in the second indent of the paragraph 3, ‘A1’ is replaced with ‘A1 and/or A2-s1, d0’.</w:t>
            </w:r>
          </w:p>
          <w:p w14:paraId="08275A8B" w14:textId="77777777" w:rsidR="00CD661C" w:rsidRPr="00927455" w:rsidRDefault="00CD661C" w:rsidP="00C0174D"/>
        </w:tc>
      </w:tr>
      <w:tr w:rsidR="00CD661C" w:rsidRPr="00CD661C" w14:paraId="023FC7FC" w14:textId="77777777" w:rsidTr="00E205DF">
        <w:tc>
          <w:tcPr>
            <w:tcW w:w="4538" w:type="dxa"/>
            <w:gridSpan w:val="2"/>
          </w:tcPr>
          <w:p w14:paraId="71292BB3" w14:textId="2B37E9CD" w:rsidR="00CD661C" w:rsidRPr="00927455" w:rsidRDefault="00CD661C" w:rsidP="00E205DF">
            <w:r>
              <w:rPr>
                <w:b/>
              </w:rPr>
              <w:t xml:space="preserve">Article 34.</w:t>
            </w:r>
            <w:r>
              <w:rPr>
                <w:b/>
              </w:rPr>
              <w:t xml:space="preserve"> </w:t>
            </w:r>
            <w:r>
              <w:t xml:space="preserve">In the point 5.2 of the Annex 6 to the same decree, the word ‘general’ is replaced with the word ‘total’ in the Dutch version.</w:t>
            </w:r>
          </w:p>
          <w:p w14:paraId="537E603F" w14:textId="77777777" w:rsidR="00CD661C" w:rsidRPr="00927455" w:rsidRDefault="00CD661C" w:rsidP="00E205DF">
            <w:pPr>
              <w:rPr>
                <w:b/>
              </w:rPr>
            </w:pPr>
          </w:p>
        </w:tc>
      </w:tr>
      <w:tr w:rsidR="00CD661C" w:rsidRPr="00CD661C" w14:paraId="2EDE9D69" w14:textId="77777777" w:rsidTr="00E205DF">
        <w:tc>
          <w:tcPr>
            <w:tcW w:w="4538" w:type="dxa"/>
            <w:gridSpan w:val="2"/>
          </w:tcPr>
          <w:p w14:paraId="63E7B582" w14:textId="7A36DB43" w:rsidR="00CD661C" w:rsidRPr="00927455" w:rsidRDefault="00CD661C" w:rsidP="00E205DF">
            <w:r>
              <w:rPr>
                <w:b/>
              </w:rPr>
              <w:t xml:space="preserve">Article 35.</w:t>
            </w:r>
            <w:r>
              <w:rPr>
                <w:b/>
              </w:rPr>
              <w:t xml:space="preserve"> </w:t>
            </w:r>
            <w:r>
              <w:t xml:space="preserve">The point 5.2.1 of the Annex 6 to the same decree is amended as follows:</w:t>
            </w:r>
          </w:p>
          <w:p w14:paraId="4B2B2773" w14:textId="77777777" w:rsidR="00CD661C" w:rsidRPr="00927455" w:rsidRDefault="00CD661C" w:rsidP="00E205DF"/>
        </w:tc>
      </w:tr>
      <w:tr w:rsidR="00CD661C" w:rsidRPr="00CD661C" w14:paraId="61A79D9A" w14:textId="77777777" w:rsidTr="00E205DF">
        <w:tc>
          <w:tcPr>
            <w:tcW w:w="4538" w:type="dxa"/>
            <w:gridSpan w:val="2"/>
          </w:tcPr>
          <w:p w14:paraId="2D49856F" w14:textId="77777777" w:rsidR="00CD661C" w:rsidRPr="00927455" w:rsidRDefault="00CD661C" w:rsidP="00E205DF">
            <w:r>
              <w:t xml:space="preserve">1° in paragraphs 1 and 2, a typographical correction is applied to every instance of the term ‘fire detection system’ in the Dutch version;</w:t>
            </w:r>
          </w:p>
          <w:p w14:paraId="7890C751" w14:textId="77777777" w:rsidR="00CD661C" w:rsidRPr="00927455" w:rsidRDefault="00CD661C" w:rsidP="00E205DF">
            <w:pPr>
              <w:rPr>
                <w:b/>
              </w:rPr>
            </w:pPr>
          </w:p>
        </w:tc>
      </w:tr>
      <w:tr w:rsidR="00CD661C" w:rsidRPr="00CD661C" w14:paraId="6B83379B" w14:textId="77777777" w:rsidTr="00E205DF">
        <w:tc>
          <w:tcPr>
            <w:tcW w:w="4538" w:type="dxa"/>
            <w:gridSpan w:val="2"/>
          </w:tcPr>
          <w:p w14:paraId="76561534" w14:textId="77777777" w:rsidR="00CD661C" w:rsidRPr="00927455" w:rsidRDefault="00CD661C" w:rsidP="00E205DF">
            <w:r>
              <w:t xml:space="preserve">2° paragraph 3 is amended as follows:</w:t>
            </w:r>
          </w:p>
          <w:p w14:paraId="5F785A2F" w14:textId="77777777" w:rsidR="00CD661C" w:rsidRPr="00927455" w:rsidRDefault="00CD661C" w:rsidP="00E205DF">
            <w:pPr>
              <w:rPr>
                <w:b/>
              </w:rPr>
            </w:pPr>
          </w:p>
        </w:tc>
      </w:tr>
      <w:tr w:rsidR="00CD661C" w:rsidRPr="00CD661C" w14:paraId="519875D6" w14:textId="77777777" w:rsidTr="00E205DF">
        <w:tc>
          <w:tcPr>
            <w:tcW w:w="4538" w:type="dxa"/>
            <w:gridSpan w:val="2"/>
          </w:tcPr>
          <w:p w14:paraId="23F9251B" w14:textId="77777777" w:rsidR="00CD661C" w:rsidRPr="00927455" w:rsidRDefault="00CD661C" w:rsidP="00E205DF">
            <w:r>
              <w:t xml:space="preserve">a) in the Dutch version, a typographical correction is applied to the term ‘recognition procedure’;</w:t>
            </w:r>
          </w:p>
          <w:p w14:paraId="28113096" w14:textId="77777777" w:rsidR="00CD661C" w:rsidRPr="00927455" w:rsidRDefault="00CD661C" w:rsidP="00E205DF">
            <w:pPr>
              <w:rPr>
                <w:b/>
              </w:rPr>
            </w:pPr>
          </w:p>
        </w:tc>
      </w:tr>
      <w:tr w:rsidR="00CD661C" w:rsidRPr="00CD661C" w14:paraId="236C5187" w14:textId="77777777" w:rsidTr="00E205DF">
        <w:tc>
          <w:tcPr>
            <w:tcW w:w="4538" w:type="dxa"/>
            <w:gridSpan w:val="2"/>
          </w:tcPr>
          <w:p w14:paraId="60ED76C5" w14:textId="77777777" w:rsidR="00CD661C" w:rsidRPr="00CD661C" w:rsidRDefault="00CD661C" w:rsidP="00E205DF">
            <w:r>
              <w:t xml:space="preserve">b) in the French version, the phrase ‘during commissioning, and after this’ is inserted between ‘This system shall be inspected’ and ‘once every three years’;</w:t>
            </w:r>
          </w:p>
          <w:p w14:paraId="10F25037" w14:textId="77777777" w:rsidR="00CD661C" w:rsidRPr="00CD661C" w:rsidRDefault="00CD661C" w:rsidP="00E205DF"/>
        </w:tc>
      </w:tr>
      <w:tr w:rsidR="00CD661C" w:rsidRPr="00CD661C" w14:paraId="55114974" w14:textId="77777777" w:rsidTr="006C0FC8">
        <w:tc>
          <w:tcPr>
            <w:tcW w:w="4538" w:type="dxa"/>
            <w:gridSpan w:val="2"/>
          </w:tcPr>
          <w:p w14:paraId="0D80724D" w14:textId="77777777" w:rsidR="00CD661C" w:rsidRPr="00927455" w:rsidRDefault="00CD661C" w:rsidP="006C0FC8">
            <w:r>
              <w:t xml:space="preserve">c) in the French version, the phrase ‘starting from commissioning’ is now removed.</w:t>
            </w:r>
          </w:p>
          <w:p w14:paraId="13ADA7AD" w14:textId="77777777" w:rsidR="00CD661C" w:rsidRPr="00927455" w:rsidRDefault="00CD661C" w:rsidP="006C0FC8">
            <w:pPr>
              <w:rPr>
                <w:lang w:val="fr-BE"/>
              </w:rPr>
            </w:pPr>
          </w:p>
        </w:tc>
      </w:tr>
      <w:tr w:rsidR="00CD661C" w:rsidRPr="00CD661C" w14:paraId="473F8462" w14:textId="77777777" w:rsidTr="009E07B6">
        <w:trPr>
          <w:gridAfter w:val="1"/>
          <w:wAfter w:w="7" w:type="dxa"/>
        </w:trPr>
        <w:tc>
          <w:tcPr>
            <w:tcW w:w="4531" w:type="dxa"/>
          </w:tcPr>
          <w:p w14:paraId="133BCEC5" w14:textId="387DD2A7" w:rsidR="00CD661C" w:rsidRPr="00927455" w:rsidRDefault="00CD661C" w:rsidP="008A5B71">
            <w:r>
              <w:rPr>
                <w:b/>
              </w:rPr>
              <w:t xml:space="preserve">Article 36.</w:t>
            </w:r>
            <w:r>
              <w:rPr>
                <w:b/>
              </w:rPr>
              <w:t xml:space="preserve"> </w:t>
            </w:r>
            <w:r>
              <w:t xml:space="preserve">The Point 5.3 of the Annex 6 to the same decree is now amended as follows:</w:t>
            </w:r>
          </w:p>
          <w:p w14:paraId="7878170E" w14:textId="77777777" w:rsidR="00CD661C" w:rsidRPr="00927455" w:rsidRDefault="00CD661C" w:rsidP="008A5B71"/>
        </w:tc>
      </w:tr>
      <w:tr w:rsidR="00CD661C" w:rsidRPr="00CD661C" w14:paraId="148622A6" w14:textId="77777777" w:rsidTr="009E07B6">
        <w:trPr>
          <w:gridAfter w:val="1"/>
          <w:wAfter w:w="7" w:type="dxa"/>
        </w:trPr>
        <w:tc>
          <w:tcPr>
            <w:tcW w:w="4531" w:type="dxa"/>
          </w:tcPr>
          <w:p w14:paraId="6AC6720D" w14:textId="77777777" w:rsidR="00CD661C" w:rsidRPr="00927455" w:rsidRDefault="00CD661C" w:rsidP="008A5B71">
            <w:pPr>
              <w:rPr>
                <w:noProof/>
                <w:rFonts w:cs="Times New Roman"/>
              </w:rPr>
            </w:pPr>
            <w:r>
              <w:t xml:space="preserve">1° in the paragraph 2, (1 and 2), all instances of the word ‘floor’ are removed in the French version;</w:t>
            </w:r>
          </w:p>
          <w:p w14:paraId="5A123D61" w14:textId="77777777" w:rsidR="00CD661C" w:rsidRPr="00927455" w:rsidRDefault="00CD661C" w:rsidP="008A5B71">
            <w:pPr>
              <w:rPr>
                <w:b/>
              </w:rPr>
            </w:pPr>
          </w:p>
        </w:tc>
      </w:tr>
      <w:tr w:rsidR="00CD661C" w:rsidRPr="00CD661C" w14:paraId="07040854" w14:textId="77777777" w:rsidTr="006C0FC8">
        <w:trPr>
          <w:gridAfter w:val="1"/>
          <w:wAfter w:w="7" w:type="dxa"/>
        </w:trPr>
        <w:tc>
          <w:tcPr>
            <w:tcW w:w="4531" w:type="dxa"/>
          </w:tcPr>
          <w:p w14:paraId="78EBF93E" w14:textId="77777777" w:rsidR="00CD661C" w:rsidRPr="00927455" w:rsidRDefault="00CD661C" w:rsidP="006C0FC8">
            <w:r>
              <w:t xml:space="preserve">2° in the paragraph 2, point 3, the phrase ‘automatic gas or water mist extinguishing system’ is replaced with ‘automatic water mist, foam or gas extinguishing system’.</w:t>
            </w:r>
          </w:p>
          <w:p w14:paraId="0FC5AF8B" w14:textId="77777777" w:rsidR="00CD661C" w:rsidRPr="00927455" w:rsidRDefault="00CD661C" w:rsidP="006C0FC8"/>
        </w:tc>
      </w:tr>
      <w:tr w:rsidR="00CD661C" w:rsidRPr="00CD661C" w14:paraId="1D8510FF" w14:textId="77777777" w:rsidTr="00DE0158">
        <w:trPr>
          <w:gridAfter w:val="1"/>
          <w:wAfter w:w="7" w:type="dxa"/>
        </w:trPr>
        <w:tc>
          <w:tcPr>
            <w:tcW w:w="4531" w:type="dxa"/>
          </w:tcPr>
          <w:p w14:paraId="40C0440D" w14:textId="2C8F944F" w:rsidR="00CD661C" w:rsidRPr="00927455" w:rsidRDefault="00CD661C" w:rsidP="000E742F">
            <w:pPr>
              <w:rPr>
                <w:noProof/>
                <w:rFonts w:cs="Times New Roman"/>
              </w:rPr>
            </w:pPr>
            <w:r>
              <w:rPr>
                <w:b/>
              </w:rPr>
              <w:t xml:space="preserve">Article 37.</w:t>
            </w:r>
            <w:r>
              <w:rPr>
                <w:b/>
              </w:rPr>
              <w:t xml:space="preserve"> </w:t>
            </w:r>
            <w:r>
              <w:t xml:space="preserve">In point 5.3.1, paragraph 2 of the Annex 6 to the same decree, all instances of the word ‘floor’ are removed in the French version.</w:t>
            </w:r>
          </w:p>
          <w:p w14:paraId="2AFF6FC8" w14:textId="77777777" w:rsidR="00CD661C" w:rsidRPr="00927455" w:rsidRDefault="00CD661C" w:rsidP="00185ED0">
            <w:pPr>
              <w:rPr>
                <w:b/>
              </w:rPr>
            </w:pPr>
          </w:p>
        </w:tc>
      </w:tr>
      <w:tr w:rsidR="00CD661C" w:rsidRPr="00CD661C" w14:paraId="5DFB0C46" w14:textId="77777777" w:rsidTr="006C0FC8">
        <w:tc>
          <w:tcPr>
            <w:tcW w:w="4538" w:type="dxa"/>
            <w:gridSpan w:val="2"/>
          </w:tcPr>
          <w:p w14:paraId="14E9C19C" w14:textId="032AC6FC" w:rsidR="00CD661C" w:rsidRPr="00927455" w:rsidRDefault="00CD661C" w:rsidP="006C0FC8">
            <w:r>
              <w:rPr>
                <w:b/>
              </w:rPr>
              <w:t xml:space="preserve">Article 38.</w:t>
            </w:r>
            <w:r>
              <w:rPr>
                <w:b/>
              </w:rPr>
              <w:t xml:space="preserve"> </w:t>
            </w:r>
            <w:r>
              <w:t xml:space="preserve">In the point 7.2.2 of the Annex 6 to the same decree, ‘point 1.2.2’ is replaced with ‘point 1.2.1’.</w:t>
            </w:r>
          </w:p>
          <w:p w14:paraId="66B52F46" w14:textId="77777777" w:rsidR="00CD661C" w:rsidRPr="00927455" w:rsidRDefault="00CD661C" w:rsidP="006C0FC8">
            <w:pPr>
              <w:rPr>
                <w:b/>
              </w:rPr>
            </w:pPr>
          </w:p>
        </w:tc>
      </w:tr>
      <w:tr w:rsidR="00CD661C" w:rsidRPr="00CD661C" w14:paraId="3A0FA48C" w14:textId="77777777" w:rsidTr="00BA772A">
        <w:tc>
          <w:tcPr>
            <w:tcW w:w="4538" w:type="dxa"/>
            <w:gridSpan w:val="2"/>
          </w:tcPr>
          <w:p w14:paraId="0312B080" w14:textId="46011B25" w:rsidR="00CD661C" w:rsidRPr="00927455" w:rsidRDefault="00CD661C" w:rsidP="000E742F">
            <w:pPr>
              <w:rPr>
                <w:noProof/>
                <w:rFonts w:cs="Times New Roman"/>
              </w:rPr>
            </w:pPr>
            <w:r>
              <w:rPr>
                <w:b/>
              </w:rPr>
              <w:t xml:space="preserve">Article 39.</w:t>
            </w:r>
            <w:r>
              <w:rPr>
                <w:b/>
              </w:rPr>
              <w:t xml:space="preserve"> </w:t>
            </w:r>
            <w:r>
              <w:t xml:space="preserve">In point 8.1.1, paragraph 2, points 2° and 3°) of the Annex 6 to the same decree, all instances of the phrase ‘total area’ are replaced with ‘floor area’.</w:t>
            </w:r>
          </w:p>
          <w:p w14:paraId="7F09D485" w14:textId="77777777" w:rsidR="00CD661C" w:rsidRPr="00927455" w:rsidRDefault="00CD661C" w:rsidP="000E742F">
            <w:pPr>
              <w:rPr>
                <w:b/>
              </w:rPr>
            </w:pPr>
          </w:p>
        </w:tc>
      </w:tr>
      <w:tr w:rsidR="00CD661C" w:rsidRPr="00CD661C" w14:paraId="2F8A4C90" w14:textId="77777777" w:rsidTr="006C0FC8">
        <w:tc>
          <w:tcPr>
            <w:tcW w:w="4538" w:type="dxa"/>
            <w:gridSpan w:val="2"/>
          </w:tcPr>
          <w:p w14:paraId="052852AC" w14:textId="77777777" w:rsidR="00CD661C" w:rsidRPr="00927455" w:rsidRDefault="00CD661C" w:rsidP="006C0FC8">
            <w:pPr>
              <w:rPr>
                <w:b/>
                <w:lang w:val="fr-BE"/>
              </w:rPr>
            </w:pPr>
          </w:p>
        </w:tc>
      </w:tr>
      <w:tr w:rsidR="00CD661C" w:rsidRPr="00CD661C" w14:paraId="15B04112" w14:textId="77777777" w:rsidTr="004F667F">
        <w:tc>
          <w:tcPr>
            <w:tcW w:w="4538" w:type="dxa"/>
            <w:gridSpan w:val="2"/>
          </w:tcPr>
          <w:p w14:paraId="67A8038E" w14:textId="4359CF31" w:rsidR="00CD661C" w:rsidRPr="00927455" w:rsidRDefault="00CD661C" w:rsidP="003774D1">
            <w:pPr>
              <w:rPr>
                <w:b/>
              </w:rPr>
            </w:pPr>
            <w:r>
              <w:rPr>
                <w:b/>
              </w:rPr>
              <w:t xml:space="preserve">Chapter 8.</w:t>
            </w:r>
            <w:r>
              <w:rPr>
                <w:b/>
              </w:rPr>
              <w:t xml:space="preserve"> </w:t>
            </w:r>
            <w:r>
              <w:rPr>
                <w:b/>
              </w:rPr>
              <w:t xml:space="preserve">Amendments to the Annex 7 to the Royal Decree of 7 July 1994 laying down the basic fire and explosion prevention standards with which buildings must comply</w:t>
            </w:r>
          </w:p>
          <w:p w14:paraId="339D5739" w14:textId="77777777" w:rsidR="00CD661C" w:rsidRPr="00927455" w:rsidRDefault="00CD661C" w:rsidP="003774D1">
            <w:pPr>
              <w:rPr>
                <w:b/>
              </w:rPr>
            </w:pPr>
          </w:p>
        </w:tc>
      </w:tr>
      <w:tr w:rsidR="00CD661C" w:rsidRPr="00CD661C" w14:paraId="799127E1" w14:textId="77777777" w:rsidTr="002757C3">
        <w:tc>
          <w:tcPr>
            <w:tcW w:w="4538" w:type="dxa"/>
            <w:gridSpan w:val="2"/>
          </w:tcPr>
          <w:p w14:paraId="25BCFF58" w14:textId="7F365C24" w:rsidR="00CD661C" w:rsidRPr="00927455" w:rsidRDefault="00CD661C" w:rsidP="002757C3">
            <w:r>
              <w:rPr>
                <w:b/>
              </w:rPr>
              <w:t xml:space="preserve">Article 40.</w:t>
            </w:r>
            <w:r>
              <w:rPr>
                <w:b/>
              </w:rPr>
              <w:t xml:space="preserve"> </w:t>
            </w:r>
            <w:r>
              <w:t xml:space="preserve">In the second indent of the point 2.2, paragraph 2 of the Annex 7 to the same decree, the term ‘car parks’ is replaced with a synonym in the Dutch version.</w:t>
            </w:r>
          </w:p>
          <w:p w14:paraId="5E9CA876" w14:textId="77777777" w:rsidR="00CD661C" w:rsidRPr="00927455" w:rsidRDefault="00CD661C" w:rsidP="000E742F"/>
        </w:tc>
      </w:tr>
      <w:tr w:rsidR="00CD661C" w:rsidRPr="00CD661C" w14:paraId="43995A89" w14:textId="77777777" w:rsidTr="000E742F">
        <w:tc>
          <w:tcPr>
            <w:tcW w:w="4538" w:type="dxa"/>
            <w:gridSpan w:val="2"/>
          </w:tcPr>
          <w:p w14:paraId="50B3E14B" w14:textId="72E806E4" w:rsidR="00CD661C" w:rsidRPr="00927455" w:rsidRDefault="00CD661C" w:rsidP="000E742F">
            <w:r>
              <w:rPr>
                <w:b/>
              </w:rPr>
              <w:t xml:space="preserve">Article 41.</w:t>
            </w:r>
            <w:r>
              <w:rPr>
                <w:b/>
              </w:rPr>
              <w:t xml:space="preserve"> </w:t>
            </w:r>
            <w:r>
              <w:t xml:space="preserve">In the Annex 7 to the same decree, a point 3 is inserted, containing points 3.1 to 3.8, reading:</w:t>
            </w:r>
          </w:p>
          <w:p w14:paraId="1FD6CC25" w14:textId="77777777" w:rsidR="00CD661C" w:rsidRPr="00927455" w:rsidRDefault="00CD661C" w:rsidP="000E742F"/>
        </w:tc>
      </w:tr>
      <w:tr w:rsidR="00CD661C" w:rsidRPr="00CD661C" w14:paraId="7182E1F3" w14:textId="77777777" w:rsidTr="002757C3">
        <w:tc>
          <w:tcPr>
            <w:tcW w:w="4538" w:type="dxa"/>
            <w:gridSpan w:val="2"/>
          </w:tcPr>
          <w:p w14:paraId="6D3321B1" w14:textId="77777777" w:rsidR="00CD661C" w:rsidRPr="00927455" w:rsidRDefault="00CD661C" w:rsidP="002757C3">
            <w:pPr>
              <w:rPr>
                <w:b/>
                <w:lang w:val="fr-BE"/>
              </w:rPr>
            </w:pPr>
          </w:p>
        </w:tc>
      </w:tr>
      <w:tr w:rsidR="00CD661C" w:rsidRPr="00927455" w14:paraId="131BD0B5" w14:textId="77777777" w:rsidTr="002757C3">
        <w:tc>
          <w:tcPr>
            <w:tcW w:w="4538" w:type="dxa"/>
            <w:gridSpan w:val="2"/>
          </w:tcPr>
          <w:p w14:paraId="45232382" w14:textId="77777777" w:rsidR="00CD661C" w:rsidRPr="00927455" w:rsidRDefault="00CD661C" w:rsidP="002757C3">
            <w:pPr>
              <w:rPr>
                <w:b/>
              </w:rPr>
            </w:pPr>
            <w:r>
              <w:t xml:space="preserve">‘</w:t>
            </w:r>
            <w:r>
              <w:rPr>
                <w:b/>
              </w:rPr>
              <w:t xml:space="preserve">3. CAR PARKS</w:t>
            </w:r>
          </w:p>
          <w:p w14:paraId="7016125B" w14:textId="77777777" w:rsidR="00CD661C" w:rsidRPr="00927455" w:rsidRDefault="00CD661C" w:rsidP="002757C3">
            <w:pPr>
              <w:rPr>
                <w:b/>
              </w:rPr>
            </w:pPr>
          </w:p>
        </w:tc>
      </w:tr>
      <w:tr w:rsidR="00CD661C" w:rsidRPr="00CD661C" w14:paraId="3992DFFF" w14:textId="77777777" w:rsidTr="004F667F">
        <w:tc>
          <w:tcPr>
            <w:tcW w:w="4538" w:type="dxa"/>
            <w:gridSpan w:val="2"/>
          </w:tcPr>
          <w:p w14:paraId="2D227E5B" w14:textId="77777777" w:rsidR="00CD661C" w:rsidRPr="00927455" w:rsidRDefault="00CD661C" w:rsidP="00882C7F">
            <w:pPr>
              <w:rPr>
                <w:b/>
              </w:rPr>
            </w:pPr>
            <w:r>
              <w:rPr>
                <w:b/>
              </w:rPr>
              <w:t xml:space="preserve">3.1</w:t>
            </w:r>
            <w:r>
              <w:rPr>
                <w:b/>
              </w:rPr>
              <w:tab/>
            </w:r>
            <w:r>
              <w:rPr>
                <w:b/>
              </w:rPr>
              <w:t xml:space="preserve">Subject matter</w:t>
            </w:r>
          </w:p>
          <w:p w14:paraId="1F56314B" w14:textId="7AC892AB" w:rsidR="00CD661C" w:rsidRPr="00927455" w:rsidRDefault="00CD661C" w:rsidP="00882C7F">
            <w:r>
              <w:t xml:space="preserve">This chapter sets out the conditions that the design, construction and layout of a car park must meet in order to:</w:t>
            </w:r>
          </w:p>
          <w:p w14:paraId="48ADC19E" w14:textId="77777777" w:rsidR="00CD661C" w:rsidRPr="00927455" w:rsidRDefault="00CD661C" w:rsidP="00882C7F"/>
          <w:p w14:paraId="4CE9AD27" w14:textId="77777777" w:rsidR="00CD661C" w:rsidRPr="00927455" w:rsidRDefault="00CD661C" w:rsidP="00882C7F">
            <w:r>
              <w:t xml:space="preserve">a)</w:t>
            </w:r>
            <w:r>
              <w:tab/>
            </w:r>
            <w:r>
              <w:t xml:space="preserve">prevent fires from starting, growing and spreading;</w:t>
            </w:r>
          </w:p>
          <w:p w14:paraId="3BA49A71" w14:textId="77777777" w:rsidR="00CD661C" w:rsidRPr="00927455" w:rsidRDefault="00CD661C" w:rsidP="00882C7F">
            <w:r>
              <w:t xml:space="preserve">b)</w:t>
            </w:r>
            <w:r>
              <w:tab/>
            </w:r>
            <w:r>
              <w:t xml:space="preserve">guarantee the safety of persons present;</w:t>
            </w:r>
          </w:p>
          <w:p w14:paraId="34C5C2C2" w14:textId="77777777" w:rsidR="00CD661C" w:rsidRPr="00927455" w:rsidRDefault="00CD661C" w:rsidP="00882C7F">
            <w:r>
              <w:t xml:space="preserve">c)</w:t>
            </w:r>
            <w:r>
              <w:tab/>
            </w:r>
            <w:r>
              <w:t xml:space="preserve">facilitate potential fire brigade operations.</w:t>
            </w:r>
          </w:p>
          <w:p w14:paraId="21CD60EC" w14:textId="77777777" w:rsidR="00CD661C" w:rsidRPr="00927455" w:rsidRDefault="00CD661C" w:rsidP="00882C7F"/>
        </w:tc>
      </w:tr>
      <w:tr w:rsidR="00CD661C" w:rsidRPr="00CD661C" w14:paraId="4C55A201" w14:textId="77777777" w:rsidTr="004F667F">
        <w:tc>
          <w:tcPr>
            <w:tcW w:w="4538" w:type="dxa"/>
            <w:gridSpan w:val="2"/>
          </w:tcPr>
          <w:p w14:paraId="52A81C9E" w14:textId="77777777" w:rsidR="00CD661C" w:rsidRPr="00927455" w:rsidRDefault="00CD661C" w:rsidP="00882C7F">
            <w:pPr>
              <w:rPr>
                <w:b/>
              </w:rPr>
            </w:pPr>
            <w:r>
              <w:rPr>
                <w:b/>
              </w:rPr>
              <w:t xml:space="preserve">3.2</w:t>
            </w:r>
            <w:r>
              <w:rPr>
                <w:b/>
              </w:rPr>
              <w:tab/>
            </w:r>
            <w:r>
              <w:rPr>
                <w:b/>
              </w:rPr>
              <w:t xml:space="preserve">Scope</w:t>
            </w:r>
          </w:p>
          <w:p w14:paraId="165EB138" w14:textId="77777777" w:rsidR="00CD661C" w:rsidRPr="00927455" w:rsidRDefault="00CD661C" w:rsidP="00882C7F">
            <w:r>
              <w:tab/>
            </w:r>
            <w:r>
              <w:t xml:space="preserve">The provisions of this chapter apply to the car parks referred to in the point 5.2.4 of the Annexes 2/1, 3/1 and 4/1 to this Decree.</w:t>
            </w:r>
          </w:p>
          <w:p w14:paraId="49C16053" w14:textId="77777777" w:rsidR="00CD661C" w:rsidRPr="00927455" w:rsidRDefault="00CD661C" w:rsidP="003774D1"/>
        </w:tc>
      </w:tr>
      <w:tr w:rsidR="00CD661C" w:rsidRPr="00CD661C" w14:paraId="47F4B2A3" w14:textId="77777777" w:rsidTr="004F667F">
        <w:tc>
          <w:tcPr>
            <w:tcW w:w="4538" w:type="dxa"/>
            <w:gridSpan w:val="2"/>
          </w:tcPr>
          <w:p w14:paraId="0C34E36A" w14:textId="77777777" w:rsidR="00CD661C" w:rsidRPr="00927455" w:rsidRDefault="00CD661C" w:rsidP="00882C7F">
            <w:pPr>
              <w:rPr>
                <w:b/>
              </w:rPr>
            </w:pPr>
            <w:r>
              <w:rPr>
                <w:b/>
              </w:rPr>
              <w:t xml:space="preserve">3.3</w:t>
            </w:r>
            <w:r>
              <w:rPr>
                <w:b/>
              </w:rPr>
              <w:tab/>
            </w:r>
            <w:r>
              <w:rPr>
                <w:b/>
              </w:rPr>
              <w:t xml:space="preserve">Fire protection</w:t>
            </w:r>
          </w:p>
          <w:p w14:paraId="640502A4" w14:textId="77777777" w:rsidR="00CD661C" w:rsidRPr="00927455" w:rsidRDefault="00CD661C" w:rsidP="00882C7F">
            <w:r>
              <w:tab/>
            </w:r>
            <w:r>
              <w:t xml:space="preserve">The design, implementation, use and inspection of fire protection systems must meet good engineering practices and the applicable standards.</w:t>
            </w:r>
          </w:p>
          <w:p w14:paraId="2F434311" w14:textId="77777777" w:rsidR="00CD661C" w:rsidRPr="00927455" w:rsidRDefault="00CD661C" w:rsidP="00882C7F"/>
          <w:p w14:paraId="4270B5D2" w14:textId="77777777" w:rsidR="00CD661C" w:rsidRPr="00927455" w:rsidRDefault="00CD661C" w:rsidP="00882C7F">
            <w:r>
              <w:t xml:space="preserve">Active fire protection systems must be designed so the different components are compatible with one another.</w:t>
            </w:r>
            <w:r>
              <w:t xml:space="preserve"> </w:t>
            </w:r>
            <w:r>
              <w:t xml:space="preserve">They must work together properly so the functioning or failure of one component does not jeopardise the functioning of the other systems and components.</w:t>
            </w:r>
          </w:p>
          <w:p w14:paraId="78FC2089" w14:textId="77777777" w:rsidR="00CD661C" w:rsidRPr="00927455" w:rsidRDefault="00CD661C" w:rsidP="00882C7F"/>
          <w:p w14:paraId="7B793382" w14:textId="77777777" w:rsidR="00CD661C" w:rsidRPr="00927455" w:rsidRDefault="00CD661C" w:rsidP="00882C7F">
            <w:r>
              <w:t xml:space="preserve">A competent body or person must inspect and maintain the active fire protection systems at regular intervals.</w:t>
            </w:r>
          </w:p>
          <w:p w14:paraId="73B9F949" w14:textId="77777777" w:rsidR="00CD661C" w:rsidRPr="00927455" w:rsidRDefault="00CD661C" w:rsidP="00882C7F"/>
          <w:p w14:paraId="409D577C" w14:textId="77777777" w:rsidR="00CD661C" w:rsidRPr="00927455" w:rsidRDefault="00CD661C" w:rsidP="00882C7F">
            <w:r>
              <w:t xml:space="preserve">The special requirements on electrical lines for the controls and power supply of active fire protection systems still apply.</w:t>
            </w:r>
          </w:p>
          <w:p w14:paraId="6F321486" w14:textId="77777777" w:rsidR="00CD661C" w:rsidRPr="00927455" w:rsidRDefault="00CD661C" w:rsidP="003774D1"/>
        </w:tc>
      </w:tr>
      <w:tr w:rsidR="00CD661C" w:rsidRPr="00CD661C" w14:paraId="35EC7AC4" w14:textId="77777777" w:rsidTr="004F667F">
        <w:tc>
          <w:tcPr>
            <w:tcW w:w="4538" w:type="dxa"/>
            <w:gridSpan w:val="2"/>
          </w:tcPr>
          <w:p w14:paraId="1175E239" w14:textId="77777777" w:rsidR="00CD661C" w:rsidRPr="00927455" w:rsidRDefault="00CD661C" w:rsidP="00513C3D">
            <w:pPr>
              <w:rPr>
                <w:b/>
              </w:rPr>
            </w:pPr>
            <w:r>
              <w:rPr>
                <w:b/>
              </w:rPr>
              <w:t xml:space="preserve">3.3.1</w:t>
            </w:r>
            <w:r>
              <w:rPr>
                <w:b/>
              </w:rPr>
              <w:tab/>
            </w:r>
            <w:r>
              <w:rPr>
                <w:b/>
              </w:rPr>
              <w:t xml:space="preserve">Protection type</w:t>
            </w:r>
          </w:p>
          <w:p w14:paraId="7274515D" w14:textId="77777777" w:rsidR="00CD661C" w:rsidRPr="00927455" w:rsidRDefault="00CD661C" w:rsidP="00513C3D">
            <w:r>
              <w:tab/>
            </w:r>
            <w:r>
              <w:t xml:space="preserve">Different protection types are distinguished based on the fire protection concept applied:</w:t>
            </w:r>
          </w:p>
          <w:p w14:paraId="73624083" w14:textId="77777777" w:rsidR="00CD661C" w:rsidRPr="00927455" w:rsidRDefault="00CD661C" w:rsidP="00513C3D">
            <w:r>
              <w:t xml:space="preserve">-</w:t>
            </w:r>
            <w:r>
              <w:tab/>
            </w:r>
            <w:r>
              <w:t xml:space="preserve">SHEV &amp; sprinkler</w:t>
            </w:r>
          </w:p>
          <w:p w14:paraId="1B51D8CE" w14:textId="77777777" w:rsidR="00CD661C" w:rsidRPr="00927455" w:rsidRDefault="00CD661C" w:rsidP="00513C3D">
            <w:r>
              <w:t xml:space="preserve">-</w:t>
            </w:r>
            <w:r>
              <w:tab/>
            </w:r>
            <w:r>
              <w:t xml:space="preserve">SHEV</w:t>
            </w:r>
          </w:p>
          <w:p w14:paraId="2DF70A03" w14:textId="77777777" w:rsidR="00CD661C" w:rsidRPr="00927455" w:rsidRDefault="00CD661C" w:rsidP="00513C3D">
            <w:r>
              <w:t xml:space="preserve">-</w:t>
            </w:r>
            <w:r>
              <w:tab/>
            </w:r>
            <w:r>
              <w:t xml:space="preserve">Sprinkler</w:t>
            </w:r>
          </w:p>
          <w:p w14:paraId="7947F140" w14:textId="77777777" w:rsidR="00CD661C" w:rsidRPr="00927455" w:rsidRDefault="00CD661C" w:rsidP="00513C3D">
            <w:r>
              <w:t xml:space="preserve">-</w:t>
            </w:r>
            <w:r>
              <w:tab/>
            </w:r>
            <w:r>
              <w:t xml:space="preserve">Ventilation opening</w:t>
            </w:r>
          </w:p>
          <w:p w14:paraId="57FF0E1F" w14:textId="77777777" w:rsidR="00CD661C" w:rsidRPr="00927455" w:rsidRDefault="00CD661C" w:rsidP="00513C3D">
            <w:r>
              <w:t xml:space="preserve">-</w:t>
            </w:r>
            <w:r>
              <w:tab/>
            </w:r>
            <w:r>
              <w:t xml:space="preserve">Open</w:t>
            </w:r>
          </w:p>
          <w:p w14:paraId="6ECDAE6D" w14:textId="77777777" w:rsidR="00CD661C" w:rsidRPr="00927455" w:rsidRDefault="00CD661C" w:rsidP="00513C3D">
            <w:r>
              <w:tab/>
            </w:r>
            <w:r>
              <w:t xml:space="preserve">In car parks with a total area of over 250 m²(*), one of these protection types must be applied on every parking level, as shown in the table below.</w:t>
            </w:r>
          </w:p>
        </w:tc>
      </w:tr>
      <w:tr w:rsidR="00CD661C" w:rsidRPr="00CD661C" w14:paraId="40A4A58C" w14:textId="77777777" w:rsidTr="004F667F">
        <w:tc>
          <w:tcPr>
            <w:tcW w:w="4538" w:type="dxa"/>
            <w:gridSpan w:val="2"/>
          </w:tcPr>
          <w:p w14:paraId="4C2E7516" w14:textId="77777777" w:rsidR="00CD661C" w:rsidRPr="00927455" w:rsidRDefault="00CD661C" w:rsidP="003774D1">
            <w:pPr>
              <w:rPr>
                <w:lang w:val="fr-BE"/>
              </w:rPr>
            </w:pPr>
          </w:p>
        </w:tc>
      </w:tr>
      <w:tr w:rsidR="00CD661C" w:rsidRPr="00CD661C" w14:paraId="01FE2E9B" w14:textId="77777777" w:rsidTr="004F667F">
        <w:tc>
          <w:tcPr>
            <w:tcW w:w="4538" w:type="dxa"/>
            <w:gridSpan w:val="2"/>
          </w:tcPr>
          <w:p w14:paraId="076FBF68" w14:textId="77777777" w:rsidR="00CD661C" w:rsidRPr="00927455" w:rsidRDefault="00CD661C" w:rsidP="003774D1">
            <w:pPr>
              <w:rPr>
                <w:lang w:val="fr-BE"/>
              </w:rPr>
            </w:pPr>
          </w:p>
        </w:tc>
      </w:tr>
    </w:tbl>
    <w:tbl>
      <w:tblPr>
        <w:tblStyle w:val="Tabelraster12"/>
        <w:tblW w:w="98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DD7F4D" w:rsidRPr="00927455" w14:paraId="51AE4D3B" w14:textId="77777777" w:rsidTr="00DD7F4D">
        <w:trPr>
          <w:cantSplit/>
        </w:trPr>
        <w:tc>
          <w:tcPr>
            <w:tcW w:w="1020" w:type="dxa"/>
            <w:shd w:val="clear" w:color="auto" w:fill="auto"/>
            <w:tcMar>
              <w:right w:w="0" w:type="dxa"/>
            </w:tcMar>
          </w:tcPr>
          <w:p w14:paraId="0F4E9F11" w14:textId="77777777" w:rsidR="00DD7F4D" w:rsidRPr="00927455" w:rsidRDefault="00DD7F4D" w:rsidP="002757C3">
            <w:pPr>
              <w:rPr>
                <w:lang w:val="fr-BE" w:eastAsia="nl-NL"/>
              </w:rPr>
            </w:pPr>
          </w:p>
        </w:tc>
        <w:tc>
          <w:tcPr>
            <w:tcW w:w="8833" w:type="dxa"/>
            <w:tcMar>
              <w:left w:w="0" w:type="dxa"/>
            </w:tcMar>
          </w:tcPr>
          <w:tbl>
            <w:tblPr>
              <w:tblStyle w:val="Tabelraster12"/>
              <w:tblW w:w="8752" w:type="dxa"/>
              <w:tblLayout w:type="fixed"/>
              <w:tblCellMar>
                <w:top w:w="85" w:type="dxa"/>
                <w:left w:w="85" w:type="dxa"/>
                <w:bottom w:w="85" w:type="dxa"/>
                <w:right w:w="85" w:type="dxa"/>
              </w:tblCellMar>
              <w:tblLook w:val="04A0" w:firstRow="1" w:lastRow="0" w:firstColumn="1" w:lastColumn="0" w:noHBand="0" w:noVBand="1"/>
            </w:tblPr>
            <w:tblGrid>
              <w:gridCol w:w="502"/>
              <w:gridCol w:w="559"/>
              <w:gridCol w:w="283"/>
              <w:gridCol w:w="703"/>
              <w:gridCol w:w="1613"/>
              <w:gridCol w:w="1273"/>
              <w:gridCol w:w="1273"/>
              <w:gridCol w:w="1273"/>
              <w:gridCol w:w="1273"/>
            </w:tblGrid>
            <w:tr w:rsidR="00DD7F4D" w:rsidRPr="00927455" w14:paraId="15E9E0FC" w14:textId="77777777" w:rsidTr="002757C3">
              <w:tc>
                <w:tcPr>
                  <w:tcW w:w="1061" w:type="dxa"/>
                  <w:gridSpan w:val="2"/>
                  <w:tcBorders>
                    <w:top w:val="nil"/>
                    <w:left w:val="nil"/>
                    <w:bottom w:val="nil"/>
                    <w:right w:val="nil"/>
                  </w:tcBorders>
                  <w:vAlign w:val="center"/>
                </w:tcPr>
                <w:p w14:paraId="56390FD7" w14:textId="77777777" w:rsidR="00DD7F4D" w:rsidRPr="00927455" w:rsidRDefault="00DD7F4D" w:rsidP="002757C3">
                  <w:pPr>
                    <w:jc w:val="center"/>
                    <w:rPr>
                      <w:szCs w:val="16"/>
                      <w:lang w:val="fr-BE"/>
                    </w:rPr>
                  </w:pPr>
                </w:p>
              </w:tc>
              <w:tc>
                <w:tcPr>
                  <w:tcW w:w="283" w:type="dxa"/>
                  <w:tcBorders>
                    <w:top w:val="nil"/>
                    <w:left w:val="nil"/>
                    <w:bottom w:val="nil"/>
                  </w:tcBorders>
                  <w:vAlign w:val="center"/>
                </w:tcPr>
                <w:p w14:paraId="66219294" w14:textId="77777777" w:rsidR="00DD7F4D" w:rsidRPr="00927455" w:rsidRDefault="00DD7F4D" w:rsidP="002757C3">
                  <w:pPr>
                    <w:jc w:val="center"/>
                    <w:rPr>
                      <w:szCs w:val="16"/>
                      <w:lang w:val="fr-BE"/>
                    </w:rPr>
                  </w:pPr>
                </w:p>
              </w:tc>
              <w:tc>
                <w:tcPr>
                  <w:tcW w:w="7408" w:type="dxa"/>
                  <w:gridSpan w:val="6"/>
                  <w:tcBorders>
                    <w:bottom w:val="single" w:sz="12" w:space="0" w:color="auto"/>
                  </w:tcBorders>
                </w:tcPr>
                <w:p w14:paraId="3101320D" w14:textId="77777777" w:rsidR="00DD7F4D" w:rsidRPr="00927455" w:rsidRDefault="00DD7F4D" w:rsidP="002757C3">
                  <w:pPr>
                    <w:jc w:val="center"/>
                    <w:rPr>
                      <w:b/>
                      <w:szCs w:val="16"/>
                    </w:rPr>
                  </w:pPr>
                  <w:r>
                    <w:rPr>
                      <w:b/>
                    </w:rPr>
                    <w:t xml:space="preserve">Total area of car park S</w:t>
                  </w:r>
                </w:p>
              </w:tc>
            </w:tr>
            <w:tr w:rsidR="00DD7F4D" w:rsidRPr="00927455" w14:paraId="3DA3E951" w14:textId="77777777" w:rsidTr="002757C3">
              <w:tc>
                <w:tcPr>
                  <w:tcW w:w="1061" w:type="dxa"/>
                  <w:gridSpan w:val="2"/>
                  <w:tcBorders>
                    <w:top w:val="nil"/>
                    <w:left w:val="nil"/>
                    <w:bottom w:val="nil"/>
                    <w:right w:val="nil"/>
                  </w:tcBorders>
                  <w:vAlign w:val="center"/>
                </w:tcPr>
                <w:p w14:paraId="4868E93B" w14:textId="77777777" w:rsidR="00DD7F4D" w:rsidRPr="00927455" w:rsidRDefault="00DD7F4D" w:rsidP="002757C3">
                  <w:pPr>
                    <w:jc w:val="center"/>
                    <w:rPr>
                      <w:szCs w:val="16"/>
                      <w:lang w:val="nl-BE"/>
                    </w:rPr>
                  </w:pPr>
                </w:p>
              </w:tc>
              <w:tc>
                <w:tcPr>
                  <w:tcW w:w="283" w:type="dxa"/>
                  <w:tcBorders>
                    <w:top w:val="nil"/>
                    <w:left w:val="nil"/>
                    <w:bottom w:val="nil"/>
                  </w:tcBorders>
                  <w:vAlign w:val="center"/>
                </w:tcPr>
                <w:p w14:paraId="7BC8536C" w14:textId="77777777" w:rsidR="00DD7F4D" w:rsidRPr="00927455" w:rsidRDefault="00DD7F4D" w:rsidP="002757C3">
                  <w:pPr>
                    <w:jc w:val="center"/>
                    <w:rPr>
                      <w:szCs w:val="16"/>
                      <w:lang w:val="nl-BE"/>
                    </w:rPr>
                  </w:pPr>
                </w:p>
              </w:tc>
              <w:tc>
                <w:tcPr>
                  <w:tcW w:w="703" w:type="dxa"/>
                  <w:vMerge w:val="restart"/>
                  <w:tcBorders>
                    <w:top w:val="single" w:sz="12" w:space="0" w:color="auto"/>
                  </w:tcBorders>
                  <w:vAlign w:val="center"/>
                </w:tcPr>
                <w:p w14:paraId="4F355204" w14:textId="77777777" w:rsidR="00DD7F4D" w:rsidRPr="00927455" w:rsidRDefault="00DD7F4D" w:rsidP="002757C3">
                  <w:pPr>
                    <w:jc w:val="center"/>
                    <w:rPr>
                      <w:szCs w:val="16"/>
                    </w:rPr>
                  </w:pPr>
                  <w:r>
                    <w:t xml:space="preserve">S</w:t>
                  </w:r>
                </w:p>
                <w:p w14:paraId="4B983FFD" w14:textId="77777777" w:rsidR="00DD7F4D" w:rsidRPr="00927455" w:rsidRDefault="00DD7F4D" w:rsidP="002757C3">
                  <w:pPr>
                    <w:jc w:val="center"/>
                    <w:rPr>
                      <w:szCs w:val="16"/>
                    </w:rPr>
                  </w:pPr>
                  <w:r>
                    <w:t xml:space="preserve">≤</w:t>
                  </w:r>
                </w:p>
                <w:p w14:paraId="2ADBB344" w14:textId="77777777" w:rsidR="00DD7F4D" w:rsidRPr="00927455" w:rsidRDefault="00DD7F4D" w:rsidP="002757C3">
                  <w:pPr>
                    <w:jc w:val="center"/>
                    <w:rPr>
                      <w:szCs w:val="16"/>
                    </w:rPr>
                  </w:pPr>
                  <w:r>
                    <w:t xml:space="preserve">250</w:t>
                  </w:r>
                </w:p>
                <w:p w14:paraId="4978EFD3" w14:textId="77777777" w:rsidR="00DD7F4D" w:rsidRPr="00927455" w:rsidRDefault="00DD7F4D" w:rsidP="002757C3">
                  <w:pPr>
                    <w:jc w:val="center"/>
                    <w:rPr>
                      <w:szCs w:val="16"/>
                    </w:rPr>
                  </w:pPr>
                  <w:r>
                    <w:t xml:space="preserve">m²</w:t>
                  </w:r>
                </w:p>
                <w:p w14:paraId="3F954D5D" w14:textId="77777777" w:rsidR="00DD7F4D" w:rsidRPr="00927455" w:rsidRDefault="00DD7F4D" w:rsidP="002757C3">
                  <w:pPr>
                    <w:jc w:val="center"/>
                    <w:rPr>
                      <w:szCs w:val="16"/>
                    </w:rPr>
                  </w:pPr>
                  <w:r>
                    <w:t xml:space="preserve">(*)</w:t>
                  </w:r>
                </w:p>
              </w:tc>
              <w:tc>
                <w:tcPr>
                  <w:tcW w:w="5432" w:type="dxa"/>
                  <w:gridSpan w:val="4"/>
                  <w:tcBorders>
                    <w:top w:val="single" w:sz="12" w:space="0" w:color="auto"/>
                  </w:tcBorders>
                </w:tcPr>
                <w:p w14:paraId="5DC5CF36" w14:textId="77777777" w:rsidR="00DD7F4D" w:rsidRPr="00927455" w:rsidRDefault="00DD7F4D" w:rsidP="002757C3">
                  <w:pPr>
                    <w:jc w:val="center"/>
                    <w:rPr>
                      <w:szCs w:val="16"/>
                    </w:rPr>
                  </w:pPr>
                  <w:r>
                    <w:t xml:space="preserve">250 m² (*) &lt; S ≤ 60 000 m²</w:t>
                  </w:r>
                </w:p>
              </w:tc>
              <w:tc>
                <w:tcPr>
                  <w:tcW w:w="1273" w:type="dxa"/>
                  <w:vMerge w:val="restart"/>
                  <w:tcBorders>
                    <w:top w:val="single" w:sz="12" w:space="0" w:color="auto"/>
                  </w:tcBorders>
                  <w:vAlign w:val="center"/>
                </w:tcPr>
                <w:p w14:paraId="08AB3013" w14:textId="77777777" w:rsidR="00DD7F4D" w:rsidRPr="00927455" w:rsidRDefault="00DD7F4D" w:rsidP="002757C3">
                  <w:pPr>
                    <w:jc w:val="center"/>
                    <w:rPr>
                      <w:szCs w:val="16"/>
                    </w:rPr>
                  </w:pPr>
                  <w:r>
                    <w:t xml:space="preserve">S</w:t>
                  </w:r>
                </w:p>
                <w:p w14:paraId="2A5FFA22" w14:textId="77777777" w:rsidR="00DD7F4D" w:rsidRPr="00927455" w:rsidRDefault="00DD7F4D" w:rsidP="002757C3">
                  <w:pPr>
                    <w:jc w:val="center"/>
                    <w:rPr>
                      <w:szCs w:val="16"/>
                    </w:rPr>
                  </w:pPr>
                  <w:r>
                    <w:t xml:space="preserve">&gt;</w:t>
                  </w:r>
                </w:p>
                <w:p w14:paraId="3F0BAACA" w14:textId="77777777" w:rsidR="00DD7F4D" w:rsidRPr="00927455" w:rsidRDefault="00DD7F4D" w:rsidP="002757C3">
                  <w:pPr>
                    <w:jc w:val="center"/>
                    <w:rPr>
                      <w:szCs w:val="16"/>
                    </w:rPr>
                  </w:pPr>
                  <w:r>
                    <w:t xml:space="preserve">60 000 m²</w:t>
                  </w:r>
                </w:p>
              </w:tc>
            </w:tr>
            <w:tr w:rsidR="00DD7F4D" w:rsidRPr="00927455" w14:paraId="3330677F" w14:textId="77777777" w:rsidTr="002757C3">
              <w:tc>
                <w:tcPr>
                  <w:tcW w:w="1061" w:type="dxa"/>
                  <w:gridSpan w:val="2"/>
                  <w:tcBorders>
                    <w:top w:val="nil"/>
                    <w:left w:val="nil"/>
                    <w:bottom w:val="nil"/>
                    <w:right w:val="nil"/>
                  </w:tcBorders>
                  <w:vAlign w:val="center"/>
                </w:tcPr>
                <w:p w14:paraId="543A8B69" w14:textId="77777777" w:rsidR="00DD7F4D" w:rsidRPr="00927455" w:rsidRDefault="00DD7F4D" w:rsidP="002757C3">
                  <w:pPr>
                    <w:jc w:val="center"/>
                    <w:rPr>
                      <w:szCs w:val="16"/>
                      <w:lang w:val="nl-BE"/>
                    </w:rPr>
                  </w:pPr>
                </w:p>
              </w:tc>
              <w:tc>
                <w:tcPr>
                  <w:tcW w:w="283" w:type="dxa"/>
                  <w:tcBorders>
                    <w:top w:val="nil"/>
                    <w:left w:val="nil"/>
                    <w:bottom w:val="nil"/>
                  </w:tcBorders>
                  <w:vAlign w:val="center"/>
                </w:tcPr>
                <w:p w14:paraId="650323D1" w14:textId="77777777" w:rsidR="00DD7F4D" w:rsidRPr="00927455" w:rsidRDefault="00DD7F4D" w:rsidP="002757C3">
                  <w:pPr>
                    <w:jc w:val="center"/>
                    <w:rPr>
                      <w:szCs w:val="16"/>
                      <w:lang w:val="nl-BE"/>
                    </w:rPr>
                  </w:pPr>
                </w:p>
              </w:tc>
              <w:tc>
                <w:tcPr>
                  <w:tcW w:w="703" w:type="dxa"/>
                  <w:vMerge/>
                  <w:vAlign w:val="center"/>
                </w:tcPr>
                <w:p w14:paraId="4481FF9D" w14:textId="77777777" w:rsidR="00DD7F4D" w:rsidRPr="00927455" w:rsidRDefault="00DD7F4D" w:rsidP="002757C3">
                  <w:pPr>
                    <w:jc w:val="center"/>
                    <w:rPr>
                      <w:szCs w:val="16"/>
                      <w:lang w:val="nl-BE"/>
                    </w:rPr>
                  </w:pPr>
                </w:p>
              </w:tc>
              <w:tc>
                <w:tcPr>
                  <w:tcW w:w="5432" w:type="dxa"/>
                  <w:gridSpan w:val="4"/>
                </w:tcPr>
                <w:p w14:paraId="4A37F916" w14:textId="12A4E828" w:rsidR="00DD7F4D" w:rsidRPr="00927455" w:rsidRDefault="00DD7F4D" w:rsidP="002757C3">
                  <w:pPr>
                    <w:jc w:val="center"/>
                    <w:rPr>
                      <w:b/>
                      <w:szCs w:val="16"/>
                    </w:rPr>
                  </w:pPr>
                  <w:r>
                    <w:rPr>
                      <w:b/>
                    </w:rPr>
                    <w:t xml:space="preserve">Area of the largest subcompartment S</w:t>
                  </w:r>
                  <w:r>
                    <w:rPr>
                      <w:b/>
                      <w:vertAlign w:val="subscript"/>
                    </w:rPr>
                    <w:t xml:space="preserve">sc</w:t>
                  </w:r>
                </w:p>
              </w:tc>
              <w:tc>
                <w:tcPr>
                  <w:tcW w:w="1273" w:type="dxa"/>
                  <w:vMerge/>
                  <w:vAlign w:val="center"/>
                </w:tcPr>
                <w:p w14:paraId="605B8CAB" w14:textId="77777777" w:rsidR="00DD7F4D" w:rsidRPr="00927455" w:rsidRDefault="00DD7F4D" w:rsidP="002757C3">
                  <w:pPr>
                    <w:jc w:val="center"/>
                    <w:rPr>
                      <w:szCs w:val="16"/>
                      <w:lang w:val="nl-BE"/>
                    </w:rPr>
                  </w:pPr>
                </w:p>
              </w:tc>
            </w:tr>
            <w:tr w:rsidR="00DD7F4D" w:rsidRPr="00927455" w14:paraId="60888009" w14:textId="77777777" w:rsidTr="002757C3">
              <w:tc>
                <w:tcPr>
                  <w:tcW w:w="1061" w:type="dxa"/>
                  <w:gridSpan w:val="2"/>
                  <w:tcBorders>
                    <w:top w:val="nil"/>
                    <w:left w:val="nil"/>
                    <w:bottom w:val="nil"/>
                    <w:right w:val="nil"/>
                  </w:tcBorders>
                  <w:vAlign w:val="center"/>
                </w:tcPr>
                <w:p w14:paraId="62FF31C6" w14:textId="77777777" w:rsidR="00DD7F4D" w:rsidRPr="00927455" w:rsidRDefault="00DD7F4D" w:rsidP="002757C3">
                  <w:pPr>
                    <w:jc w:val="center"/>
                    <w:rPr>
                      <w:szCs w:val="16"/>
                      <w:lang w:val="nl-BE"/>
                    </w:rPr>
                  </w:pPr>
                </w:p>
              </w:tc>
              <w:tc>
                <w:tcPr>
                  <w:tcW w:w="283" w:type="dxa"/>
                  <w:tcBorders>
                    <w:top w:val="nil"/>
                    <w:left w:val="nil"/>
                    <w:bottom w:val="nil"/>
                  </w:tcBorders>
                  <w:vAlign w:val="center"/>
                </w:tcPr>
                <w:p w14:paraId="7325736F" w14:textId="77777777" w:rsidR="00DD7F4D" w:rsidRPr="00927455" w:rsidRDefault="00DD7F4D" w:rsidP="002757C3">
                  <w:pPr>
                    <w:jc w:val="center"/>
                    <w:rPr>
                      <w:szCs w:val="16"/>
                      <w:lang w:val="nl-BE"/>
                    </w:rPr>
                  </w:pPr>
                </w:p>
              </w:tc>
              <w:tc>
                <w:tcPr>
                  <w:tcW w:w="703" w:type="dxa"/>
                  <w:vMerge/>
                  <w:tcBorders>
                    <w:bottom w:val="single" w:sz="4" w:space="0" w:color="auto"/>
                  </w:tcBorders>
                  <w:vAlign w:val="center"/>
                </w:tcPr>
                <w:p w14:paraId="7ECA68D9" w14:textId="77777777" w:rsidR="00DD7F4D" w:rsidRPr="00927455" w:rsidRDefault="00DD7F4D" w:rsidP="002757C3">
                  <w:pPr>
                    <w:jc w:val="center"/>
                    <w:rPr>
                      <w:szCs w:val="16"/>
                      <w:lang w:val="nl-BE"/>
                    </w:rPr>
                  </w:pPr>
                </w:p>
              </w:tc>
              <w:tc>
                <w:tcPr>
                  <w:tcW w:w="1613" w:type="dxa"/>
                  <w:tcBorders>
                    <w:top w:val="single" w:sz="12" w:space="0" w:color="auto"/>
                    <w:bottom w:val="single" w:sz="4" w:space="0" w:color="auto"/>
                  </w:tcBorders>
                  <w:vAlign w:val="center"/>
                </w:tcPr>
                <w:p w14:paraId="36255308" w14:textId="77777777" w:rsidR="00DD7F4D" w:rsidRPr="00927455" w:rsidRDefault="00DD7F4D" w:rsidP="002757C3">
                  <w:pPr>
                    <w:jc w:val="center"/>
                    <w:rPr>
                      <w:szCs w:val="16"/>
                    </w:rPr>
                  </w:pPr>
                  <w:r>
                    <w:t xml:space="preserve">S</w:t>
                  </w:r>
                  <w:r>
                    <w:rPr>
                      <w:vertAlign w:val="subscript"/>
                    </w:rPr>
                    <w:t xml:space="preserve">sc</w:t>
                  </w:r>
                  <w:r>
                    <w:t xml:space="preserve"> ≤</w:t>
                  </w:r>
                </w:p>
                <w:p w14:paraId="50EF19AB" w14:textId="77777777" w:rsidR="00DD7F4D" w:rsidRPr="00927455" w:rsidRDefault="00DD7F4D" w:rsidP="002757C3">
                  <w:pPr>
                    <w:jc w:val="center"/>
                    <w:rPr>
                      <w:szCs w:val="16"/>
                    </w:rPr>
                  </w:pPr>
                  <w:r>
                    <w:t xml:space="preserve">1 250 m²</w:t>
                  </w:r>
                </w:p>
              </w:tc>
              <w:tc>
                <w:tcPr>
                  <w:tcW w:w="1273" w:type="dxa"/>
                  <w:tcBorders>
                    <w:top w:val="single" w:sz="12" w:space="0" w:color="auto"/>
                    <w:bottom w:val="single" w:sz="4" w:space="0" w:color="auto"/>
                  </w:tcBorders>
                </w:tcPr>
                <w:p w14:paraId="7FB8A50F" w14:textId="77777777" w:rsidR="00DD7F4D" w:rsidRPr="00927455" w:rsidRDefault="00DD7F4D" w:rsidP="002757C3">
                  <w:pPr>
                    <w:jc w:val="center"/>
                    <w:rPr>
                      <w:szCs w:val="16"/>
                    </w:rPr>
                  </w:pPr>
                  <w:r>
                    <w:t xml:space="preserve">1 250 m²</w:t>
                  </w:r>
                </w:p>
                <w:p w14:paraId="69A13EE3" w14:textId="77777777" w:rsidR="00DD7F4D" w:rsidRPr="00927455" w:rsidRDefault="00DD7F4D" w:rsidP="002757C3">
                  <w:pPr>
                    <w:jc w:val="center"/>
                    <w:rPr>
                      <w:szCs w:val="16"/>
                    </w:rPr>
                  </w:pPr>
                  <w:r>
                    <w:t xml:space="preserve">&lt; S</w:t>
                  </w:r>
                  <w:r>
                    <w:rPr>
                      <w:vertAlign w:val="subscript"/>
                    </w:rPr>
                    <w:t xml:space="preserve">sc</w:t>
                  </w:r>
                  <w:r>
                    <w:t xml:space="preserve"> ≤</w:t>
                  </w:r>
                </w:p>
                <w:p w14:paraId="69F66FD7" w14:textId="77777777" w:rsidR="00DD7F4D" w:rsidRPr="00927455" w:rsidRDefault="00DD7F4D" w:rsidP="002757C3">
                  <w:pPr>
                    <w:jc w:val="center"/>
                    <w:rPr>
                      <w:szCs w:val="16"/>
                    </w:rPr>
                  </w:pPr>
                  <w:r>
                    <w:t xml:space="preserve">2 500 m²</w:t>
                  </w:r>
                </w:p>
              </w:tc>
              <w:tc>
                <w:tcPr>
                  <w:tcW w:w="1273" w:type="dxa"/>
                  <w:tcBorders>
                    <w:top w:val="single" w:sz="12" w:space="0" w:color="auto"/>
                    <w:bottom w:val="single" w:sz="4" w:space="0" w:color="auto"/>
                  </w:tcBorders>
                  <w:vAlign w:val="center"/>
                </w:tcPr>
                <w:p w14:paraId="2E2D8218" w14:textId="77777777" w:rsidR="00DD7F4D" w:rsidRPr="00927455" w:rsidRDefault="00DD7F4D" w:rsidP="002757C3">
                  <w:pPr>
                    <w:jc w:val="center"/>
                    <w:rPr>
                      <w:szCs w:val="16"/>
                    </w:rPr>
                  </w:pPr>
                  <w:r>
                    <w:t xml:space="preserve">2 500 m²</w:t>
                  </w:r>
                </w:p>
                <w:p w14:paraId="22E49748" w14:textId="77777777" w:rsidR="00DD7F4D" w:rsidRPr="00927455" w:rsidRDefault="00DD7F4D" w:rsidP="002757C3">
                  <w:pPr>
                    <w:jc w:val="center"/>
                    <w:rPr>
                      <w:szCs w:val="16"/>
                    </w:rPr>
                  </w:pPr>
                  <w:r>
                    <w:t xml:space="preserve">&lt; S</w:t>
                  </w:r>
                  <w:r>
                    <w:rPr>
                      <w:vertAlign w:val="subscript"/>
                    </w:rPr>
                    <w:t xml:space="preserve">sc</w:t>
                  </w:r>
                  <w:r>
                    <w:t xml:space="preserve"> ≤</w:t>
                  </w:r>
                </w:p>
                <w:p w14:paraId="368C605A" w14:textId="77777777" w:rsidR="00DD7F4D" w:rsidRPr="00927455" w:rsidRDefault="00DD7F4D" w:rsidP="002757C3">
                  <w:pPr>
                    <w:jc w:val="center"/>
                    <w:rPr>
                      <w:szCs w:val="16"/>
                    </w:rPr>
                  </w:pPr>
                  <w:r>
                    <w:t xml:space="preserve">5 000 m²</w:t>
                  </w:r>
                </w:p>
              </w:tc>
              <w:tc>
                <w:tcPr>
                  <w:tcW w:w="1273" w:type="dxa"/>
                  <w:tcBorders>
                    <w:top w:val="single" w:sz="12" w:space="0" w:color="auto"/>
                    <w:bottom w:val="single" w:sz="4" w:space="0" w:color="auto"/>
                  </w:tcBorders>
                  <w:vAlign w:val="center"/>
                </w:tcPr>
                <w:p w14:paraId="42592334" w14:textId="77777777" w:rsidR="00DD7F4D" w:rsidRPr="00927455" w:rsidRDefault="00DD7F4D" w:rsidP="002757C3">
                  <w:pPr>
                    <w:jc w:val="center"/>
                    <w:rPr>
                      <w:szCs w:val="16"/>
                    </w:rPr>
                  </w:pPr>
                  <w:r>
                    <w:t xml:space="preserve">5 000 m²</w:t>
                  </w:r>
                </w:p>
                <w:p w14:paraId="70A858CE" w14:textId="77777777" w:rsidR="00DD7F4D" w:rsidRPr="00927455" w:rsidRDefault="00DD7F4D" w:rsidP="002757C3">
                  <w:pPr>
                    <w:jc w:val="center"/>
                    <w:rPr>
                      <w:szCs w:val="16"/>
                    </w:rPr>
                  </w:pPr>
                  <w:r>
                    <w:t xml:space="preserve">&lt; S</w:t>
                  </w:r>
                  <w:r>
                    <w:rPr>
                      <w:vertAlign w:val="subscript"/>
                    </w:rPr>
                    <w:t xml:space="preserve">sc</w:t>
                  </w:r>
                </w:p>
              </w:tc>
              <w:tc>
                <w:tcPr>
                  <w:tcW w:w="1273" w:type="dxa"/>
                  <w:vMerge/>
                  <w:tcBorders>
                    <w:bottom w:val="single" w:sz="4" w:space="0" w:color="auto"/>
                  </w:tcBorders>
                  <w:vAlign w:val="center"/>
                </w:tcPr>
                <w:p w14:paraId="0563CBA7" w14:textId="77777777" w:rsidR="00DD7F4D" w:rsidRPr="00927455" w:rsidRDefault="00DD7F4D" w:rsidP="002757C3">
                  <w:pPr>
                    <w:jc w:val="center"/>
                    <w:rPr>
                      <w:szCs w:val="16"/>
                      <w:lang w:val="nl-BE"/>
                    </w:rPr>
                  </w:pPr>
                </w:p>
              </w:tc>
            </w:tr>
            <w:tr w:rsidR="00DD7F4D" w:rsidRPr="00927455" w14:paraId="0418AFA3" w14:textId="77777777" w:rsidTr="002757C3">
              <w:trPr>
                <w:trHeight w:val="170"/>
              </w:trPr>
              <w:tc>
                <w:tcPr>
                  <w:tcW w:w="1061" w:type="dxa"/>
                  <w:gridSpan w:val="2"/>
                  <w:tcBorders>
                    <w:top w:val="nil"/>
                    <w:left w:val="nil"/>
                    <w:bottom w:val="single" w:sz="4" w:space="0" w:color="auto"/>
                    <w:right w:val="nil"/>
                  </w:tcBorders>
                  <w:tcMar>
                    <w:top w:w="0" w:type="dxa"/>
                    <w:bottom w:w="0" w:type="dxa"/>
                  </w:tcMar>
                  <w:vAlign w:val="center"/>
                </w:tcPr>
                <w:p w14:paraId="6FA4C636" w14:textId="77777777" w:rsidR="00DD7F4D" w:rsidRPr="00927455" w:rsidRDefault="00DD7F4D" w:rsidP="002757C3">
                  <w:pPr>
                    <w:jc w:val="center"/>
                    <w:rPr>
                      <w:sz w:val="18"/>
                      <w:szCs w:val="18"/>
                      <w:lang w:val="nl-BE"/>
                    </w:rPr>
                  </w:pPr>
                </w:p>
              </w:tc>
              <w:tc>
                <w:tcPr>
                  <w:tcW w:w="283" w:type="dxa"/>
                  <w:tcBorders>
                    <w:top w:val="nil"/>
                    <w:left w:val="nil"/>
                    <w:bottom w:val="single" w:sz="4" w:space="0" w:color="auto"/>
                    <w:right w:val="single" w:sz="4" w:space="0" w:color="auto"/>
                  </w:tcBorders>
                  <w:tcMar>
                    <w:top w:w="0" w:type="dxa"/>
                    <w:bottom w:w="0" w:type="dxa"/>
                  </w:tcMar>
                  <w:vAlign w:val="center"/>
                </w:tcPr>
                <w:p w14:paraId="1F5509DE" w14:textId="77777777" w:rsidR="00DD7F4D" w:rsidRPr="00927455" w:rsidRDefault="00DD7F4D" w:rsidP="002757C3">
                  <w:pPr>
                    <w:jc w:val="center"/>
                    <w:rPr>
                      <w:sz w:val="18"/>
                      <w:szCs w:val="18"/>
                      <w:lang w:val="nl-BE"/>
                    </w:rPr>
                  </w:pPr>
                </w:p>
              </w:tc>
              <w:tc>
                <w:tcPr>
                  <w:tcW w:w="703" w:type="dxa"/>
                  <w:tcBorders>
                    <w:left w:val="single" w:sz="4" w:space="0" w:color="auto"/>
                    <w:bottom w:val="single" w:sz="4" w:space="0" w:color="auto"/>
                    <w:right w:val="single" w:sz="4" w:space="0" w:color="auto"/>
                  </w:tcBorders>
                  <w:tcMar>
                    <w:top w:w="0" w:type="dxa"/>
                    <w:bottom w:w="0" w:type="dxa"/>
                  </w:tcMar>
                  <w:vAlign w:val="center"/>
                </w:tcPr>
                <w:p w14:paraId="1C68540E" w14:textId="77777777" w:rsidR="00DD7F4D" w:rsidRPr="00927455" w:rsidRDefault="00DD7F4D" w:rsidP="002757C3">
                  <w:pPr>
                    <w:jc w:val="center"/>
                    <w:rPr>
                      <w:sz w:val="18"/>
                      <w:szCs w:val="18"/>
                      <w:lang w:val="nl-BE"/>
                    </w:rPr>
                  </w:pPr>
                </w:p>
              </w:tc>
              <w:tc>
                <w:tcPr>
                  <w:tcW w:w="1613" w:type="dxa"/>
                  <w:tcBorders>
                    <w:left w:val="single" w:sz="4" w:space="0" w:color="auto"/>
                    <w:bottom w:val="single" w:sz="4" w:space="0" w:color="auto"/>
                    <w:right w:val="nil"/>
                  </w:tcBorders>
                  <w:tcMar>
                    <w:top w:w="0" w:type="dxa"/>
                    <w:bottom w:w="0" w:type="dxa"/>
                  </w:tcMar>
                  <w:vAlign w:val="center"/>
                </w:tcPr>
                <w:p w14:paraId="696D5EB9" w14:textId="77777777" w:rsidR="00DD7F4D" w:rsidRPr="00927455" w:rsidRDefault="00DD7F4D" w:rsidP="002757C3">
                  <w:pPr>
                    <w:jc w:val="center"/>
                    <w:rPr>
                      <w:sz w:val="18"/>
                      <w:szCs w:val="18"/>
                      <w:lang w:val="nl-BE"/>
                    </w:rPr>
                  </w:pPr>
                </w:p>
              </w:tc>
              <w:tc>
                <w:tcPr>
                  <w:tcW w:w="1273" w:type="dxa"/>
                  <w:tcBorders>
                    <w:left w:val="nil"/>
                    <w:bottom w:val="single" w:sz="4" w:space="0" w:color="auto"/>
                    <w:right w:val="nil"/>
                  </w:tcBorders>
                </w:tcPr>
                <w:p w14:paraId="23D7BD8B" w14:textId="77777777" w:rsidR="00DD7F4D" w:rsidRPr="00927455" w:rsidRDefault="00DD7F4D" w:rsidP="002757C3">
                  <w:pPr>
                    <w:jc w:val="center"/>
                    <w:rPr>
                      <w:sz w:val="18"/>
                      <w:szCs w:val="18"/>
                      <w:lang w:val="nl-BE"/>
                    </w:rPr>
                  </w:pPr>
                </w:p>
              </w:tc>
              <w:tc>
                <w:tcPr>
                  <w:tcW w:w="1273" w:type="dxa"/>
                  <w:tcBorders>
                    <w:left w:val="nil"/>
                    <w:bottom w:val="single" w:sz="4" w:space="0" w:color="auto"/>
                    <w:right w:val="nil"/>
                  </w:tcBorders>
                  <w:tcMar>
                    <w:top w:w="0" w:type="dxa"/>
                    <w:bottom w:w="0" w:type="dxa"/>
                  </w:tcMar>
                  <w:vAlign w:val="center"/>
                </w:tcPr>
                <w:p w14:paraId="268F4B46" w14:textId="77777777" w:rsidR="00DD7F4D" w:rsidRPr="00927455" w:rsidRDefault="00DD7F4D" w:rsidP="002757C3">
                  <w:pPr>
                    <w:jc w:val="center"/>
                    <w:rPr>
                      <w:sz w:val="18"/>
                      <w:szCs w:val="18"/>
                      <w:lang w:val="nl-BE"/>
                    </w:rPr>
                  </w:pPr>
                </w:p>
              </w:tc>
              <w:tc>
                <w:tcPr>
                  <w:tcW w:w="1273" w:type="dxa"/>
                  <w:tcBorders>
                    <w:left w:val="nil"/>
                    <w:bottom w:val="single" w:sz="4" w:space="0" w:color="auto"/>
                    <w:right w:val="single" w:sz="4" w:space="0" w:color="auto"/>
                  </w:tcBorders>
                  <w:tcMar>
                    <w:top w:w="0" w:type="dxa"/>
                    <w:bottom w:w="0" w:type="dxa"/>
                  </w:tcMar>
                  <w:vAlign w:val="center"/>
                </w:tcPr>
                <w:p w14:paraId="624784BC" w14:textId="77777777" w:rsidR="00DD7F4D" w:rsidRPr="00927455" w:rsidRDefault="00DD7F4D" w:rsidP="002757C3">
                  <w:pPr>
                    <w:jc w:val="center"/>
                    <w:rPr>
                      <w:sz w:val="18"/>
                      <w:szCs w:val="18"/>
                      <w:lang w:val="nl-BE"/>
                    </w:rPr>
                  </w:pPr>
                </w:p>
              </w:tc>
              <w:tc>
                <w:tcPr>
                  <w:tcW w:w="1273" w:type="dxa"/>
                  <w:tcBorders>
                    <w:left w:val="single" w:sz="4" w:space="0" w:color="auto"/>
                    <w:bottom w:val="single" w:sz="4" w:space="0" w:color="auto"/>
                    <w:right w:val="single" w:sz="4" w:space="0" w:color="auto"/>
                  </w:tcBorders>
                  <w:tcMar>
                    <w:top w:w="0" w:type="dxa"/>
                    <w:bottom w:w="0" w:type="dxa"/>
                  </w:tcMar>
                  <w:vAlign w:val="center"/>
                </w:tcPr>
                <w:p w14:paraId="6CBC0500" w14:textId="77777777" w:rsidR="00DD7F4D" w:rsidRPr="00927455" w:rsidRDefault="00DD7F4D" w:rsidP="002757C3">
                  <w:pPr>
                    <w:jc w:val="center"/>
                    <w:rPr>
                      <w:sz w:val="18"/>
                      <w:szCs w:val="18"/>
                      <w:lang w:val="nl-BE"/>
                    </w:rPr>
                  </w:pPr>
                </w:p>
              </w:tc>
            </w:tr>
            <w:tr w:rsidR="00DD7F4D" w:rsidRPr="00927455" w14:paraId="0BFF1FA3" w14:textId="77777777" w:rsidTr="002757C3">
              <w:tc>
                <w:tcPr>
                  <w:tcW w:w="1344" w:type="dxa"/>
                  <w:gridSpan w:val="3"/>
                  <w:tcBorders>
                    <w:bottom w:val="single" w:sz="4" w:space="0" w:color="auto"/>
                  </w:tcBorders>
                  <w:vAlign w:val="center"/>
                </w:tcPr>
                <w:p w14:paraId="4216C393" w14:textId="77777777" w:rsidR="00DD7F4D" w:rsidRPr="00927455" w:rsidRDefault="00DD7F4D" w:rsidP="002757C3">
                  <w:pPr>
                    <w:jc w:val="center"/>
                    <w:rPr>
                      <w:b/>
                      <w:szCs w:val="16"/>
                    </w:rPr>
                  </w:pPr>
                  <w:r>
                    <w:rPr>
                      <w:b/>
                    </w:rPr>
                    <w:t xml:space="preserve">Above-ground</w:t>
                  </w:r>
                </w:p>
                <w:p w14:paraId="7E59C38D" w14:textId="77777777" w:rsidR="00DD7F4D" w:rsidRPr="00927455" w:rsidRDefault="00DD7F4D" w:rsidP="002757C3">
                  <w:pPr>
                    <w:jc w:val="center"/>
                    <w:rPr>
                      <w:b/>
                      <w:szCs w:val="16"/>
                    </w:rPr>
                  </w:pPr>
                  <w:r>
                    <w:rPr>
                      <w:b/>
                    </w:rPr>
                    <w:t xml:space="preserve">component layers</w:t>
                  </w:r>
                </w:p>
              </w:tc>
              <w:tc>
                <w:tcPr>
                  <w:tcW w:w="703" w:type="dxa"/>
                  <w:tcBorders>
                    <w:bottom w:val="single" w:sz="4" w:space="0" w:color="auto"/>
                  </w:tcBorders>
                  <w:vAlign w:val="center"/>
                </w:tcPr>
                <w:p w14:paraId="54B000AB" w14:textId="77777777" w:rsidR="00DD7F4D" w:rsidRPr="00927455" w:rsidRDefault="00DD7F4D" w:rsidP="002757C3">
                  <w:pPr>
                    <w:jc w:val="center"/>
                    <w:rPr>
                      <w:szCs w:val="16"/>
                    </w:rPr>
                  </w:pPr>
                  <w:r>
                    <w:t xml:space="preserve">/</w:t>
                  </w:r>
                </w:p>
              </w:tc>
              <w:tc>
                <w:tcPr>
                  <w:tcW w:w="1613" w:type="dxa"/>
                  <w:tcBorders>
                    <w:bottom w:val="single" w:sz="4" w:space="0" w:color="auto"/>
                  </w:tcBorders>
                  <w:shd w:val="pct10" w:color="auto" w:fill="auto"/>
                  <w:vAlign w:val="center"/>
                </w:tcPr>
                <w:p w14:paraId="7F16711D" w14:textId="1ACF159A" w:rsidR="00DD7F4D" w:rsidRPr="00927455" w:rsidRDefault="00DD7F4D" w:rsidP="002757C3">
                  <w:pPr>
                    <w:jc w:val="center"/>
                    <w:rPr>
                      <w:szCs w:val="16"/>
                    </w:rPr>
                  </w:pPr>
                  <w:r>
                    <w:t xml:space="preserve">SHEV</w:t>
                  </w:r>
                  <w:r>
                    <w:rPr>
                      <w:vertAlign w:val="superscript"/>
                    </w:rPr>
                    <w:t xml:space="preserve">1,2,3</w:t>
                  </w:r>
                </w:p>
                <w:p w14:paraId="1AFE734D" w14:textId="77777777" w:rsidR="00DD7F4D" w:rsidRPr="00927455" w:rsidRDefault="00DD7F4D" w:rsidP="002757C3">
                  <w:pPr>
                    <w:jc w:val="center"/>
                    <w:rPr>
                      <w:b/>
                      <w:i/>
                      <w:szCs w:val="16"/>
                    </w:rPr>
                  </w:pPr>
                  <w:r>
                    <w:rPr>
                      <w:b/>
                      <w:i/>
                    </w:rPr>
                    <w:t xml:space="preserve">OR</w:t>
                  </w:r>
                </w:p>
                <w:p w14:paraId="2E9A1DED" w14:textId="61C17D44" w:rsidR="00DD7F4D" w:rsidRPr="00927455" w:rsidRDefault="00DD7F4D" w:rsidP="002757C3">
                  <w:pPr>
                    <w:jc w:val="center"/>
                    <w:rPr>
                      <w:szCs w:val="16"/>
                    </w:rPr>
                  </w:pPr>
                  <w:r>
                    <w:t xml:space="preserve">Sprinkler</w:t>
                  </w:r>
                  <w:r>
                    <w:rPr>
                      <w:vertAlign w:val="superscript"/>
                    </w:rPr>
                    <w:t xml:space="preserve">1.2</w:t>
                  </w:r>
                </w:p>
                <w:p w14:paraId="697AD57A" w14:textId="77777777" w:rsidR="00DD7F4D" w:rsidRPr="00927455" w:rsidRDefault="00DD7F4D" w:rsidP="002757C3">
                  <w:pPr>
                    <w:jc w:val="center"/>
                    <w:rPr>
                      <w:b/>
                      <w:i/>
                      <w:szCs w:val="16"/>
                    </w:rPr>
                  </w:pPr>
                  <w:r>
                    <w:rPr>
                      <w:b/>
                      <w:i/>
                    </w:rPr>
                    <w:t xml:space="preserve">OR</w:t>
                  </w:r>
                </w:p>
                <w:p w14:paraId="285C94FE" w14:textId="77777777" w:rsidR="00DD7F4D" w:rsidRPr="00927455" w:rsidRDefault="00DD7F4D" w:rsidP="002757C3">
                  <w:pPr>
                    <w:jc w:val="center"/>
                    <w:rPr>
                      <w:szCs w:val="16"/>
                    </w:rPr>
                  </w:pPr>
                  <w:r>
                    <w:t xml:space="preserve">Ventilation opening</w:t>
                  </w:r>
                </w:p>
                <w:p w14:paraId="02CCAECA" w14:textId="77777777" w:rsidR="00DD7F4D" w:rsidRPr="00927455" w:rsidRDefault="00DD7F4D" w:rsidP="002757C3">
                  <w:pPr>
                    <w:jc w:val="center"/>
                    <w:rPr>
                      <w:b/>
                      <w:i/>
                      <w:szCs w:val="16"/>
                    </w:rPr>
                  </w:pPr>
                  <w:r>
                    <w:rPr>
                      <w:b/>
                      <w:i/>
                    </w:rPr>
                    <w:t xml:space="preserve">OR</w:t>
                  </w:r>
                </w:p>
                <w:p w14:paraId="015A3F0C" w14:textId="77777777" w:rsidR="00DD7F4D" w:rsidRPr="00927455" w:rsidRDefault="00DD7F4D" w:rsidP="002757C3">
                  <w:pPr>
                    <w:jc w:val="center"/>
                    <w:rPr>
                      <w:szCs w:val="16"/>
                    </w:rPr>
                  </w:pPr>
                  <w:r>
                    <w:t xml:space="preserve">Open</w:t>
                  </w:r>
                </w:p>
              </w:tc>
              <w:tc>
                <w:tcPr>
                  <w:tcW w:w="1273" w:type="dxa"/>
                  <w:tcBorders>
                    <w:bottom w:val="single" w:sz="4" w:space="0" w:color="auto"/>
                  </w:tcBorders>
                  <w:shd w:val="pct20" w:color="auto" w:fill="auto"/>
                  <w:vAlign w:val="center"/>
                </w:tcPr>
                <w:p w14:paraId="7E3163A8" w14:textId="56EF7FD4" w:rsidR="00DD7F4D" w:rsidRPr="00927455" w:rsidRDefault="00DD7F4D" w:rsidP="002757C3">
                  <w:pPr>
                    <w:jc w:val="center"/>
                    <w:rPr>
                      <w:szCs w:val="16"/>
                    </w:rPr>
                  </w:pPr>
                  <w:r>
                    <w:t xml:space="preserve">SHEV</w:t>
                  </w:r>
                  <w:r>
                    <w:rPr>
                      <w:vertAlign w:val="superscript"/>
                    </w:rPr>
                    <w:t xml:space="preserve">1,2</w:t>
                  </w:r>
                </w:p>
                <w:p w14:paraId="47C932FD" w14:textId="77777777" w:rsidR="00DD7F4D" w:rsidRPr="00927455" w:rsidRDefault="00DD7F4D" w:rsidP="002757C3">
                  <w:pPr>
                    <w:jc w:val="center"/>
                    <w:rPr>
                      <w:b/>
                      <w:i/>
                      <w:szCs w:val="16"/>
                    </w:rPr>
                  </w:pPr>
                  <w:r>
                    <w:rPr>
                      <w:b/>
                      <w:i/>
                    </w:rPr>
                    <w:t xml:space="preserve">OR</w:t>
                  </w:r>
                </w:p>
                <w:p w14:paraId="0CB5F09A" w14:textId="46CA4E93" w:rsidR="00DD7F4D" w:rsidRPr="00927455" w:rsidRDefault="00DD7F4D" w:rsidP="002757C3">
                  <w:pPr>
                    <w:jc w:val="center"/>
                    <w:rPr>
                      <w:szCs w:val="16"/>
                    </w:rPr>
                  </w:pPr>
                  <w:r>
                    <w:t xml:space="preserve">Sprinkler</w:t>
                  </w:r>
                  <w:r>
                    <w:rPr>
                      <w:vertAlign w:val="superscript"/>
                    </w:rPr>
                    <w:t xml:space="preserve">1</w:t>
                  </w:r>
                </w:p>
                <w:p w14:paraId="3ADBEB82" w14:textId="77777777" w:rsidR="00DD7F4D" w:rsidRPr="00927455" w:rsidRDefault="00DD7F4D" w:rsidP="002757C3">
                  <w:pPr>
                    <w:jc w:val="center"/>
                    <w:rPr>
                      <w:b/>
                      <w:i/>
                      <w:szCs w:val="16"/>
                    </w:rPr>
                  </w:pPr>
                  <w:r>
                    <w:rPr>
                      <w:b/>
                      <w:i/>
                    </w:rPr>
                    <w:t xml:space="preserve">OR</w:t>
                  </w:r>
                </w:p>
                <w:p w14:paraId="21E6B079" w14:textId="77777777" w:rsidR="00DD7F4D" w:rsidRPr="00927455" w:rsidRDefault="00DD7F4D" w:rsidP="002757C3">
                  <w:pPr>
                    <w:jc w:val="center"/>
                    <w:rPr>
                      <w:szCs w:val="16"/>
                    </w:rPr>
                  </w:pPr>
                  <w:r>
                    <w:t xml:space="preserve">Open</w:t>
                  </w:r>
                </w:p>
              </w:tc>
              <w:tc>
                <w:tcPr>
                  <w:tcW w:w="1273" w:type="dxa"/>
                  <w:tcBorders>
                    <w:bottom w:val="single" w:sz="4" w:space="0" w:color="auto"/>
                  </w:tcBorders>
                  <w:shd w:val="pct30" w:color="auto" w:fill="auto"/>
                  <w:vAlign w:val="center"/>
                </w:tcPr>
                <w:p w14:paraId="2A0CC80F" w14:textId="5A354268" w:rsidR="00DD7F4D" w:rsidRPr="00927455" w:rsidRDefault="00DD7F4D" w:rsidP="002757C3">
                  <w:pPr>
                    <w:jc w:val="center"/>
                    <w:rPr>
                      <w:szCs w:val="16"/>
                    </w:rPr>
                  </w:pPr>
                  <w:r>
                    <w:t xml:space="preserve">SHEV</w:t>
                  </w:r>
                  <w:r>
                    <w:rPr>
                      <w:vertAlign w:val="superscript"/>
                    </w:rPr>
                    <w:t xml:space="preserve">1</w:t>
                  </w:r>
                </w:p>
                <w:p w14:paraId="4763A078" w14:textId="77777777" w:rsidR="00DD7F4D" w:rsidRPr="00927455" w:rsidRDefault="00DD7F4D" w:rsidP="002757C3">
                  <w:pPr>
                    <w:jc w:val="center"/>
                    <w:rPr>
                      <w:b/>
                      <w:i/>
                      <w:szCs w:val="16"/>
                    </w:rPr>
                  </w:pPr>
                  <w:r>
                    <w:rPr>
                      <w:b/>
                      <w:i/>
                    </w:rPr>
                    <w:t xml:space="preserve">OR</w:t>
                  </w:r>
                </w:p>
                <w:p w14:paraId="540FFE33" w14:textId="4E0200A8" w:rsidR="00DD7F4D" w:rsidRPr="00927455" w:rsidRDefault="00DD7F4D" w:rsidP="002757C3">
                  <w:pPr>
                    <w:jc w:val="center"/>
                    <w:rPr>
                      <w:szCs w:val="16"/>
                    </w:rPr>
                  </w:pPr>
                  <w:r>
                    <w:t xml:space="preserve">Sprinkler</w:t>
                  </w:r>
                  <w:r>
                    <w:rPr>
                      <w:vertAlign w:val="superscript"/>
                    </w:rPr>
                    <w:t xml:space="preserve">1</w:t>
                  </w:r>
                </w:p>
                <w:p w14:paraId="0497C5DE" w14:textId="77777777" w:rsidR="00DD7F4D" w:rsidRPr="00927455" w:rsidRDefault="00DD7F4D" w:rsidP="002757C3">
                  <w:pPr>
                    <w:jc w:val="center"/>
                    <w:rPr>
                      <w:b/>
                      <w:i/>
                      <w:szCs w:val="16"/>
                    </w:rPr>
                  </w:pPr>
                  <w:r>
                    <w:rPr>
                      <w:b/>
                      <w:i/>
                    </w:rPr>
                    <w:t xml:space="preserve">OR</w:t>
                  </w:r>
                </w:p>
                <w:p w14:paraId="4D8E993C" w14:textId="77777777" w:rsidR="00DD7F4D" w:rsidRPr="00927455" w:rsidRDefault="00DD7F4D" w:rsidP="002757C3">
                  <w:pPr>
                    <w:jc w:val="center"/>
                    <w:rPr>
                      <w:szCs w:val="16"/>
                    </w:rPr>
                  </w:pPr>
                  <w:r>
                    <w:t xml:space="preserve">Open</w:t>
                  </w:r>
                </w:p>
              </w:tc>
              <w:tc>
                <w:tcPr>
                  <w:tcW w:w="1273" w:type="dxa"/>
                  <w:tcBorders>
                    <w:bottom w:val="single" w:sz="4" w:space="0" w:color="auto"/>
                  </w:tcBorders>
                  <w:shd w:val="pct45" w:color="auto" w:fill="auto"/>
                  <w:vAlign w:val="center"/>
                </w:tcPr>
                <w:p w14:paraId="7299667D" w14:textId="3DE00513" w:rsidR="00DD7F4D" w:rsidRPr="00927455" w:rsidRDefault="00DD7F4D" w:rsidP="002757C3">
                  <w:pPr>
                    <w:jc w:val="center"/>
                    <w:rPr>
                      <w:szCs w:val="16"/>
                    </w:rPr>
                  </w:pPr>
                  <w:r>
                    <w:t xml:space="preserve">SHEV</w:t>
                  </w:r>
                  <w:r>
                    <w:rPr>
                      <w:vertAlign w:val="superscript"/>
                    </w:rPr>
                    <w:t xml:space="preserve">1</w:t>
                  </w:r>
                </w:p>
                <w:p w14:paraId="01FDC57F" w14:textId="77777777" w:rsidR="00DD7F4D" w:rsidRPr="00927455" w:rsidRDefault="00DD7F4D" w:rsidP="002757C3">
                  <w:pPr>
                    <w:jc w:val="center"/>
                    <w:rPr>
                      <w:szCs w:val="16"/>
                    </w:rPr>
                  </w:pPr>
                  <w:r>
                    <w:t xml:space="preserve">&amp;</w:t>
                  </w:r>
                </w:p>
                <w:p w14:paraId="7F8E44D1" w14:textId="562F6DC9" w:rsidR="00DD7F4D" w:rsidRPr="00927455" w:rsidRDefault="00DD7F4D" w:rsidP="002757C3">
                  <w:pPr>
                    <w:jc w:val="center"/>
                    <w:rPr>
                      <w:szCs w:val="16"/>
                    </w:rPr>
                  </w:pPr>
                  <w:r>
                    <w:t xml:space="preserve">Sprinkler</w:t>
                  </w:r>
                  <w:r>
                    <w:rPr>
                      <w:vertAlign w:val="superscript"/>
                    </w:rPr>
                    <w:t xml:space="preserve">1</w:t>
                  </w:r>
                </w:p>
                <w:p w14:paraId="0FF3022A" w14:textId="77777777" w:rsidR="00DD7F4D" w:rsidRPr="00927455" w:rsidRDefault="00DD7F4D" w:rsidP="002757C3">
                  <w:pPr>
                    <w:jc w:val="center"/>
                    <w:rPr>
                      <w:b/>
                      <w:i/>
                      <w:szCs w:val="16"/>
                    </w:rPr>
                  </w:pPr>
                  <w:r>
                    <w:rPr>
                      <w:b/>
                      <w:i/>
                    </w:rPr>
                    <w:t xml:space="preserve">OR</w:t>
                  </w:r>
                </w:p>
                <w:p w14:paraId="78A6AF97" w14:textId="77777777" w:rsidR="00DD7F4D" w:rsidRPr="00927455" w:rsidRDefault="00DD7F4D" w:rsidP="002757C3">
                  <w:pPr>
                    <w:jc w:val="center"/>
                    <w:rPr>
                      <w:szCs w:val="16"/>
                    </w:rPr>
                  </w:pPr>
                  <w:r>
                    <w:t xml:space="preserve">Open</w:t>
                  </w:r>
                </w:p>
              </w:tc>
              <w:tc>
                <w:tcPr>
                  <w:tcW w:w="1273" w:type="dxa"/>
                  <w:tcBorders>
                    <w:bottom w:val="single" w:sz="4" w:space="0" w:color="auto"/>
                  </w:tcBorders>
                  <w:shd w:val="pct45" w:color="auto" w:fill="auto"/>
                  <w:vAlign w:val="center"/>
                </w:tcPr>
                <w:p w14:paraId="2DAB25BF" w14:textId="5F911116" w:rsidR="00DD7F4D" w:rsidRPr="00927455" w:rsidRDefault="00DD7F4D" w:rsidP="002757C3">
                  <w:pPr>
                    <w:jc w:val="center"/>
                    <w:rPr>
                      <w:szCs w:val="16"/>
                    </w:rPr>
                  </w:pPr>
                  <w:r>
                    <w:t xml:space="preserve">SHEV</w:t>
                  </w:r>
                  <w:r>
                    <w:rPr>
                      <w:vertAlign w:val="superscript"/>
                    </w:rPr>
                    <w:t xml:space="preserve">1</w:t>
                  </w:r>
                </w:p>
                <w:p w14:paraId="19D3EDD3" w14:textId="77777777" w:rsidR="00DD7F4D" w:rsidRPr="00927455" w:rsidRDefault="00DD7F4D" w:rsidP="002757C3">
                  <w:pPr>
                    <w:jc w:val="center"/>
                    <w:rPr>
                      <w:szCs w:val="16"/>
                    </w:rPr>
                  </w:pPr>
                  <w:r>
                    <w:t xml:space="preserve">&amp;</w:t>
                  </w:r>
                </w:p>
                <w:p w14:paraId="72577E88" w14:textId="7493A796" w:rsidR="00DD7F4D" w:rsidRPr="00927455" w:rsidRDefault="00DD7F4D" w:rsidP="002757C3">
                  <w:pPr>
                    <w:jc w:val="center"/>
                    <w:rPr>
                      <w:szCs w:val="16"/>
                    </w:rPr>
                  </w:pPr>
                  <w:r>
                    <w:t xml:space="preserve">Sprinkler</w:t>
                  </w:r>
                  <w:r>
                    <w:rPr>
                      <w:vertAlign w:val="superscript"/>
                    </w:rPr>
                    <w:t xml:space="preserve">1</w:t>
                  </w:r>
                </w:p>
                <w:p w14:paraId="219E212B" w14:textId="77777777" w:rsidR="00DD7F4D" w:rsidRPr="00927455" w:rsidRDefault="00DD7F4D" w:rsidP="002757C3">
                  <w:pPr>
                    <w:jc w:val="center"/>
                    <w:rPr>
                      <w:b/>
                      <w:i/>
                      <w:szCs w:val="16"/>
                    </w:rPr>
                  </w:pPr>
                  <w:r>
                    <w:rPr>
                      <w:b/>
                      <w:i/>
                    </w:rPr>
                    <w:t xml:space="preserve">OR</w:t>
                  </w:r>
                </w:p>
                <w:p w14:paraId="4A6B288A" w14:textId="77777777" w:rsidR="00DD7F4D" w:rsidRPr="00927455" w:rsidRDefault="00DD7F4D" w:rsidP="002757C3">
                  <w:pPr>
                    <w:jc w:val="center"/>
                    <w:rPr>
                      <w:szCs w:val="16"/>
                    </w:rPr>
                  </w:pPr>
                  <w:r>
                    <w:t xml:space="preserve">Open</w:t>
                  </w:r>
                </w:p>
              </w:tc>
            </w:tr>
            <w:tr w:rsidR="00DD7F4D" w:rsidRPr="00927455" w14:paraId="475C4382" w14:textId="77777777" w:rsidTr="002757C3">
              <w:tc>
                <w:tcPr>
                  <w:tcW w:w="1344" w:type="dxa"/>
                  <w:gridSpan w:val="3"/>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556D5A19" w14:textId="77777777" w:rsidR="00DD7F4D" w:rsidRPr="00927455" w:rsidRDefault="00DD7F4D" w:rsidP="002757C3">
                  <w:pPr>
                    <w:jc w:val="center"/>
                    <w:rPr>
                      <w:b/>
                      <w:sz w:val="18"/>
                      <w:szCs w:val="18"/>
                      <w:lang w:val="nl-BE"/>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5F265F86" w14:textId="77777777" w:rsidR="00DD7F4D" w:rsidRPr="00927455" w:rsidRDefault="00DD7F4D" w:rsidP="002757C3">
                  <w:pPr>
                    <w:jc w:val="center"/>
                    <w:rPr>
                      <w:sz w:val="18"/>
                      <w:szCs w:val="18"/>
                      <w:lang w:val="nl-BE"/>
                    </w:rPr>
                  </w:pPr>
                </w:p>
              </w:tc>
              <w:tc>
                <w:tcPr>
                  <w:tcW w:w="1613" w:type="dxa"/>
                  <w:tcBorders>
                    <w:top w:val="single" w:sz="4" w:space="0" w:color="auto"/>
                    <w:left w:val="single" w:sz="4" w:space="0" w:color="auto"/>
                    <w:bottom w:val="single" w:sz="4" w:space="0" w:color="auto"/>
                    <w:right w:val="nil"/>
                  </w:tcBorders>
                  <w:shd w:val="clear" w:color="auto" w:fill="auto"/>
                  <w:tcMar>
                    <w:top w:w="0" w:type="dxa"/>
                    <w:bottom w:w="0" w:type="dxa"/>
                  </w:tcMar>
                  <w:vAlign w:val="center"/>
                </w:tcPr>
                <w:p w14:paraId="5E2B8DD7" w14:textId="77777777" w:rsidR="00DD7F4D" w:rsidRPr="00927455" w:rsidRDefault="00DD7F4D" w:rsidP="002757C3">
                  <w:pPr>
                    <w:jc w:val="center"/>
                    <w:rPr>
                      <w:sz w:val="18"/>
                      <w:szCs w:val="18"/>
                      <w:lang w:val="nl-BE"/>
                    </w:rPr>
                  </w:pPr>
                </w:p>
              </w:tc>
              <w:tc>
                <w:tcPr>
                  <w:tcW w:w="1273" w:type="dxa"/>
                  <w:tcBorders>
                    <w:top w:val="single" w:sz="4" w:space="0" w:color="auto"/>
                    <w:left w:val="nil"/>
                    <w:bottom w:val="single" w:sz="4" w:space="0" w:color="auto"/>
                    <w:right w:val="nil"/>
                  </w:tcBorders>
                </w:tcPr>
                <w:p w14:paraId="47ED5C1A" w14:textId="77777777" w:rsidR="00DD7F4D" w:rsidRPr="00927455" w:rsidRDefault="00DD7F4D" w:rsidP="002757C3">
                  <w:pPr>
                    <w:jc w:val="center"/>
                    <w:rPr>
                      <w:sz w:val="18"/>
                      <w:szCs w:val="18"/>
                      <w:lang w:val="nl-BE"/>
                    </w:rPr>
                  </w:pPr>
                </w:p>
              </w:tc>
              <w:tc>
                <w:tcPr>
                  <w:tcW w:w="1273" w:type="dxa"/>
                  <w:tcBorders>
                    <w:top w:val="single" w:sz="4" w:space="0" w:color="auto"/>
                    <w:left w:val="nil"/>
                    <w:bottom w:val="single" w:sz="4" w:space="0" w:color="auto"/>
                    <w:right w:val="nil"/>
                  </w:tcBorders>
                  <w:shd w:val="clear" w:color="auto" w:fill="auto"/>
                  <w:tcMar>
                    <w:top w:w="0" w:type="dxa"/>
                    <w:bottom w:w="0" w:type="dxa"/>
                  </w:tcMar>
                  <w:vAlign w:val="center"/>
                </w:tcPr>
                <w:p w14:paraId="77F339F8" w14:textId="77777777" w:rsidR="00DD7F4D" w:rsidRPr="00927455" w:rsidRDefault="00DD7F4D" w:rsidP="002757C3">
                  <w:pPr>
                    <w:jc w:val="center"/>
                    <w:rPr>
                      <w:sz w:val="18"/>
                      <w:szCs w:val="18"/>
                      <w:lang w:val="nl-BE"/>
                    </w:rPr>
                  </w:pPr>
                </w:p>
              </w:tc>
              <w:tc>
                <w:tcPr>
                  <w:tcW w:w="1273"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4903C7D8" w14:textId="77777777" w:rsidR="00DD7F4D" w:rsidRPr="00927455" w:rsidRDefault="00DD7F4D" w:rsidP="002757C3">
                  <w:pPr>
                    <w:jc w:val="center"/>
                    <w:rPr>
                      <w:sz w:val="18"/>
                      <w:szCs w:val="18"/>
                      <w:lang w:val="nl-BE"/>
                    </w:rPr>
                  </w:pPr>
                </w:p>
              </w:tc>
              <w:tc>
                <w:tcPr>
                  <w:tcW w:w="1273"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11680E9" w14:textId="77777777" w:rsidR="00DD7F4D" w:rsidRPr="00927455" w:rsidRDefault="00DD7F4D" w:rsidP="002757C3">
                  <w:pPr>
                    <w:jc w:val="center"/>
                    <w:rPr>
                      <w:sz w:val="18"/>
                      <w:szCs w:val="18"/>
                      <w:lang w:val="nl-BE"/>
                    </w:rPr>
                  </w:pPr>
                </w:p>
              </w:tc>
            </w:tr>
            <w:tr w:rsidR="00DD7F4D" w:rsidRPr="00927455" w14:paraId="004FD948" w14:textId="77777777" w:rsidTr="002757C3">
              <w:tc>
                <w:tcPr>
                  <w:tcW w:w="502" w:type="dxa"/>
                  <w:vMerge w:val="restart"/>
                  <w:tcBorders>
                    <w:top w:val="single" w:sz="4" w:space="0" w:color="auto"/>
                    <w:bottom w:val="single" w:sz="4" w:space="0" w:color="auto"/>
                  </w:tcBorders>
                  <w:textDirection w:val="btLr"/>
                  <w:vAlign w:val="center"/>
                </w:tcPr>
                <w:p w14:paraId="3996BC67" w14:textId="77777777" w:rsidR="00DD7F4D" w:rsidRPr="00927455" w:rsidRDefault="00DD7F4D" w:rsidP="002757C3">
                  <w:pPr>
                    <w:ind w:left="113" w:right="113"/>
                    <w:jc w:val="center"/>
                    <w:rPr>
                      <w:b/>
                      <w:szCs w:val="16"/>
                    </w:rPr>
                  </w:pPr>
                  <w:r>
                    <w:rPr>
                      <w:b/>
                    </w:rPr>
                    <w:t xml:space="preserve">Underground component layers</w:t>
                  </w:r>
                </w:p>
              </w:tc>
              <w:tc>
                <w:tcPr>
                  <w:tcW w:w="842" w:type="dxa"/>
                  <w:gridSpan w:val="2"/>
                  <w:tcBorders>
                    <w:top w:val="single" w:sz="4" w:space="0" w:color="auto"/>
                    <w:bottom w:val="single" w:sz="4" w:space="0" w:color="auto"/>
                  </w:tcBorders>
                  <w:vAlign w:val="center"/>
                </w:tcPr>
                <w:p w14:paraId="66C67DA7" w14:textId="77777777" w:rsidR="00DD7F4D" w:rsidRPr="00927455" w:rsidRDefault="00DD7F4D" w:rsidP="002757C3">
                  <w:pPr>
                    <w:jc w:val="center"/>
                    <w:rPr>
                      <w:szCs w:val="16"/>
                    </w:rPr>
                  </w:pPr>
                  <w:r>
                    <w:t xml:space="preserve">0 m</w:t>
                  </w:r>
                </w:p>
                <w:p w14:paraId="67CF5F62" w14:textId="77777777" w:rsidR="00DD7F4D" w:rsidRPr="00927455" w:rsidRDefault="00DD7F4D" w:rsidP="002757C3">
                  <w:pPr>
                    <w:jc w:val="center"/>
                    <w:rPr>
                      <w:szCs w:val="16"/>
                    </w:rPr>
                  </w:pPr>
                  <w:r>
                    <w:t xml:space="preserve">&lt; p ≤</w:t>
                  </w:r>
                </w:p>
                <w:p w14:paraId="198B2C23" w14:textId="77777777" w:rsidR="00DD7F4D" w:rsidRPr="00927455" w:rsidRDefault="00DD7F4D" w:rsidP="002757C3">
                  <w:pPr>
                    <w:jc w:val="center"/>
                    <w:rPr>
                      <w:szCs w:val="16"/>
                    </w:rPr>
                  </w:pPr>
                  <w:r>
                    <w:t xml:space="preserve">7 m</w:t>
                  </w:r>
                </w:p>
              </w:tc>
              <w:tc>
                <w:tcPr>
                  <w:tcW w:w="703" w:type="dxa"/>
                  <w:vMerge w:val="restart"/>
                  <w:tcBorders>
                    <w:top w:val="single" w:sz="4" w:space="0" w:color="auto"/>
                  </w:tcBorders>
                  <w:vAlign w:val="center"/>
                </w:tcPr>
                <w:p w14:paraId="0B290605" w14:textId="77777777" w:rsidR="00DD7F4D" w:rsidRPr="00927455" w:rsidRDefault="00DD7F4D" w:rsidP="002757C3">
                  <w:pPr>
                    <w:jc w:val="center"/>
                    <w:rPr>
                      <w:szCs w:val="16"/>
                    </w:rPr>
                  </w:pPr>
                  <w:r>
                    <w:t xml:space="preserve">/</w:t>
                  </w:r>
                </w:p>
                <w:p w14:paraId="3FD8B659" w14:textId="77777777" w:rsidR="00DD7F4D" w:rsidRPr="00927455" w:rsidRDefault="00DD7F4D" w:rsidP="002757C3">
                  <w:pPr>
                    <w:jc w:val="center"/>
                    <w:rPr>
                      <w:szCs w:val="16"/>
                      <w:lang w:val="nl-BE"/>
                    </w:rPr>
                  </w:pPr>
                </w:p>
              </w:tc>
              <w:tc>
                <w:tcPr>
                  <w:tcW w:w="1613" w:type="dxa"/>
                  <w:tcBorders>
                    <w:top w:val="single" w:sz="4" w:space="0" w:color="auto"/>
                    <w:bottom w:val="single" w:sz="4" w:space="0" w:color="auto"/>
                  </w:tcBorders>
                  <w:shd w:val="pct10" w:color="auto" w:fill="auto"/>
                  <w:vAlign w:val="center"/>
                </w:tcPr>
                <w:p w14:paraId="77D84793" w14:textId="6F3888B1" w:rsidR="00DD7F4D" w:rsidRPr="00927455" w:rsidRDefault="00DD7F4D" w:rsidP="002757C3">
                  <w:pPr>
                    <w:jc w:val="center"/>
                    <w:rPr>
                      <w:szCs w:val="16"/>
                    </w:rPr>
                  </w:pPr>
                  <w:r>
                    <w:t xml:space="preserve">SHEV</w:t>
                  </w:r>
                  <w:r>
                    <w:rPr>
                      <w:vertAlign w:val="superscript"/>
                    </w:rPr>
                    <w:t xml:space="preserve">1,2,3</w:t>
                  </w:r>
                </w:p>
                <w:p w14:paraId="3F3ECB0A" w14:textId="77777777" w:rsidR="00DD7F4D" w:rsidRPr="00927455" w:rsidRDefault="00DD7F4D" w:rsidP="002757C3">
                  <w:pPr>
                    <w:jc w:val="center"/>
                    <w:rPr>
                      <w:b/>
                      <w:i/>
                      <w:szCs w:val="16"/>
                    </w:rPr>
                  </w:pPr>
                  <w:r>
                    <w:rPr>
                      <w:b/>
                      <w:i/>
                    </w:rPr>
                    <w:t xml:space="preserve">OR</w:t>
                  </w:r>
                </w:p>
                <w:p w14:paraId="67000331" w14:textId="66E0DD6B" w:rsidR="00DD7F4D" w:rsidRPr="00927455" w:rsidRDefault="00DD7F4D" w:rsidP="002757C3">
                  <w:pPr>
                    <w:jc w:val="center"/>
                    <w:rPr>
                      <w:szCs w:val="16"/>
                    </w:rPr>
                  </w:pPr>
                  <w:r>
                    <w:t xml:space="preserve">Sprinkler</w:t>
                  </w:r>
                  <w:r>
                    <w:rPr>
                      <w:vertAlign w:val="superscript"/>
                    </w:rPr>
                    <w:t xml:space="preserve">1.2</w:t>
                  </w:r>
                </w:p>
                <w:p w14:paraId="0687505C" w14:textId="77777777" w:rsidR="00DD7F4D" w:rsidRPr="00927455" w:rsidRDefault="00DD7F4D" w:rsidP="002757C3">
                  <w:pPr>
                    <w:jc w:val="center"/>
                    <w:rPr>
                      <w:b/>
                      <w:i/>
                      <w:szCs w:val="16"/>
                    </w:rPr>
                  </w:pPr>
                  <w:r>
                    <w:rPr>
                      <w:b/>
                      <w:i/>
                    </w:rPr>
                    <w:t xml:space="preserve">OR</w:t>
                  </w:r>
                </w:p>
                <w:p w14:paraId="10229FEF" w14:textId="77777777" w:rsidR="00DD7F4D" w:rsidRPr="00927455" w:rsidRDefault="00DD7F4D" w:rsidP="002757C3">
                  <w:pPr>
                    <w:jc w:val="center"/>
                    <w:rPr>
                      <w:szCs w:val="16"/>
                    </w:rPr>
                  </w:pPr>
                  <w:r>
                    <w:t xml:space="preserve">Ventilation opening</w:t>
                  </w:r>
                </w:p>
                <w:p w14:paraId="1B5E4461" w14:textId="77777777" w:rsidR="00DD7F4D" w:rsidRPr="00927455" w:rsidRDefault="00DD7F4D" w:rsidP="002757C3">
                  <w:pPr>
                    <w:jc w:val="center"/>
                    <w:rPr>
                      <w:b/>
                      <w:i/>
                      <w:szCs w:val="16"/>
                    </w:rPr>
                  </w:pPr>
                  <w:r>
                    <w:rPr>
                      <w:b/>
                      <w:i/>
                    </w:rPr>
                    <w:t xml:space="preserve">OR</w:t>
                  </w:r>
                </w:p>
                <w:p w14:paraId="0A720BB1" w14:textId="77777777" w:rsidR="00DD7F4D" w:rsidRPr="00927455" w:rsidRDefault="00DD7F4D" w:rsidP="002757C3">
                  <w:pPr>
                    <w:jc w:val="center"/>
                    <w:rPr>
                      <w:szCs w:val="16"/>
                    </w:rPr>
                  </w:pPr>
                  <w:r>
                    <w:t xml:space="preserve">Open</w:t>
                  </w:r>
                </w:p>
              </w:tc>
              <w:tc>
                <w:tcPr>
                  <w:tcW w:w="1273" w:type="dxa"/>
                  <w:tcBorders>
                    <w:top w:val="single" w:sz="4" w:space="0" w:color="auto"/>
                    <w:bottom w:val="single" w:sz="4" w:space="0" w:color="auto"/>
                  </w:tcBorders>
                  <w:shd w:val="pct20" w:color="auto" w:fill="auto"/>
                  <w:vAlign w:val="center"/>
                </w:tcPr>
                <w:p w14:paraId="54373F98" w14:textId="5B9B3A18" w:rsidR="00DD7F4D" w:rsidRPr="00927455" w:rsidRDefault="00DD7F4D" w:rsidP="002757C3">
                  <w:pPr>
                    <w:jc w:val="center"/>
                    <w:rPr>
                      <w:szCs w:val="16"/>
                    </w:rPr>
                  </w:pPr>
                  <w:r>
                    <w:t xml:space="preserve">SHEV</w:t>
                  </w:r>
                  <w:r>
                    <w:rPr>
                      <w:vertAlign w:val="superscript"/>
                    </w:rPr>
                    <w:t xml:space="preserve">1,2</w:t>
                  </w:r>
                </w:p>
                <w:p w14:paraId="668F9032" w14:textId="77777777" w:rsidR="00DD7F4D" w:rsidRPr="00927455" w:rsidRDefault="00DD7F4D" w:rsidP="002757C3">
                  <w:pPr>
                    <w:jc w:val="center"/>
                    <w:rPr>
                      <w:b/>
                      <w:i/>
                      <w:szCs w:val="16"/>
                    </w:rPr>
                  </w:pPr>
                  <w:r>
                    <w:rPr>
                      <w:b/>
                      <w:i/>
                    </w:rPr>
                    <w:t xml:space="preserve">OR</w:t>
                  </w:r>
                </w:p>
                <w:p w14:paraId="2C9BB02C" w14:textId="60D8A09D" w:rsidR="00DD7F4D" w:rsidRPr="00927455" w:rsidRDefault="00DD7F4D" w:rsidP="002757C3">
                  <w:pPr>
                    <w:jc w:val="center"/>
                    <w:rPr>
                      <w:szCs w:val="16"/>
                    </w:rPr>
                  </w:pPr>
                  <w:r>
                    <w:t xml:space="preserve">Sprinkler</w:t>
                  </w:r>
                  <w:r>
                    <w:rPr>
                      <w:vertAlign w:val="superscript"/>
                    </w:rPr>
                    <w:t xml:space="preserve">1</w:t>
                  </w:r>
                </w:p>
                <w:p w14:paraId="6BC251F0" w14:textId="77777777" w:rsidR="00DD7F4D" w:rsidRPr="00927455" w:rsidRDefault="00DD7F4D" w:rsidP="002757C3">
                  <w:pPr>
                    <w:jc w:val="center"/>
                    <w:rPr>
                      <w:b/>
                      <w:i/>
                      <w:szCs w:val="16"/>
                    </w:rPr>
                  </w:pPr>
                  <w:r>
                    <w:rPr>
                      <w:b/>
                      <w:i/>
                    </w:rPr>
                    <w:t xml:space="preserve">OR</w:t>
                  </w:r>
                </w:p>
                <w:p w14:paraId="18CE48BE" w14:textId="77777777" w:rsidR="00DD7F4D" w:rsidRPr="00927455" w:rsidRDefault="00DD7F4D" w:rsidP="002757C3">
                  <w:pPr>
                    <w:jc w:val="center"/>
                    <w:rPr>
                      <w:szCs w:val="16"/>
                    </w:rPr>
                  </w:pPr>
                  <w:r>
                    <w:t xml:space="preserve">Open</w:t>
                  </w:r>
                </w:p>
              </w:tc>
              <w:tc>
                <w:tcPr>
                  <w:tcW w:w="1273" w:type="dxa"/>
                  <w:tcBorders>
                    <w:top w:val="single" w:sz="4" w:space="0" w:color="auto"/>
                    <w:bottom w:val="single" w:sz="4" w:space="0" w:color="auto"/>
                  </w:tcBorders>
                  <w:shd w:val="pct30" w:color="auto" w:fill="auto"/>
                  <w:vAlign w:val="center"/>
                </w:tcPr>
                <w:p w14:paraId="3CC971DF" w14:textId="48DE46F5" w:rsidR="00DD7F4D" w:rsidRPr="00927455" w:rsidRDefault="00DD7F4D" w:rsidP="002757C3">
                  <w:pPr>
                    <w:jc w:val="center"/>
                    <w:rPr>
                      <w:szCs w:val="16"/>
                    </w:rPr>
                  </w:pPr>
                  <w:r>
                    <w:t xml:space="preserve">SHEV</w:t>
                  </w:r>
                  <w:r>
                    <w:rPr>
                      <w:vertAlign w:val="superscript"/>
                    </w:rPr>
                    <w:t xml:space="preserve">1</w:t>
                  </w:r>
                </w:p>
                <w:p w14:paraId="1722517B" w14:textId="77777777" w:rsidR="00DD7F4D" w:rsidRPr="00927455" w:rsidRDefault="00DD7F4D" w:rsidP="002757C3">
                  <w:pPr>
                    <w:jc w:val="center"/>
                    <w:rPr>
                      <w:b/>
                      <w:i/>
                      <w:szCs w:val="16"/>
                    </w:rPr>
                  </w:pPr>
                  <w:r>
                    <w:rPr>
                      <w:b/>
                      <w:i/>
                    </w:rPr>
                    <w:t xml:space="preserve">OR</w:t>
                  </w:r>
                </w:p>
                <w:p w14:paraId="1A9C8A84" w14:textId="1254F8C7" w:rsidR="00DD7F4D" w:rsidRPr="00927455" w:rsidRDefault="00DD7F4D" w:rsidP="002757C3">
                  <w:pPr>
                    <w:jc w:val="center"/>
                    <w:rPr>
                      <w:szCs w:val="16"/>
                    </w:rPr>
                  </w:pPr>
                  <w:r>
                    <w:t xml:space="preserve">Sprinkler</w:t>
                  </w:r>
                  <w:r>
                    <w:rPr>
                      <w:vertAlign w:val="superscript"/>
                    </w:rPr>
                    <w:t xml:space="preserve">1</w:t>
                  </w:r>
                </w:p>
                <w:p w14:paraId="027AB197" w14:textId="77777777" w:rsidR="00DD7F4D" w:rsidRPr="00927455" w:rsidRDefault="00DD7F4D" w:rsidP="002757C3">
                  <w:pPr>
                    <w:jc w:val="center"/>
                    <w:rPr>
                      <w:b/>
                      <w:i/>
                      <w:szCs w:val="16"/>
                    </w:rPr>
                  </w:pPr>
                  <w:r>
                    <w:rPr>
                      <w:b/>
                      <w:i/>
                    </w:rPr>
                    <w:t xml:space="preserve">OR</w:t>
                  </w:r>
                </w:p>
                <w:p w14:paraId="37FB93D8" w14:textId="77777777" w:rsidR="00DD7F4D" w:rsidRPr="00927455" w:rsidRDefault="00DD7F4D" w:rsidP="002757C3">
                  <w:pPr>
                    <w:jc w:val="center"/>
                    <w:rPr>
                      <w:szCs w:val="16"/>
                    </w:rPr>
                  </w:pPr>
                  <w:r>
                    <w:t xml:space="preserve">Open</w:t>
                  </w:r>
                </w:p>
              </w:tc>
              <w:tc>
                <w:tcPr>
                  <w:tcW w:w="1273" w:type="dxa"/>
                  <w:tcBorders>
                    <w:top w:val="single" w:sz="4" w:space="0" w:color="auto"/>
                    <w:bottom w:val="single" w:sz="4" w:space="0" w:color="auto"/>
                  </w:tcBorders>
                  <w:shd w:val="pct45" w:color="auto" w:fill="auto"/>
                  <w:vAlign w:val="center"/>
                </w:tcPr>
                <w:p w14:paraId="4963A2D5" w14:textId="1D0D341B" w:rsidR="00DD7F4D" w:rsidRPr="00927455" w:rsidRDefault="00DD7F4D" w:rsidP="002757C3">
                  <w:pPr>
                    <w:jc w:val="center"/>
                    <w:rPr>
                      <w:szCs w:val="16"/>
                    </w:rPr>
                  </w:pPr>
                  <w:r>
                    <w:t xml:space="preserve">SHEV</w:t>
                  </w:r>
                  <w:r>
                    <w:rPr>
                      <w:vertAlign w:val="superscript"/>
                    </w:rPr>
                    <w:t xml:space="preserve">1</w:t>
                  </w:r>
                </w:p>
                <w:p w14:paraId="0E6A9C4D" w14:textId="77777777" w:rsidR="00DD7F4D" w:rsidRPr="00927455" w:rsidRDefault="00DD7F4D" w:rsidP="002757C3">
                  <w:pPr>
                    <w:jc w:val="center"/>
                    <w:rPr>
                      <w:szCs w:val="16"/>
                    </w:rPr>
                  </w:pPr>
                  <w:r>
                    <w:t xml:space="preserve">&amp;</w:t>
                  </w:r>
                </w:p>
                <w:p w14:paraId="2AFADE10" w14:textId="1E94ADDA" w:rsidR="00DD7F4D" w:rsidRPr="00927455" w:rsidRDefault="00DD7F4D" w:rsidP="002757C3">
                  <w:pPr>
                    <w:jc w:val="center"/>
                    <w:rPr>
                      <w:szCs w:val="16"/>
                    </w:rPr>
                  </w:pPr>
                  <w:r>
                    <w:t xml:space="preserve">Sprinkler</w:t>
                  </w:r>
                  <w:r>
                    <w:rPr>
                      <w:vertAlign w:val="superscript"/>
                    </w:rPr>
                    <w:t xml:space="preserve">1</w:t>
                  </w:r>
                </w:p>
                <w:p w14:paraId="7525C61B" w14:textId="77777777" w:rsidR="00DD7F4D" w:rsidRPr="00927455" w:rsidRDefault="00DD7F4D" w:rsidP="002757C3">
                  <w:pPr>
                    <w:jc w:val="center"/>
                    <w:rPr>
                      <w:b/>
                      <w:i/>
                      <w:szCs w:val="16"/>
                    </w:rPr>
                  </w:pPr>
                  <w:r>
                    <w:rPr>
                      <w:b/>
                      <w:i/>
                    </w:rPr>
                    <w:t xml:space="preserve">OR</w:t>
                  </w:r>
                </w:p>
                <w:p w14:paraId="452DDFC9" w14:textId="77777777" w:rsidR="00DD7F4D" w:rsidRPr="00927455" w:rsidRDefault="00DD7F4D" w:rsidP="002757C3">
                  <w:pPr>
                    <w:jc w:val="center"/>
                    <w:rPr>
                      <w:szCs w:val="16"/>
                    </w:rPr>
                  </w:pPr>
                  <w:r>
                    <w:t xml:space="preserve">Open</w:t>
                  </w:r>
                </w:p>
              </w:tc>
              <w:tc>
                <w:tcPr>
                  <w:tcW w:w="1273" w:type="dxa"/>
                  <w:shd w:val="pct45" w:color="auto" w:fill="auto"/>
                  <w:vAlign w:val="center"/>
                </w:tcPr>
                <w:p w14:paraId="0BEF041B" w14:textId="1D1A8280" w:rsidR="00DD7F4D" w:rsidRPr="00927455" w:rsidRDefault="00DD7F4D" w:rsidP="002757C3">
                  <w:pPr>
                    <w:jc w:val="center"/>
                    <w:rPr>
                      <w:szCs w:val="16"/>
                    </w:rPr>
                  </w:pPr>
                  <w:r>
                    <w:t xml:space="preserve">SHEV</w:t>
                  </w:r>
                  <w:r>
                    <w:rPr>
                      <w:vertAlign w:val="superscript"/>
                    </w:rPr>
                    <w:t xml:space="preserve">1</w:t>
                  </w:r>
                </w:p>
                <w:p w14:paraId="6B7D2A5E" w14:textId="77777777" w:rsidR="00DD7F4D" w:rsidRPr="00927455" w:rsidRDefault="00DD7F4D" w:rsidP="002757C3">
                  <w:pPr>
                    <w:jc w:val="center"/>
                    <w:rPr>
                      <w:szCs w:val="16"/>
                    </w:rPr>
                  </w:pPr>
                  <w:r>
                    <w:t xml:space="preserve">&amp;</w:t>
                  </w:r>
                </w:p>
                <w:p w14:paraId="3BCF3895" w14:textId="28F01320" w:rsidR="00DD7F4D" w:rsidRPr="00927455" w:rsidRDefault="00DD7F4D" w:rsidP="002757C3">
                  <w:pPr>
                    <w:jc w:val="center"/>
                    <w:rPr>
                      <w:szCs w:val="16"/>
                    </w:rPr>
                  </w:pPr>
                  <w:r>
                    <w:t xml:space="preserve">Sprinkler</w:t>
                  </w:r>
                  <w:r>
                    <w:rPr>
                      <w:vertAlign w:val="superscript"/>
                    </w:rPr>
                    <w:t xml:space="preserve">1</w:t>
                  </w:r>
                </w:p>
                <w:p w14:paraId="17BA7D47" w14:textId="77777777" w:rsidR="00DD7F4D" w:rsidRPr="00927455" w:rsidRDefault="00DD7F4D" w:rsidP="002757C3">
                  <w:pPr>
                    <w:jc w:val="center"/>
                    <w:rPr>
                      <w:b/>
                      <w:i/>
                      <w:szCs w:val="16"/>
                    </w:rPr>
                  </w:pPr>
                  <w:r>
                    <w:rPr>
                      <w:b/>
                      <w:i/>
                    </w:rPr>
                    <w:t xml:space="preserve">OR</w:t>
                  </w:r>
                </w:p>
                <w:p w14:paraId="6864DBC4" w14:textId="77777777" w:rsidR="00DD7F4D" w:rsidRPr="00927455" w:rsidRDefault="00DD7F4D" w:rsidP="002757C3">
                  <w:pPr>
                    <w:jc w:val="center"/>
                    <w:rPr>
                      <w:szCs w:val="16"/>
                    </w:rPr>
                  </w:pPr>
                  <w:r>
                    <w:t xml:space="preserve">Open</w:t>
                  </w:r>
                </w:p>
              </w:tc>
            </w:tr>
            <w:tr w:rsidR="00DD7F4D" w:rsidRPr="00927455" w14:paraId="2AEF96C1" w14:textId="77777777" w:rsidTr="002757C3">
              <w:tc>
                <w:tcPr>
                  <w:tcW w:w="502" w:type="dxa"/>
                  <w:vMerge/>
                  <w:tcBorders>
                    <w:top w:val="single" w:sz="4" w:space="0" w:color="auto"/>
                    <w:bottom w:val="single" w:sz="4" w:space="0" w:color="auto"/>
                  </w:tcBorders>
                  <w:vAlign w:val="center"/>
                </w:tcPr>
                <w:p w14:paraId="124F41ED" w14:textId="77777777" w:rsidR="00DD7F4D" w:rsidRPr="00927455" w:rsidRDefault="00DD7F4D" w:rsidP="002757C3">
                  <w:pPr>
                    <w:jc w:val="center"/>
                    <w:rPr>
                      <w:szCs w:val="16"/>
                      <w:lang w:val="nl-BE"/>
                    </w:rPr>
                  </w:pPr>
                </w:p>
              </w:tc>
              <w:tc>
                <w:tcPr>
                  <w:tcW w:w="842" w:type="dxa"/>
                  <w:gridSpan w:val="2"/>
                  <w:tcBorders>
                    <w:top w:val="single" w:sz="4" w:space="0" w:color="auto"/>
                    <w:bottom w:val="single" w:sz="4" w:space="0" w:color="auto"/>
                  </w:tcBorders>
                  <w:vAlign w:val="center"/>
                </w:tcPr>
                <w:p w14:paraId="05A0DF5E" w14:textId="77777777" w:rsidR="00DD7F4D" w:rsidRPr="00927455" w:rsidRDefault="00DD7F4D" w:rsidP="002757C3">
                  <w:pPr>
                    <w:jc w:val="center"/>
                    <w:rPr>
                      <w:szCs w:val="16"/>
                    </w:rPr>
                  </w:pPr>
                  <w:r>
                    <w:t xml:space="preserve">7 m</w:t>
                  </w:r>
                </w:p>
                <w:p w14:paraId="07A5D8D3" w14:textId="77777777" w:rsidR="00DD7F4D" w:rsidRPr="00927455" w:rsidRDefault="00DD7F4D" w:rsidP="002757C3">
                  <w:pPr>
                    <w:jc w:val="center"/>
                    <w:rPr>
                      <w:szCs w:val="16"/>
                    </w:rPr>
                  </w:pPr>
                  <w:r>
                    <w:t xml:space="preserve">&lt; p ≤</w:t>
                  </w:r>
                </w:p>
                <w:p w14:paraId="007BBAC1" w14:textId="77777777" w:rsidR="00DD7F4D" w:rsidRPr="00927455" w:rsidRDefault="00DD7F4D" w:rsidP="002757C3">
                  <w:pPr>
                    <w:jc w:val="center"/>
                    <w:rPr>
                      <w:szCs w:val="16"/>
                    </w:rPr>
                  </w:pPr>
                  <w:r>
                    <w:t xml:space="preserve">14 m</w:t>
                  </w:r>
                </w:p>
              </w:tc>
              <w:tc>
                <w:tcPr>
                  <w:tcW w:w="703" w:type="dxa"/>
                  <w:vMerge/>
                  <w:vAlign w:val="center"/>
                </w:tcPr>
                <w:p w14:paraId="25B82835" w14:textId="77777777" w:rsidR="00DD7F4D" w:rsidRPr="00927455" w:rsidRDefault="00DD7F4D" w:rsidP="002757C3">
                  <w:pPr>
                    <w:jc w:val="center"/>
                    <w:rPr>
                      <w:szCs w:val="16"/>
                      <w:lang w:val="nl-BE"/>
                    </w:rPr>
                  </w:pPr>
                </w:p>
              </w:tc>
              <w:tc>
                <w:tcPr>
                  <w:tcW w:w="1613" w:type="dxa"/>
                  <w:tcBorders>
                    <w:top w:val="single" w:sz="4" w:space="0" w:color="auto"/>
                    <w:bottom w:val="single" w:sz="4" w:space="0" w:color="auto"/>
                  </w:tcBorders>
                  <w:shd w:val="pct20" w:color="auto" w:fill="auto"/>
                  <w:vAlign w:val="center"/>
                </w:tcPr>
                <w:p w14:paraId="24EB37BB" w14:textId="6D109DF5" w:rsidR="00DD7F4D" w:rsidRPr="00927455" w:rsidRDefault="00DD7F4D" w:rsidP="002757C3">
                  <w:pPr>
                    <w:jc w:val="center"/>
                    <w:rPr>
                      <w:szCs w:val="16"/>
                    </w:rPr>
                  </w:pPr>
                  <w:r>
                    <w:t xml:space="preserve">SHEV</w:t>
                  </w:r>
                  <w:r>
                    <w:rPr>
                      <w:vertAlign w:val="superscript"/>
                    </w:rPr>
                    <w:t xml:space="preserve">1,2</w:t>
                  </w:r>
                </w:p>
                <w:p w14:paraId="6EC5B41B" w14:textId="77777777" w:rsidR="00DD7F4D" w:rsidRPr="00927455" w:rsidRDefault="00DD7F4D" w:rsidP="002757C3">
                  <w:pPr>
                    <w:jc w:val="center"/>
                    <w:rPr>
                      <w:b/>
                      <w:i/>
                      <w:szCs w:val="16"/>
                    </w:rPr>
                  </w:pPr>
                  <w:r>
                    <w:rPr>
                      <w:b/>
                      <w:i/>
                    </w:rPr>
                    <w:t xml:space="preserve">OR</w:t>
                  </w:r>
                </w:p>
                <w:p w14:paraId="319B7256" w14:textId="5B4972E6" w:rsidR="00DD7F4D" w:rsidRPr="00927455" w:rsidRDefault="00DD7F4D" w:rsidP="002757C3">
                  <w:pPr>
                    <w:jc w:val="center"/>
                    <w:rPr>
                      <w:szCs w:val="16"/>
                    </w:rPr>
                  </w:pPr>
                  <w:r>
                    <w:t xml:space="preserve">Sprinkler</w:t>
                  </w:r>
                  <w:r>
                    <w:rPr>
                      <w:vertAlign w:val="superscript"/>
                    </w:rPr>
                    <w:t xml:space="preserve">1</w:t>
                  </w:r>
                </w:p>
              </w:tc>
              <w:tc>
                <w:tcPr>
                  <w:tcW w:w="1273" w:type="dxa"/>
                  <w:tcBorders>
                    <w:top w:val="single" w:sz="4" w:space="0" w:color="auto"/>
                    <w:bottom w:val="single" w:sz="4" w:space="0" w:color="auto"/>
                  </w:tcBorders>
                  <w:shd w:val="pct30" w:color="auto" w:fill="auto"/>
                  <w:vAlign w:val="center"/>
                </w:tcPr>
                <w:p w14:paraId="337E10E7" w14:textId="7796EBFE" w:rsidR="00DD7F4D" w:rsidRPr="00927455" w:rsidRDefault="00DD7F4D" w:rsidP="002757C3">
                  <w:pPr>
                    <w:jc w:val="center"/>
                    <w:rPr>
                      <w:szCs w:val="16"/>
                    </w:rPr>
                  </w:pPr>
                  <w:r>
                    <w:t xml:space="preserve">SHEV</w:t>
                  </w:r>
                  <w:r>
                    <w:rPr>
                      <w:vertAlign w:val="superscript"/>
                    </w:rPr>
                    <w:t xml:space="preserve">1</w:t>
                  </w:r>
                </w:p>
                <w:p w14:paraId="065B4896" w14:textId="77777777" w:rsidR="00DD7F4D" w:rsidRPr="00927455" w:rsidRDefault="00DD7F4D" w:rsidP="002757C3">
                  <w:pPr>
                    <w:jc w:val="center"/>
                    <w:rPr>
                      <w:b/>
                      <w:i/>
                      <w:szCs w:val="16"/>
                    </w:rPr>
                  </w:pPr>
                  <w:r>
                    <w:rPr>
                      <w:b/>
                      <w:i/>
                    </w:rPr>
                    <w:t xml:space="preserve">OR</w:t>
                  </w:r>
                </w:p>
                <w:p w14:paraId="76FC4DB9" w14:textId="73E87551" w:rsidR="00DD7F4D" w:rsidRPr="00927455" w:rsidRDefault="00DD7F4D" w:rsidP="002757C3">
                  <w:pPr>
                    <w:jc w:val="center"/>
                    <w:rPr>
                      <w:szCs w:val="16"/>
                    </w:rPr>
                  </w:pPr>
                  <w:r>
                    <w:t xml:space="preserve">Sprinkler</w:t>
                  </w:r>
                  <w:r>
                    <w:rPr>
                      <w:vertAlign w:val="superscript"/>
                    </w:rPr>
                    <w:t xml:space="preserve">1</w:t>
                  </w:r>
                </w:p>
              </w:tc>
              <w:tc>
                <w:tcPr>
                  <w:tcW w:w="1273" w:type="dxa"/>
                  <w:vMerge w:val="restart"/>
                  <w:tcBorders>
                    <w:top w:val="single" w:sz="4" w:space="0" w:color="auto"/>
                  </w:tcBorders>
                  <w:shd w:val="pct45" w:color="auto" w:fill="auto"/>
                  <w:vAlign w:val="center"/>
                </w:tcPr>
                <w:p w14:paraId="483EAAFE" w14:textId="39E67290" w:rsidR="00DD7F4D" w:rsidRPr="00927455" w:rsidRDefault="00DD7F4D" w:rsidP="002757C3">
                  <w:pPr>
                    <w:jc w:val="center"/>
                    <w:rPr>
                      <w:szCs w:val="16"/>
                    </w:rPr>
                  </w:pPr>
                  <w:r>
                    <w:t xml:space="preserve">SHEV</w:t>
                  </w:r>
                  <w:r>
                    <w:rPr>
                      <w:vertAlign w:val="superscript"/>
                    </w:rPr>
                    <w:t xml:space="preserve">1</w:t>
                  </w:r>
                </w:p>
                <w:p w14:paraId="2732A49F" w14:textId="77777777" w:rsidR="00DD7F4D" w:rsidRPr="00927455" w:rsidRDefault="00DD7F4D" w:rsidP="002757C3">
                  <w:pPr>
                    <w:jc w:val="center"/>
                    <w:rPr>
                      <w:szCs w:val="16"/>
                    </w:rPr>
                  </w:pPr>
                  <w:r>
                    <w:t xml:space="preserve">&amp;</w:t>
                  </w:r>
                </w:p>
                <w:p w14:paraId="5CE23323" w14:textId="58C5C02C" w:rsidR="00DD7F4D" w:rsidRPr="00927455" w:rsidRDefault="00DD7F4D" w:rsidP="002757C3">
                  <w:pPr>
                    <w:jc w:val="center"/>
                    <w:rPr>
                      <w:szCs w:val="16"/>
                    </w:rPr>
                  </w:pPr>
                  <w:r>
                    <w:t xml:space="preserve">Sprinkler</w:t>
                  </w:r>
                  <w:r>
                    <w:rPr>
                      <w:vertAlign w:val="superscript"/>
                    </w:rPr>
                    <w:t xml:space="preserve">1</w:t>
                  </w:r>
                </w:p>
              </w:tc>
              <w:tc>
                <w:tcPr>
                  <w:tcW w:w="1273" w:type="dxa"/>
                  <w:vMerge w:val="restart"/>
                  <w:tcBorders>
                    <w:top w:val="single" w:sz="4" w:space="0" w:color="auto"/>
                  </w:tcBorders>
                  <w:shd w:val="pct45" w:color="auto" w:fill="auto"/>
                  <w:vAlign w:val="center"/>
                </w:tcPr>
                <w:p w14:paraId="6CD0BB93" w14:textId="356A4B3A" w:rsidR="00DD7F4D" w:rsidRPr="00927455" w:rsidRDefault="00DD7F4D" w:rsidP="002757C3">
                  <w:pPr>
                    <w:jc w:val="center"/>
                    <w:rPr>
                      <w:szCs w:val="16"/>
                    </w:rPr>
                  </w:pPr>
                  <w:r>
                    <w:t xml:space="preserve">SHEV</w:t>
                  </w:r>
                  <w:r>
                    <w:rPr>
                      <w:vertAlign w:val="superscript"/>
                    </w:rPr>
                    <w:t xml:space="preserve">1</w:t>
                  </w:r>
                </w:p>
                <w:p w14:paraId="1EB8EBE4" w14:textId="77777777" w:rsidR="00DD7F4D" w:rsidRPr="00927455" w:rsidRDefault="00DD7F4D" w:rsidP="002757C3">
                  <w:pPr>
                    <w:jc w:val="center"/>
                    <w:rPr>
                      <w:szCs w:val="16"/>
                    </w:rPr>
                  </w:pPr>
                  <w:r>
                    <w:t xml:space="preserve">&amp;</w:t>
                  </w:r>
                </w:p>
                <w:p w14:paraId="373E5C7A" w14:textId="49D4B17C" w:rsidR="00DD7F4D" w:rsidRPr="00927455" w:rsidRDefault="00DD7F4D" w:rsidP="002757C3">
                  <w:pPr>
                    <w:jc w:val="center"/>
                    <w:rPr>
                      <w:szCs w:val="16"/>
                    </w:rPr>
                  </w:pPr>
                  <w:r>
                    <w:t xml:space="preserve">Sprinkler</w:t>
                  </w:r>
                  <w:r>
                    <w:rPr>
                      <w:vertAlign w:val="superscript"/>
                    </w:rPr>
                    <w:t xml:space="preserve">1</w:t>
                  </w:r>
                </w:p>
              </w:tc>
              <w:tc>
                <w:tcPr>
                  <w:tcW w:w="1273" w:type="dxa"/>
                  <w:vMerge w:val="restart"/>
                  <w:tcBorders>
                    <w:top w:val="single" w:sz="4" w:space="0" w:color="auto"/>
                  </w:tcBorders>
                  <w:shd w:val="pct45" w:color="auto" w:fill="auto"/>
                  <w:vAlign w:val="center"/>
                </w:tcPr>
                <w:p w14:paraId="6E6E7535" w14:textId="2B244176" w:rsidR="00DD7F4D" w:rsidRPr="00927455" w:rsidRDefault="00DD7F4D" w:rsidP="002757C3">
                  <w:pPr>
                    <w:jc w:val="center"/>
                    <w:rPr>
                      <w:szCs w:val="16"/>
                    </w:rPr>
                  </w:pPr>
                  <w:r>
                    <w:t xml:space="preserve">SHEV</w:t>
                  </w:r>
                  <w:r>
                    <w:rPr>
                      <w:vertAlign w:val="superscript"/>
                    </w:rPr>
                    <w:t xml:space="preserve">1</w:t>
                  </w:r>
                </w:p>
                <w:p w14:paraId="1E9357A2" w14:textId="77777777" w:rsidR="00DD7F4D" w:rsidRPr="00927455" w:rsidRDefault="00DD7F4D" w:rsidP="002757C3">
                  <w:pPr>
                    <w:jc w:val="center"/>
                    <w:rPr>
                      <w:szCs w:val="16"/>
                    </w:rPr>
                  </w:pPr>
                  <w:r>
                    <w:t xml:space="preserve">&amp;</w:t>
                  </w:r>
                </w:p>
                <w:p w14:paraId="1595B28D" w14:textId="7FA9AB79" w:rsidR="00DD7F4D" w:rsidRPr="00927455" w:rsidRDefault="00DD7F4D" w:rsidP="002757C3">
                  <w:pPr>
                    <w:jc w:val="center"/>
                    <w:rPr>
                      <w:szCs w:val="16"/>
                    </w:rPr>
                  </w:pPr>
                  <w:r>
                    <w:t xml:space="preserve">Sprinkler</w:t>
                  </w:r>
                  <w:r>
                    <w:rPr>
                      <w:vertAlign w:val="superscript"/>
                    </w:rPr>
                    <w:t xml:space="preserve">1</w:t>
                  </w:r>
                </w:p>
              </w:tc>
            </w:tr>
            <w:tr w:rsidR="00DD7F4D" w:rsidRPr="00927455" w14:paraId="136B0516" w14:textId="77777777" w:rsidTr="002757C3">
              <w:tc>
                <w:tcPr>
                  <w:tcW w:w="502" w:type="dxa"/>
                  <w:vMerge/>
                  <w:tcBorders>
                    <w:top w:val="single" w:sz="4" w:space="0" w:color="auto"/>
                    <w:bottom w:val="single" w:sz="4" w:space="0" w:color="auto"/>
                  </w:tcBorders>
                  <w:vAlign w:val="center"/>
                </w:tcPr>
                <w:p w14:paraId="44772130" w14:textId="77777777" w:rsidR="00DD7F4D" w:rsidRPr="00927455" w:rsidRDefault="00DD7F4D" w:rsidP="002757C3">
                  <w:pPr>
                    <w:jc w:val="center"/>
                    <w:rPr>
                      <w:szCs w:val="16"/>
                      <w:lang w:val="nl-BE"/>
                    </w:rPr>
                  </w:pPr>
                </w:p>
              </w:tc>
              <w:tc>
                <w:tcPr>
                  <w:tcW w:w="842" w:type="dxa"/>
                  <w:gridSpan w:val="2"/>
                  <w:tcBorders>
                    <w:top w:val="single" w:sz="4" w:space="0" w:color="auto"/>
                    <w:bottom w:val="single" w:sz="4" w:space="0" w:color="auto"/>
                  </w:tcBorders>
                  <w:vAlign w:val="center"/>
                </w:tcPr>
                <w:p w14:paraId="2940F552" w14:textId="77777777" w:rsidR="00DD7F4D" w:rsidRPr="00927455" w:rsidRDefault="00DD7F4D" w:rsidP="002757C3">
                  <w:pPr>
                    <w:jc w:val="center"/>
                    <w:rPr>
                      <w:szCs w:val="16"/>
                    </w:rPr>
                  </w:pPr>
                  <w:r>
                    <w:t xml:space="preserve">14 m</w:t>
                  </w:r>
                </w:p>
                <w:p w14:paraId="3C101E2F" w14:textId="77777777" w:rsidR="00DD7F4D" w:rsidRPr="00927455" w:rsidRDefault="00DD7F4D" w:rsidP="002757C3">
                  <w:pPr>
                    <w:jc w:val="center"/>
                    <w:rPr>
                      <w:szCs w:val="16"/>
                    </w:rPr>
                  </w:pPr>
                  <w:r>
                    <w:t xml:space="preserve">&lt; p ≤</w:t>
                  </w:r>
                </w:p>
                <w:p w14:paraId="5162D148" w14:textId="77777777" w:rsidR="00DD7F4D" w:rsidRPr="00927455" w:rsidRDefault="00DD7F4D" w:rsidP="002757C3">
                  <w:pPr>
                    <w:jc w:val="center"/>
                    <w:rPr>
                      <w:szCs w:val="16"/>
                    </w:rPr>
                  </w:pPr>
                  <w:r>
                    <w:t xml:space="preserve">21 m</w:t>
                  </w:r>
                </w:p>
              </w:tc>
              <w:tc>
                <w:tcPr>
                  <w:tcW w:w="703" w:type="dxa"/>
                  <w:vMerge/>
                  <w:vAlign w:val="center"/>
                </w:tcPr>
                <w:p w14:paraId="570399B0" w14:textId="77777777" w:rsidR="00DD7F4D" w:rsidRPr="00927455" w:rsidRDefault="00DD7F4D" w:rsidP="002757C3">
                  <w:pPr>
                    <w:jc w:val="center"/>
                    <w:rPr>
                      <w:szCs w:val="16"/>
                      <w:lang w:val="nl-BE"/>
                    </w:rPr>
                  </w:pPr>
                </w:p>
              </w:tc>
              <w:tc>
                <w:tcPr>
                  <w:tcW w:w="1613" w:type="dxa"/>
                  <w:tcBorders>
                    <w:top w:val="single" w:sz="4" w:space="0" w:color="auto"/>
                    <w:bottom w:val="single" w:sz="4" w:space="0" w:color="auto"/>
                  </w:tcBorders>
                  <w:shd w:val="pct30" w:color="auto" w:fill="auto"/>
                  <w:vAlign w:val="center"/>
                </w:tcPr>
                <w:p w14:paraId="402BC94F" w14:textId="6A6F3C89" w:rsidR="00DD7F4D" w:rsidRPr="00927455" w:rsidRDefault="00DD7F4D" w:rsidP="002757C3">
                  <w:pPr>
                    <w:jc w:val="center"/>
                    <w:rPr>
                      <w:szCs w:val="16"/>
                      <w:vertAlign w:val="superscript"/>
                    </w:rPr>
                  </w:pPr>
                  <w:r>
                    <w:t xml:space="preserve">SHEV</w:t>
                  </w:r>
                  <w:r>
                    <w:rPr>
                      <w:vertAlign w:val="superscript"/>
                    </w:rPr>
                    <w:t xml:space="preserve">1</w:t>
                  </w:r>
                </w:p>
                <w:p w14:paraId="6AD6A367" w14:textId="77777777" w:rsidR="00DD7F4D" w:rsidRPr="00927455" w:rsidRDefault="00DD7F4D" w:rsidP="002757C3">
                  <w:pPr>
                    <w:jc w:val="center"/>
                    <w:rPr>
                      <w:b/>
                      <w:i/>
                      <w:szCs w:val="16"/>
                    </w:rPr>
                  </w:pPr>
                  <w:r>
                    <w:rPr>
                      <w:b/>
                      <w:i/>
                    </w:rPr>
                    <w:t xml:space="preserve">OR</w:t>
                  </w:r>
                </w:p>
                <w:p w14:paraId="4747A01A" w14:textId="1BC2C020" w:rsidR="00DD7F4D" w:rsidRPr="00927455" w:rsidRDefault="00DD7F4D" w:rsidP="002757C3">
                  <w:pPr>
                    <w:jc w:val="center"/>
                    <w:rPr>
                      <w:szCs w:val="16"/>
                    </w:rPr>
                  </w:pPr>
                  <w:r>
                    <w:t xml:space="preserve">Sprinkler</w:t>
                  </w:r>
                  <w:r>
                    <w:rPr>
                      <w:vertAlign w:val="superscript"/>
                    </w:rPr>
                    <w:t xml:space="preserve">1</w:t>
                  </w:r>
                </w:p>
              </w:tc>
              <w:tc>
                <w:tcPr>
                  <w:tcW w:w="1273" w:type="dxa"/>
                  <w:vMerge w:val="restart"/>
                  <w:tcBorders>
                    <w:top w:val="single" w:sz="4" w:space="0" w:color="auto"/>
                  </w:tcBorders>
                  <w:shd w:val="pct45" w:color="auto" w:fill="auto"/>
                  <w:vAlign w:val="center"/>
                </w:tcPr>
                <w:p w14:paraId="21D5DEB0" w14:textId="37E9A2FB" w:rsidR="00DD7F4D" w:rsidRPr="00927455" w:rsidRDefault="00DD7F4D" w:rsidP="002757C3">
                  <w:pPr>
                    <w:jc w:val="center"/>
                    <w:rPr>
                      <w:szCs w:val="16"/>
                    </w:rPr>
                  </w:pPr>
                  <w:r>
                    <w:t xml:space="preserve">SHEV</w:t>
                  </w:r>
                  <w:r>
                    <w:rPr>
                      <w:vertAlign w:val="superscript"/>
                    </w:rPr>
                    <w:t xml:space="preserve">1</w:t>
                  </w:r>
                </w:p>
                <w:p w14:paraId="24CCC63A" w14:textId="77777777" w:rsidR="00DD7F4D" w:rsidRPr="00927455" w:rsidRDefault="00DD7F4D" w:rsidP="002757C3">
                  <w:pPr>
                    <w:jc w:val="center"/>
                    <w:rPr>
                      <w:szCs w:val="16"/>
                    </w:rPr>
                  </w:pPr>
                  <w:r>
                    <w:t xml:space="preserve">&amp;</w:t>
                  </w:r>
                </w:p>
                <w:p w14:paraId="5EDD7310" w14:textId="191E4915" w:rsidR="00DD7F4D" w:rsidRPr="00927455" w:rsidRDefault="00DD7F4D" w:rsidP="002757C3">
                  <w:pPr>
                    <w:jc w:val="center"/>
                    <w:rPr>
                      <w:szCs w:val="16"/>
                    </w:rPr>
                  </w:pPr>
                  <w:r>
                    <w:t xml:space="preserve">Sprinkler</w:t>
                  </w:r>
                  <w:r>
                    <w:rPr>
                      <w:vertAlign w:val="superscript"/>
                    </w:rPr>
                    <w:t xml:space="preserve">1</w:t>
                  </w:r>
                </w:p>
              </w:tc>
              <w:tc>
                <w:tcPr>
                  <w:tcW w:w="1273" w:type="dxa"/>
                  <w:vMerge/>
                  <w:shd w:val="pct45" w:color="auto" w:fill="auto"/>
                  <w:vAlign w:val="center"/>
                </w:tcPr>
                <w:p w14:paraId="70941E67" w14:textId="77777777" w:rsidR="00DD7F4D" w:rsidRPr="00927455" w:rsidRDefault="00DD7F4D" w:rsidP="002757C3">
                  <w:pPr>
                    <w:jc w:val="center"/>
                    <w:rPr>
                      <w:szCs w:val="16"/>
                      <w:lang w:val="nl-BE"/>
                    </w:rPr>
                  </w:pPr>
                </w:p>
              </w:tc>
              <w:tc>
                <w:tcPr>
                  <w:tcW w:w="1273" w:type="dxa"/>
                  <w:vMerge/>
                  <w:shd w:val="pct45" w:color="auto" w:fill="auto"/>
                  <w:vAlign w:val="center"/>
                </w:tcPr>
                <w:p w14:paraId="7D5F3D57" w14:textId="77777777" w:rsidR="00DD7F4D" w:rsidRPr="00927455" w:rsidRDefault="00DD7F4D" w:rsidP="002757C3">
                  <w:pPr>
                    <w:jc w:val="center"/>
                    <w:rPr>
                      <w:szCs w:val="16"/>
                      <w:lang w:val="nl-BE"/>
                    </w:rPr>
                  </w:pPr>
                </w:p>
              </w:tc>
              <w:tc>
                <w:tcPr>
                  <w:tcW w:w="1273" w:type="dxa"/>
                  <w:vMerge/>
                  <w:shd w:val="pct45" w:color="auto" w:fill="auto"/>
                  <w:vAlign w:val="center"/>
                </w:tcPr>
                <w:p w14:paraId="49C13069" w14:textId="77777777" w:rsidR="00DD7F4D" w:rsidRPr="00927455" w:rsidRDefault="00DD7F4D" w:rsidP="002757C3">
                  <w:pPr>
                    <w:jc w:val="center"/>
                    <w:rPr>
                      <w:szCs w:val="16"/>
                      <w:lang w:val="nl-BE"/>
                    </w:rPr>
                  </w:pPr>
                </w:p>
              </w:tc>
            </w:tr>
            <w:tr w:rsidR="00DD7F4D" w:rsidRPr="00927455" w14:paraId="40EE951F" w14:textId="77777777" w:rsidTr="002757C3">
              <w:tc>
                <w:tcPr>
                  <w:tcW w:w="502" w:type="dxa"/>
                  <w:vMerge/>
                  <w:tcBorders>
                    <w:top w:val="single" w:sz="4" w:space="0" w:color="auto"/>
                  </w:tcBorders>
                  <w:vAlign w:val="center"/>
                </w:tcPr>
                <w:p w14:paraId="0BAEE7C6" w14:textId="77777777" w:rsidR="00DD7F4D" w:rsidRPr="00927455" w:rsidRDefault="00DD7F4D" w:rsidP="002757C3">
                  <w:pPr>
                    <w:jc w:val="center"/>
                    <w:rPr>
                      <w:szCs w:val="16"/>
                      <w:lang w:val="nl-BE"/>
                    </w:rPr>
                  </w:pPr>
                </w:p>
              </w:tc>
              <w:tc>
                <w:tcPr>
                  <w:tcW w:w="842" w:type="dxa"/>
                  <w:gridSpan w:val="2"/>
                  <w:tcBorders>
                    <w:top w:val="single" w:sz="4" w:space="0" w:color="auto"/>
                  </w:tcBorders>
                  <w:vAlign w:val="center"/>
                </w:tcPr>
                <w:p w14:paraId="4FFE550B" w14:textId="77777777" w:rsidR="00DD7F4D" w:rsidRPr="00927455" w:rsidRDefault="00DD7F4D" w:rsidP="002757C3">
                  <w:pPr>
                    <w:jc w:val="center"/>
                    <w:rPr>
                      <w:szCs w:val="16"/>
                    </w:rPr>
                  </w:pPr>
                  <w:r>
                    <w:t xml:space="preserve">&gt; 21 m</w:t>
                  </w:r>
                </w:p>
              </w:tc>
              <w:tc>
                <w:tcPr>
                  <w:tcW w:w="703" w:type="dxa"/>
                  <w:vMerge/>
                  <w:vAlign w:val="center"/>
                </w:tcPr>
                <w:p w14:paraId="6B117716" w14:textId="77777777" w:rsidR="00DD7F4D" w:rsidRPr="00927455" w:rsidRDefault="00DD7F4D" w:rsidP="002757C3">
                  <w:pPr>
                    <w:jc w:val="center"/>
                    <w:rPr>
                      <w:szCs w:val="16"/>
                      <w:lang w:val="nl-BE"/>
                    </w:rPr>
                  </w:pPr>
                </w:p>
              </w:tc>
              <w:tc>
                <w:tcPr>
                  <w:tcW w:w="1613" w:type="dxa"/>
                  <w:tcBorders>
                    <w:top w:val="single" w:sz="4" w:space="0" w:color="auto"/>
                  </w:tcBorders>
                  <w:shd w:val="pct45" w:color="auto" w:fill="auto"/>
                  <w:vAlign w:val="center"/>
                </w:tcPr>
                <w:p w14:paraId="18127D02" w14:textId="19514A45" w:rsidR="00DD7F4D" w:rsidRPr="00927455" w:rsidRDefault="00DD7F4D" w:rsidP="002757C3">
                  <w:pPr>
                    <w:jc w:val="center"/>
                    <w:rPr>
                      <w:szCs w:val="16"/>
                    </w:rPr>
                  </w:pPr>
                  <w:r>
                    <w:t xml:space="preserve">SHEV</w:t>
                  </w:r>
                  <w:r>
                    <w:rPr>
                      <w:vertAlign w:val="superscript"/>
                    </w:rPr>
                    <w:t xml:space="preserve">1</w:t>
                  </w:r>
                </w:p>
                <w:p w14:paraId="18526C80" w14:textId="77777777" w:rsidR="00DD7F4D" w:rsidRPr="00927455" w:rsidRDefault="00DD7F4D" w:rsidP="002757C3">
                  <w:pPr>
                    <w:jc w:val="center"/>
                    <w:rPr>
                      <w:szCs w:val="16"/>
                    </w:rPr>
                  </w:pPr>
                  <w:r>
                    <w:t xml:space="preserve">&amp;</w:t>
                  </w:r>
                </w:p>
                <w:p w14:paraId="2D193BE0" w14:textId="5E9AE6D9" w:rsidR="00DD7F4D" w:rsidRPr="00927455" w:rsidRDefault="00DD7F4D" w:rsidP="002757C3">
                  <w:pPr>
                    <w:jc w:val="center"/>
                    <w:rPr>
                      <w:szCs w:val="16"/>
                    </w:rPr>
                  </w:pPr>
                  <w:r>
                    <w:t xml:space="preserve">Sprinkler</w:t>
                  </w:r>
                  <w:r>
                    <w:rPr>
                      <w:vertAlign w:val="superscript"/>
                    </w:rPr>
                    <w:t xml:space="preserve">1</w:t>
                  </w:r>
                </w:p>
              </w:tc>
              <w:tc>
                <w:tcPr>
                  <w:tcW w:w="1273" w:type="dxa"/>
                  <w:vMerge/>
                  <w:shd w:val="pct45" w:color="auto" w:fill="auto"/>
                  <w:vAlign w:val="center"/>
                </w:tcPr>
                <w:p w14:paraId="3C1ABDE4" w14:textId="77777777" w:rsidR="00DD7F4D" w:rsidRPr="00927455" w:rsidRDefault="00DD7F4D" w:rsidP="002757C3">
                  <w:pPr>
                    <w:jc w:val="center"/>
                    <w:rPr>
                      <w:szCs w:val="16"/>
                      <w:lang w:val="nl-BE"/>
                    </w:rPr>
                  </w:pPr>
                </w:p>
              </w:tc>
              <w:tc>
                <w:tcPr>
                  <w:tcW w:w="1273" w:type="dxa"/>
                  <w:vMerge/>
                  <w:shd w:val="pct45" w:color="auto" w:fill="auto"/>
                  <w:vAlign w:val="center"/>
                </w:tcPr>
                <w:p w14:paraId="68F3B289" w14:textId="77777777" w:rsidR="00DD7F4D" w:rsidRPr="00927455" w:rsidRDefault="00DD7F4D" w:rsidP="002757C3">
                  <w:pPr>
                    <w:jc w:val="center"/>
                    <w:rPr>
                      <w:szCs w:val="16"/>
                      <w:lang w:val="nl-BE"/>
                    </w:rPr>
                  </w:pPr>
                </w:p>
              </w:tc>
              <w:tc>
                <w:tcPr>
                  <w:tcW w:w="1273" w:type="dxa"/>
                  <w:vMerge/>
                  <w:shd w:val="pct45" w:color="auto" w:fill="auto"/>
                  <w:vAlign w:val="center"/>
                </w:tcPr>
                <w:p w14:paraId="68152262" w14:textId="77777777" w:rsidR="00DD7F4D" w:rsidRPr="00927455" w:rsidRDefault="00DD7F4D" w:rsidP="002757C3">
                  <w:pPr>
                    <w:jc w:val="center"/>
                    <w:rPr>
                      <w:szCs w:val="16"/>
                      <w:lang w:val="nl-BE"/>
                    </w:rPr>
                  </w:pPr>
                </w:p>
              </w:tc>
              <w:tc>
                <w:tcPr>
                  <w:tcW w:w="1273" w:type="dxa"/>
                  <w:vMerge/>
                  <w:shd w:val="pct45" w:color="auto" w:fill="auto"/>
                  <w:vAlign w:val="center"/>
                </w:tcPr>
                <w:p w14:paraId="0DD50A08" w14:textId="77777777" w:rsidR="00DD7F4D" w:rsidRPr="00927455" w:rsidRDefault="00DD7F4D" w:rsidP="002757C3">
                  <w:pPr>
                    <w:jc w:val="center"/>
                    <w:rPr>
                      <w:szCs w:val="16"/>
                      <w:lang w:val="nl-BE"/>
                    </w:rPr>
                  </w:pPr>
                </w:p>
              </w:tc>
            </w:tr>
          </w:tbl>
          <w:p w14:paraId="1BDB934A" w14:textId="77777777" w:rsidR="00DD7F4D" w:rsidRPr="00927455" w:rsidRDefault="00DD7F4D" w:rsidP="002757C3">
            <w:pPr>
              <w:pStyle w:val="Paragraphedeliste"/>
              <w:widowControl w:val="0"/>
              <w:tabs>
                <w:tab w:val="left" w:pos="-549"/>
                <w:tab w:val="left" w:pos="1080"/>
              </w:tabs>
              <w:ind w:left="360" w:hanging="360"/>
              <w:jc w:val="both"/>
              <w:rPr>
                <w:rFonts w:cs="Times New Roman"/>
                <w:lang w:val="nl-BE" w:eastAsia="nl-NL"/>
              </w:rPr>
            </w:pPr>
          </w:p>
        </w:tc>
      </w:tr>
    </w:tbl>
    <w:tbl>
      <w:tblPr>
        <w:tblStyle w:val="Grilledutableau"/>
        <w:tblW w:w="0" w:type="auto"/>
        <w:tblLook w:val="04A0" w:firstRow="1" w:lastRow="0" w:firstColumn="1" w:lastColumn="0" w:noHBand="0" w:noVBand="1"/>
      </w:tblPr>
      <w:tblGrid>
        <w:gridCol w:w="4538"/>
      </w:tblGrid>
      <w:tr w:rsidR="00CD661C" w:rsidRPr="00927455" w14:paraId="4EDC9DD3" w14:textId="77777777" w:rsidTr="004F667F">
        <w:tc>
          <w:tcPr>
            <w:tcW w:w="4538" w:type="dxa"/>
          </w:tcPr>
          <w:p w14:paraId="26D5B7FD" w14:textId="77777777" w:rsidR="00CD661C" w:rsidRPr="00927455" w:rsidRDefault="00CD661C" w:rsidP="003774D1">
            <w:pPr>
              <w:rPr>
                <w:lang w:val="fr-BE"/>
              </w:rPr>
            </w:pPr>
          </w:p>
        </w:tc>
      </w:tr>
      <w:tr w:rsidR="00CD661C" w:rsidRPr="00927455" w14:paraId="621E36D2" w14:textId="77777777" w:rsidTr="004F667F">
        <w:tc>
          <w:tcPr>
            <w:tcW w:w="4538" w:type="dxa"/>
          </w:tcPr>
          <w:p w14:paraId="43C8E9CF" w14:textId="77777777" w:rsidR="00CD661C" w:rsidRPr="00927455" w:rsidRDefault="00CD661C" w:rsidP="003774D1">
            <w:pPr>
              <w:rPr>
                <w:lang w:val="fr-BE"/>
              </w:rPr>
            </w:pPr>
          </w:p>
        </w:tc>
      </w:tr>
      <w:tr w:rsidR="00CD661C" w:rsidRPr="00CD661C" w14:paraId="00CD22BF" w14:textId="77777777" w:rsidTr="004F667F">
        <w:tc>
          <w:tcPr>
            <w:tcW w:w="4538" w:type="dxa"/>
          </w:tcPr>
          <w:p w14:paraId="3C29EE7B" w14:textId="7831E050" w:rsidR="00CD661C" w:rsidRPr="00927455" w:rsidRDefault="00CD661C" w:rsidP="00DD7F4D">
            <w:r>
              <w:t xml:space="preserve">(*) For car parks without a car lift, this limit is increased to 625 m² provided that the car park does not feature any points located further than 45 m from the car park entrance intended for fire brigade operations (see also point 7.2 of the Annex 1).</w:t>
            </w:r>
          </w:p>
          <w:p w14:paraId="2C77588C" w14:textId="798CB385" w:rsidR="00CD661C" w:rsidRPr="00927455" w:rsidRDefault="00CD661C" w:rsidP="00DD7F4D"/>
          <w:p w14:paraId="500FFB55" w14:textId="5DCB0B7E" w:rsidR="00CD661C" w:rsidRPr="00927455" w:rsidRDefault="00CD661C" w:rsidP="00DD7F4D">
            <w:r>
              <w:t xml:space="preserve">SHEV</w:t>
            </w:r>
            <w:r>
              <w:rPr>
                <w:vertAlign w:val="superscript"/>
              </w:rPr>
              <w:t xml:space="preserve">#</w:t>
            </w:r>
            <w:r>
              <w:t xml:space="preserve"> = SHEV type #</w:t>
            </w:r>
          </w:p>
          <w:p w14:paraId="2EA1295C" w14:textId="62108AA8" w:rsidR="00CD661C" w:rsidRPr="00927455" w:rsidRDefault="00CD661C" w:rsidP="00DD7F4D">
            <w:r>
              <w:t xml:space="preserve">Sprinkler</w:t>
            </w:r>
            <w:r>
              <w:rPr>
                <w:vertAlign w:val="superscript"/>
              </w:rPr>
              <w:t xml:space="preserve">#</w:t>
            </w:r>
            <w:r>
              <w:t xml:space="preserve"> = Sprinkler type #</w:t>
            </w:r>
          </w:p>
          <w:p w14:paraId="3B2BBFB0" w14:textId="77777777" w:rsidR="00CD661C" w:rsidRPr="00927455" w:rsidRDefault="00CD661C" w:rsidP="00DD7F4D"/>
          <w:p w14:paraId="1865A7F2" w14:textId="77777777" w:rsidR="00CD661C" w:rsidRPr="00927455" w:rsidRDefault="00CD661C" w:rsidP="00DD7F4D">
            <w:r>
              <w:t xml:space="preserve">All underground parking levels, except for open component layers, must feature the same protection type.</w:t>
            </w:r>
            <w:r>
              <w:t xml:space="preserve"> </w:t>
            </w:r>
            <w:r>
              <w:t xml:space="preserve">All above-ground parking levels, except for open component layers, must feature the same protection type.</w:t>
            </w:r>
            <w:r>
              <w:t xml:space="preserve"> </w:t>
            </w:r>
            <w:r>
              <w:t xml:space="preserve">However, the protection type of the above-ground storeys may differ from that of the underground storeys.</w:t>
            </w:r>
          </w:p>
          <w:p w14:paraId="0EE89CB3" w14:textId="77777777" w:rsidR="00CD661C" w:rsidRPr="00927455" w:rsidRDefault="00CD661C" w:rsidP="00DD7F4D"/>
        </w:tc>
      </w:tr>
      <w:tr w:rsidR="00CD661C" w:rsidRPr="00CD661C" w14:paraId="569AD221" w14:textId="77777777" w:rsidTr="002757C3">
        <w:tc>
          <w:tcPr>
            <w:tcW w:w="4538" w:type="dxa"/>
          </w:tcPr>
          <w:p w14:paraId="58BAA85E" w14:textId="77777777" w:rsidR="00CD661C" w:rsidRPr="00927455" w:rsidRDefault="00CD661C" w:rsidP="004A7BE9">
            <w:pPr>
              <w:rPr>
                <w:b/>
              </w:rPr>
            </w:pPr>
            <w:r>
              <w:rPr>
                <w:b/>
              </w:rPr>
              <w:t xml:space="preserve">3.3.2</w:t>
            </w:r>
            <w:r>
              <w:rPr>
                <w:b/>
              </w:rPr>
              <w:tab/>
            </w:r>
            <w:r>
              <w:rPr>
                <w:b/>
              </w:rPr>
              <w:t xml:space="preserve">Fire detection and alarm system</w:t>
            </w:r>
          </w:p>
          <w:p w14:paraId="0BD9F3B9" w14:textId="77777777" w:rsidR="00CD661C" w:rsidRPr="00927455" w:rsidRDefault="00CD661C" w:rsidP="004A7BE9">
            <w:r>
              <w:tab/>
            </w:r>
            <w:r>
              <w:t xml:space="preserve">Parking levels must be equipped with an automatic fire detection and alarm system that monitors the entire car park (including the rooms in the compartment).</w:t>
            </w:r>
            <w:r>
              <w:t xml:space="preserve">  </w:t>
            </w:r>
          </w:p>
          <w:p w14:paraId="4367A96B" w14:textId="77777777" w:rsidR="00CD661C" w:rsidRPr="00927455" w:rsidRDefault="00CD661C" w:rsidP="004A7BE9"/>
          <w:p w14:paraId="7ADB43F6" w14:textId="77777777" w:rsidR="00CD661C" w:rsidRPr="00927455" w:rsidRDefault="00CD661C" w:rsidP="004A7BE9">
            <w:r>
              <w:t xml:space="preserve">This requirement does not apply to:</w:t>
            </w:r>
          </w:p>
          <w:p w14:paraId="48CB2941" w14:textId="3EBA81E6" w:rsidR="00CD661C" w:rsidRPr="00927455" w:rsidRDefault="00CD661C" w:rsidP="004A7BE9">
            <w:r>
              <w:t xml:space="preserve">a)</w:t>
            </w:r>
            <w:r>
              <w:tab/>
            </w:r>
            <w:r>
              <w:t xml:space="preserve">car parks with a total area less of than or equal to the limit indicated in point 3.3.1 for application of one the protection types on every parking level;</w:t>
            </w:r>
          </w:p>
          <w:p w14:paraId="34FA8A3D" w14:textId="141623C2" w:rsidR="00CD661C" w:rsidRPr="00927455" w:rsidRDefault="00CD661C" w:rsidP="004A7BE9">
            <w:r>
              <w:t xml:space="preserve">b)</w:t>
            </w:r>
            <w:r>
              <w:tab/>
            </w:r>
            <w:r>
              <w:t xml:space="preserve">car parks exclusively of the ‘Ventilation opening’ or ‘Open’ type, provided that they do not feature any:</w:t>
            </w:r>
          </w:p>
          <w:p w14:paraId="0A962805" w14:textId="77777777" w:rsidR="00CD661C" w:rsidRPr="00927455" w:rsidRDefault="00CD661C" w:rsidP="004A7BE9">
            <w:r>
              <w:t xml:space="preserve">-</w:t>
            </w:r>
            <w:r>
              <w:tab/>
            </w:r>
            <w:r>
              <w:t xml:space="preserve">subcompartments;</w:t>
            </w:r>
          </w:p>
          <w:p w14:paraId="3D8A03D6" w14:textId="72D94396" w:rsidR="00CD661C" w:rsidRPr="00927455" w:rsidRDefault="00CD661C" w:rsidP="004A7BE9">
            <w:r>
              <w:t xml:space="preserve">-</w:t>
            </w:r>
            <w:r>
              <w:tab/>
            </w:r>
            <w:r>
              <w:t xml:space="preserve">equipment that requires fire detection control, aside from fire-activated self-closing doors; and</w:t>
            </w:r>
          </w:p>
          <w:p w14:paraId="72C1EF2C" w14:textId="77777777" w:rsidR="00CD661C" w:rsidRPr="00927455" w:rsidRDefault="00CD661C" w:rsidP="004A7BE9">
            <w:r>
              <w:t xml:space="preserve">- car lifts.</w:t>
            </w:r>
          </w:p>
          <w:p w14:paraId="1501614D" w14:textId="77777777" w:rsidR="00CD661C" w:rsidRPr="00927455" w:rsidRDefault="00CD661C" w:rsidP="002757C3"/>
        </w:tc>
      </w:tr>
      <w:tr w:rsidR="00CD661C" w:rsidRPr="00CD661C" w14:paraId="77C9A232" w14:textId="77777777" w:rsidTr="002757C3">
        <w:tc>
          <w:tcPr>
            <w:tcW w:w="4538" w:type="dxa"/>
          </w:tcPr>
          <w:p w14:paraId="0C7C221E" w14:textId="77777777" w:rsidR="00CD661C" w:rsidRPr="00927455" w:rsidRDefault="00CD661C" w:rsidP="004A7BE9">
            <w:r>
              <w:t xml:space="preserve">3.3.2.1</w:t>
            </w:r>
            <w:r>
              <w:tab/>
            </w:r>
            <w:r>
              <w:t xml:space="preserve">Implementation of the fire detection system</w:t>
            </w:r>
            <w:r>
              <w:t xml:space="preserve"> </w:t>
            </w:r>
          </w:p>
          <w:p w14:paraId="1135A27B" w14:textId="7FE7D897" w:rsidR="00CD661C" w:rsidRPr="00927455" w:rsidRDefault="00CD661C" w:rsidP="004A7BE9">
            <w:r>
              <w:tab/>
            </w:r>
            <w:r>
              <w:t xml:space="preserve">The automatic fire detection system must be designed and implemented according to standard NBN S 21-100-1.</w:t>
            </w:r>
            <w:r>
              <w:t xml:space="preserve"> </w:t>
            </w:r>
            <w:r>
              <w:t xml:space="preserve">The choice of detectors must be tailored to the relevant risks and rapid fire detection.</w:t>
            </w:r>
          </w:p>
          <w:p w14:paraId="51A70A65" w14:textId="77777777" w:rsidR="00CD661C" w:rsidRPr="00927455" w:rsidRDefault="00CD661C" w:rsidP="004A7BE9"/>
          <w:p w14:paraId="1046A9FF" w14:textId="77777777" w:rsidR="00CD661C" w:rsidRPr="00927455" w:rsidRDefault="00CD661C" w:rsidP="004A7BE9">
            <w:r>
              <w:t xml:space="preserve">For parking levels fitted with a sprinkler system, this system can provide automatic fire detection in the zones it protects, provided that:</w:t>
            </w:r>
          </w:p>
          <w:p w14:paraId="01F4654C" w14:textId="77777777" w:rsidR="00CD661C" w:rsidRPr="00927455" w:rsidRDefault="00CD661C" w:rsidP="004A7BE9">
            <w:r>
              <w:t xml:space="preserve">- the sprinklers have a nominal operating temperature not exceeding 68°C and are of the quick response type;</w:t>
            </w:r>
          </w:p>
          <w:p w14:paraId="17DEB6EE" w14:textId="77777777" w:rsidR="00CD661C" w:rsidRPr="00927455" w:rsidRDefault="00CD661C" w:rsidP="004A7BE9">
            <w:r>
              <w:t xml:space="preserve">- the sprinkler system piping network is fitted with water flow detectors and/or pressure switches that divide the piping network into detection zones;</w:t>
            </w:r>
          </w:p>
          <w:p w14:paraId="561C8348" w14:textId="00924456" w:rsidR="00CD661C" w:rsidRPr="00927455" w:rsidRDefault="00CD661C" w:rsidP="004A7BE9">
            <w:r>
              <w:t xml:space="preserve">- these detection zones meet the corresponding requirements of standard NBN S 21-100-1;</w:t>
            </w:r>
          </w:p>
          <w:p w14:paraId="1EE54231" w14:textId="77777777" w:rsidR="00CD661C" w:rsidRPr="00927455" w:rsidRDefault="00CD661C" w:rsidP="004A7BE9">
            <w:r>
              <w:t xml:space="preserve">- for parking levels of the ‘SHEV &amp; sprinkler’ type, each detection zone contains no more than one SHEV zone;</w:t>
            </w:r>
          </w:p>
          <w:p w14:paraId="5C290DE4" w14:textId="77777777" w:rsidR="00CD661C" w:rsidRPr="00927455" w:rsidRDefault="00CD661C" w:rsidP="004A7BE9">
            <w:r>
              <w:t xml:space="preserve">- each subdivision of the piping network is fitted with a test valve; and</w:t>
            </w:r>
          </w:p>
          <w:p w14:paraId="2E06D798" w14:textId="77777777" w:rsidR="00CD661C" w:rsidRPr="00927455" w:rsidRDefault="00CD661C" w:rsidP="004A7BE9">
            <w:r>
              <w:t xml:space="preserve">- this system is supplemented by smoke detectors in the vicinity of fire-activated self-closing doors.</w:t>
            </w:r>
          </w:p>
          <w:p w14:paraId="5789AE0C" w14:textId="77777777" w:rsidR="00CD661C" w:rsidRPr="00927455" w:rsidRDefault="00CD661C" w:rsidP="004A7BE9"/>
          <w:p w14:paraId="57E6D54E" w14:textId="77777777" w:rsidR="00CD661C" w:rsidRPr="00927455" w:rsidRDefault="00CD661C" w:rsidP="004A7BE9">
            <w:r>
              <w:t xml:space="preserve">The fire detection system must automatically indicate the fire alarm and its location.</w:t>
            </w:r>
          </w:p>
          <w:p w14:paraId="4D91EE19" w14:textId="77777777" w:rsidR="00CD661C" w:rsidRPr="00927455" w:rsidRDefault="00CD661C" w:rsidP="002757C3"/>
        </w:tc>
      </w:tr>
      <w:tr w:rsidR="00CD661C" w:rsidRPr="00CD661C" w14:paraId="3CF71ED6" w14:textId="77777777" w:rsidTr="002757C3">
        <w:tc>
          <w:tcPr>
            <w:tcW w:w="4538" w:type="dxa"/>
          </w:tcPr>
          <w:p w14:paraId="0D604D35" w14:textId="77777777" w:rsidR="00CD661C" w:rsidRPr="00927455" w:rsidRDefault="00CD661C" w:rsidP="004A7BE9">
            <w:r>
              <w:t xml:space="preserve">3.3.2.2 Alarm system functioning</w:t>
            </w:r>
            <w:r>
              <w:t xml:space="preserve"> </w:t>
            </w:r>
          </w:p>
          <w:p w14:paraId="427E933D" w14:textId="77777777" w:rsidR="00CD661C" w:rsidRPr="00927455" w:rsidRDefault="00CD661C" w:rsidP="004A7BE9">
            <w:r>
              <w:tab/>
            </w:r>
            <w:r>
              <w:t xml:space="preserve">The system must inform all building users, in a timely manner, of a fire in the car park and the need to evacuate the building.</w:t>
            </w:r>
          </w:p>
          <w:p w14:paraId="0CE372B7" w14:textId="77777777" w:rsidR="00CD661C" w:rsidRPr="00927455" w:rsidRDefault="00CD661C" w:rsidP="004A7BE9"/>
          <w:p w14:paraId="0CB48B02" w14:textId="77777777" w:rsidR="00CD661C" w:rsidRPr="00927455" w:rsidRDefault="00CD661C" w:rsidP="004A7BE9">
            <w:r>
              <w:t xml:space="preserve">If one or more authorised persons monitors the car park, the system must send a prior warning to these persons, who will take the appropriate measures and notify the fire brigade.</w:t>
            </w:r>
          </w:p>
        </w:tc>
      </w:tr>
      <w:tr w:rsidR="00CD661C" w:rsidRPr="00CD661C" w14:paraId="2A89EEA4" w14:textId="77777777" w:rsidTr="002757C3">
        <w:tc>
          <w:tcPr>
            <w:tcW w:w="4538" w:type="dxa"/>
          </w:tcPr>
          <w:p w14:paraId="6F66CA93" w14:textId="77777777" w:rsidR="00CD661C" w:rsidRPr="00927455" w:rsidRDefault="00CD661C" w:rsidP="004A7BE9">
            <w:pPr>
              <w:rPr>
                <w:b/>
              </w:rPr>
            </w:pPr>
            <w:r>
              <w:rPr>
                <w:b/>
              </w:rPr>
              <w:t xml:space="preserve">3.3.3 SHEV system</w:t>
            </w:r>
          </w:p>
          <w:p w14:paraId="55764EDB" w14:textId="36285584" w:rsidR="00CD661C" w:rsidRPr="00927455" w:rsidRDefault="00CD661C" w:rsidP="004A7BE9">
            <w:r>
              <w:tab/>
            </w:r>
            <w:r>
              <w:t xml:space="preserve">For parking levels fitted with a smoke and heat exhaust ventilation (SHEV) system, this system must protect the vehicle parking spaces, the circulation routes and the ramps.</w:t>
            </w:r>
            <w:r>
              <w:t xml:space="preserve"> </w:t>
            </w:r>
            <w:r>
              <w:t xml:space="preserve">A system i not required for the rooms and parking boxes located in the compartment.</w:t>
            </w:r>
            <w:r>
              <w:t xml:space="preserve"> </w:t>
            </w:r>
          </w:p>
          <w:p w14:paraId="36BBFF4D" w14:textId="77777777" w:rsidR="00CD661C" w:rsidRPr="00927455" w:rsidRDefault="00CD661C" w:rsidP="002757C3"/>
        </w:tc>
      </w:tr>
      <w:tr w:rsidR="00CD661C" w:rsidRPr="00CD661C" w14:paraId="0047FD99" w14:textId="77777777" w:rsidTr="002757C3">
        <w:tc>
          <w:tcPr>
            <w:tcW w:w="4538" w:type="dxa"/>
          </w:tcPr>
          <w:p w14:paraId="0894D70F" w14:textId="77777777" w:rsidR="00CD661C" w:rsidRPr="00927455" w:rsidRDefault="00CD661C" w:rsidP="004A7BE9">
            <w:r>
              <w:t xml:space="preserve">3.3.3.1</w:t>
            </w:r>
            <w:r>
              <w:tab/>
            </w:r>
            <w:r>
              <w:t xml:space="preserve">Implementation of the SHEV system</w:t>
            </w:r>
          </w:p>
          <w:p w14:paraId="510B06E2" w14:textId="77777777" w:rsidR="00CD661C" w:rsidRPr="00927455" w:rsidRDefault="00CD661C" w:rsidP="004A7BE9">
            <w:r>
              <w:tab/>
            </w:r>
            <w:r>
              <w:t xml:space="preserve">SHEV systems must be designed and implemented:</w:t>
            </w:r>
          </w:p>
          <w:p w14:paraId="2F13DAED" w14:textId="3CFF59B4" w:rsidR="00CD661C" w:rsidRPr="00927455" w:rsidRDefault="00CD661C" w:rsidP="004A7BE9">
            <w:r>
              <w:t xml:space="preserve">- either according to standard NBN S 21-208-2 for a type 1 or 2 SHEV system;</w:t>
            </w:r>
          </w:p>
          <w:p w14:paraId="27C2933C" w14:textId="66CBCEB3" w:rsidR="00CD661C" w:rsidRPr="00927455" w:rsidRDefault="00CD661C" w:rsidP="004A7BE9">
            <w:r>
              <w:t xml:space="preserve">- or according to the provisions of point 3.3.3.3 for a type 3 SHEV system.</w:t>
            </w:r>
          </w:p>
          <w:p w14:paraId="6E97362B" w14:textId="77777777" w:rsidR="00CD661C" w:rsidRPr="00927455" w:rsidRDefault="00CD661C" w:rsidP="004A7BE9"/>
          <w:p w14:paraId="3A05F380" w14:textId="77777777" w:rsidR="00CD661C" w:rsidRPr="00927455" w:rsidRDefault="00CD661C" w:rsidP="004A7BE9">
            <w:r>
              <w:t xml:space="preserve">Smoke removal from the affected subcompartment cannot pass through another subcompartment, except for smoke removal from ramps without vehicle parking zones.</w:t>
            </w:r>
            <w:r>
              <w:t xml:space="preserve"> </w:t>
            </w:r>
            <w:r>
              <w:t xml:space="preserve">In contrast, the air supply to the affected subcompartment can in fact pass through another subcompartment.</w:t>
            </w:r>
          </w:p>
          <w:p w14:paraId="115B544A" w14:textId="77777777" w:rsidR="00CD661C" w:rsidRPr="00927455" w:rsidRDefault="00CD661C" w:rsidP="002757C3"/>
        </w:tc>
      </w:tr>
      <w:tr w:rsidR="00CD661C" w:rsidRPr="00CD661C" w14:paraId="2ED029E1" w14:textId="77777777" w:rsidTr="002757C3">
        <w:tc>
          <w:tcPr>
            <w:tcW w:w="4538" w:type="dxa"/>
          </w:tcPr>
          <w:p w14:paraId="64D881F7" w14:textId="77777777" w:rsidR="00CD661C" w:rsidRPr="00927455" w:rsidRDefault="00CD661C" w:rsidP="004A7BE9">
            <w:r>
              <w:t xml:space="preserve">3.3.3.1.1</w:t>
            </w:r>
            <w:r>
              <w:tab/>
            </w:r>
            <w:r>
              <w:t xml:space="preserve">Exception: autonomous power supply</w:t>
            </w:r>
          </w:p>
          <w:p w14:paraId="60FEC117" w14:textId="77777777" w:rsidR="00CD661C" w:rsidRPr="00927455" w:rsidRDefault="00CD661C" w:rsidP="004A7BE9">
            <w:r>
              <w:tab/>
            </w:r>
            <w:r>
              <w:t xml:space="preserve">Contrary to standard NBN S 21-208-2 and point 6.5.3 of Annexes 2/1, 3/1 and 4/1, a SHEV system cannot be powered by an autonomous power supply for car parks with a total area of less than or equal to 2500 m².</w:t>
            </w:r>
          </w:p>
          <w:p w14:paraId="284267D9" w14:textId="77777777" w:rsidR="00CD661C" w:rsidRPr="00927455" w:rsidRDefault="00CD661C" w:rsidP="002757C3"/>
        </w:tc>
      </w:tr>
      <w:tr w:rsidR="00CD661C" w:rsidRPr="00CD661C" w14:paraId="1603941E" w14:textId="77777777" w:rsidTr="002757C3">
        <w:tc>
          <w:tcPr>
            <w:tcW w:w="4538" w:type="dxa"/>
          </w:tcPr>
          <w:p w14:paraId="02E35BFB" w14:textId="77777777" w:rsidR="00CD661C" w:rsidRPr="00927455" w:rsidRDefault="00CD661C" w:rsidP="004A7BE9">
            <w:r>
              <w:t xml:space="preserve">3.3.3.1.2</w:t>
            </w:r>
            <w:r>
              <w:tab/>
            </w:r>
            <w:r>
              <w:t xml:space="preserve">Exception: fire dampers</w:t>
            </w:r>
          </w:p>
          <w:p w14:paraId="5CC14D5F" w14:textId="77777777" w:rsidR="00CD661C" w:rsidRPr="00927455" w:rsidRDefault="00CD661C" w:rsidP="004A7BE9"/>
          <w:p w14:paraId="674C6B59" w14:textId="7B6B419E" w:rsidR="00CD661C" w:rsidRPr="00927455" w:rsidRDefault="00CD661C" w:rsidP="004A7BE9">
            <w:r>
              <w:t xml:space="preserve">Contrary to the point 6.7.4 of the Annexes 2/1, 3/1 and 4/1, if the SHEV system serves several subcompartments, the smoke dampers and register valves may be placed on the boundaries of the subcompartments belong to the Class E600 60 (ve ho i</w:t>
            </w:r>
            <w:r>
              <w:sym w:font="Symbol" w:char="F0AB"/>
            </w:r>
            <w:r>
              <w:t xml:space="preserve">o) MA single according to standard NBN EN 12101-8.</w:t>
            </w:r>
          </w:p>
          <w:p w14:paraId="79BF13E4" w14:textId="77777777" w:rsidR="00CD661C" w:rsidRPr="00927455" w:rsidRDefault="00CD661C" w:rsidP="002757C3"/>
        </w:tc>
      </w:tr>
      <w:tr w:rsidR="00CD661C" w:rsidRPr="00CD661C" w14:paraId="79BCE286" w14:textId="77777777" w:rsidTr="002757C3">
        <w:tc>
          <w:tcPr>
            <w:tcW w:w="4538" w:type="dxa"/>
          </w:tcPr>
          <w:p w14:paraId="22560E21" w14:textId="1FB8B2CE" w:rsidR="00CD661C" w:rsidRPr="00927455" w:rsidRDefault="00CD661C" w:rsidP="004A7BE9">
            <w:r>
              <w:t xml:space="preserve">3.3.3.2</w:t>
            </w:r>
            <w:r>
              <w:tab/>
            </w:r>
            <w:r>
              <w:t xml:space="preserve">Type 2 SHEV system</w:t>
            </w:r>
          </w:p>
          <w:p w14:paraId="50D68CFD" w14:textId="77777777" w:rsidR="00CD661C" w:rsidRPr="00927455" w:rsidRDefault="00CD661C" w:rsidP="004A7BE9"/>
          <w:p w14:paraId="5A68C98D" w14:textId="0E759B61" w:rsidR="00CD661C" w:rsidRPr="00927455" w:rsidRDefault="00CD661C" w:rsidP="004A7BE9">
            <w:r>
              <w:t xml:space="preserve">For a subcompartment with protection type ‘SHEV’:</w:t>
            </w:r>
          </w:p>
          <w:p w14:paraId="0108FD98" w14:textId="77777777" w:rsidR="00CD661C" w:rsidRPr="00927455" w:rsidRDefault="00CD661C" w:rsidP="004A7BE9">
            <w:r>
              <w:t xml:space="preserve">a)</w:t>
            </w:r>
            <w:r>
              <w:tab/>
            </w:r>
            <w:r>
              <w:t xml:space="preserve">with an area less than or equal to 2500 m² and above ground;</w:t>
            </w:r>
          </w:p>
          <w:p w14:paraId="50F55BC0" w14:textId="77777777" w:rsidR="00CD661C" w:rsidRPr="00927455" w:rsidRDefault="00CD661C" w:rsidP="004A7BE9">
            <w:r>
              <w:t xml:space="preserve">b)</w:t>
            </w:r>
            <w:r>
              <w:tab/>
            </w:r>
            <w:r>
              <w:t xml:space="preserve">with an area less than or equal to 2500 m² and a depth less than or equal to 7 m;</w:t>
            </w:r>
          </w:p>
          <w:p w14:paraId="6FCDC30B" w14:textId="77777777" w:rsidR="00CD661C" w:rsidRPr="00927455" w:rsidRDefault="00CD661C" w:rsidP="004A7BE9">
            <w:r>
              <w:t xml:space="preserve">c)</w:t>
            </w:r>
            <w:r>
              <w:tab/>
            </w:r>
            <w:r>
              <w:t xml:space="preserve">with an area less than or equal to 1250 m² and a depth less than or equal to 14 m; and</w:t>
            </w:r>
          </w:p>
          <w:p w14:paraId="43C070AF" w14:textId="77777777" w:rsidR="00CD661C" w:rsidRPr="00927455" w:rsidRDefault="00CD661C" w:rsidP="004A7BE9">
            <w:r>
              <w:t xml:space="preserve">provided that the total area of the car park is less than or equal to 10 000 m²;</w:t>
            </w:r>
          </w:p>
          <w:p w14:paraId="48AFD4CC" w14:textId="77777777" w:rsidR="00CD661C" w:rsidRPr="00927455" w:rsidRDefault="00CD661C" w:rsidP="004A7BE9">
            <w:r>
              <w:t xml:space="preserve">the following exceptions are granted from the Annex A to standard NBN S 21-208-2:</w:t>
            </w:r>
          </w:p>
          <w:p w14:paraId="1C836D2E" w14:textId="77777777" w:rsidR="00CD661C" w:rsidRPr="00927455" w:rsidRDefault="00CD661C" w:rsidP="004A7BE9">
            <w:r>
              <w:t xml:space="preserve">- the subcompartment is divided into SHEV zones with an area of less than or equal to 1250 m²;</w:t>
            </w:r>
          </w:p>
          <w:p w14:paraId="790033BB" w14:textId="77777777" w:rsidR="00CD661C" w:rsidRPr="00927455" w:rsidRDefault="00CD661C" w:rsidP="004A7BE9">
            <w:r>
              <w:t xml:space="preserve">- the width w</w:t>
            </w:r>
            <w:r>
              <w:rPr>
                <w:vertAlign w:val="subscript"/>
              </w:rPr>
              <w:t xml:space="preserve">ref</w:t>
            </w:r>
            <w:r>
              <w:t xml:space="preserve"> of the subcompartment may be greater than 20 m. In this case, Table A.1 gives the required speed to be applied for a width w of between 12 m and 20 m.</w:t>
            </w:r>
          </w:p>
          <w:p w14:paraId="17CD8BB7" w14:textId="77777777" w:rsidR="00CD661C" w:rsidRPr="00927455" w:rsidRDefault="00CD661C" w:rsidP="004A7BE9">
            <w:r>
              <w:t xml:space="preserve">- the draft flow rate Q</w:t>
            </w:r>
            <w:r>
              <w:rPr>
                <w:vertAlign w:val="subscript"/>
              </w:rPr>
              <w:t xml:space="preserve">d</w:t>
            </w:r>
            <w:r>
              <w:t xml:space="preserve"> is the greatest of flow rates Q</w:t>
            </w:r>
            <w:r>
              <w:rPr>
                <w:vertAlign w:val="subscript"/>
              </w:rPr>
              <w:t xml:space="preserve">min</w:t>
            </w:r>
            <w:r>
              <w:t xml:space="preserve"> and Q</w:t>
            </w:r>
            <w:r>
              <w:rPr>
                <w:vertAlign w:val="subscript"/>
              </w:rPr>
              <w:t xml:space="preserve">in</w:t>
            </w:r>
            <w:r>
              <w:t xml:space="preserve">.</w:t>
            </w:r>
          </w:p>
          <w:p w14:paraId="4375ABD8" w14:textId="77777777" w:rsidR="00CD661C" w:rsidRPr="00927455" w:rsidRDefault="00CD661C" w:rsidP="004A7BE9"/>
        </w:tc>
      </w:tr>
      <w:tr w:rsidR="00CD661C" w:rsidRPr="00927455" w14:paraId="7C6F507A" w14:textId="77777777" w:rsidTr="002757C3">
        <w:tc>
          <w:tcPr>
            <w:tcW w:w="4538" w:type="dxa"/>
          </w:tcPr>
          <w:p w14:paraId="5E4B321A" w14:textId="4212B967" w:rsidR="00CD661C" w:rsidRPr="00927455" w:rsidRDefault="00CD661C" w:rsidP="004A7BE9">
            <w:r>
              <w:t xml:space="preserve">3.3.3.3</w:t>
            </w:r>
            <w:r>
              <w:tab/>
            </w:r>
            <w:r>
              <w:t xml:space="preserve">Type 3 SHEV system</w:t>
            </w:r>
          </w:p>
          <w:p w14:paraId="05CE005E" w14:textId="77777777" w:rsidR="00CD661C" w:rsidRPr="00927455" w:rsidRDefault="00CD661C" w:rsidP="004A7BE9"/>
        </w:tc>
      </w:tr>
      <w:tr w:rsidR="00CD661C" w:rsidRPr="00CD661C" w14:paraId="1F729152" w14:textId="77777777" w:rsidTr="002757C3">
        <w:tc>
          <w:tcPr>
            <w:tcW w:w="4538" w:type="dxa"/>
          </w:tcPr>
          <w:p w14:paraId="710E1E98" w14:textId="3DE5BC5C" w:rsidR="00CD661C" w:rsidRPr="00927455" w:rsidRDefault="00CD661C" w:rsidP="00161B09">
            <w:r>
              <w:t xml:space="preserve">The principle is to allow the fire brigade to provide horizontal ventilation without using their own fans, to make a fire brigade route relatively smoke-free from the car park entrance to the vicinity of the seat of the fire.</w:t>
            </w:r>
          </w:p>
          <w:p w14:paraId="45B8AFD2" w14:textId="77777777" w:rsidR="00CD661C" w:rsidRPr="00927455" w:rsidRDefault="00CD661C" w:rsidP="00161B09"/>
          <w:p w14:paraId="556F3FF2" w14:textId="77777777" w:rsidR="00CD661C" w:rsidRPr="00927455" w:rsidRDefault="00CD661C" w:rsidP="001E2CC5">
            <w:r>
              <w:t xml:space="preserve">This simplified type of solution only applies to a subcompartment of the ‘SHEV’ type:</w:t>
            </w:r>
          </w:p>
          <w:p w14:paraId="27F508D9" w14:textId="77777777" w:rsidR="00CD661C" w:rsidRPr="00927455" w:rsidRDefault="00CD661C" w:rsidP="001E2CC5">
            <w:r>
              <w:t xml:space="preserve">a)</w:t>
            </w:r>
            <w:r>
              <w:tab/>
            </w:r>
            <w:r>
              <w:t xml:space="preserve">with an area less than or equal to 1250 m² and above ground;</w:t>
            </w:r>
          </w:p>
          <w:p w14:paraId="7E612FD0" w14:textId="77777777" w:rsidR="00CD661C" w:rsidRPr="00927455" w:rsidRDefault="00CD661C" w:rsidP="001E2CC5">
            <w:r>
              <w:t xml:space="preserve">b)</w:t>
            </w:r>
            <w:r>
              <w:tab/>
            </w:r>
            <w:r>
              <w:t xml:space="preserve">with an area less than or equal to 1250 m² and a depth less than or equal to 7 m; and</w:t>
            </w:r>
          </w:p>
          <w:p w14:paraId="71744D99" w14:textId="77777777" w:rsidR="00CD661C" w:rsidRPr="00927455" w:rsidRDefault="00CD661C" w:rsidP="001E2CC5">
            <w:r>
              <w:t xml:space="preserve">at the distance d of greater than or equal to 0.6 D (see Drawing 7.5);</w:t>
            </w:r>
          </w:p>
          <w:p w14:paraId="15D1DD59" w14:textId="77777777" w:rsidR="00CD661C" w:rsidRPr="00927455" w:rsidRDefault="00CD661C" w:rsidP="001E2CC5">
            <w:r>
              <w:t xml:space="preserve">provided that the total area of the car park is less than or equal to 60 000 m².</w:t>
            </w:r>
          </w:p>
        </w:tc>
      </w:tr>
      <w:tr w:rsidR="00CD661C" w:rsidRPr="00CD661C" w14:paraId="2D3FC72E" w14:textId="77777777" w:rsidTr="002757C3">
        <w:tc>
          <w:tcPr>
            <w:tcW w:w="4538" w:type="dxa"/>
          </w:tcPr>
          <w:p w14:paraId="093DC6BE" w14:textId="77777777" w:rsidR="00CD661C" w:rsidRPr="00927455" w:rsidRDefault="00CD661C" w:rsidP="004A7BE9">
            <w:pPr>
              <w:rPr>
                <w:lang w:val="fr-BE"/>
              </w:rPr>
            </w:pPr>
          </w:p>
        </w:tc>
      </w:tr>
    </w:tbl>
    <w:p w14:paraId="02C90416" w14:textId="77777777" w:rsidR="00A91430" w:rsidRPr="00927455" w:rsidRDefault="00A91430" w:rsidP="00A91430">
      <w:pPr>
        <w:keepNext/>
        <w:rPr>
          <w:lang w:val="fr-BE"/>
        </w:rPr>
      </w:pPr>
    </w:p>
    <w:p w14:paraId="74AE6155" w14:textId="77777777" w:rsidR="00A91430" w:rsidRPr="00927455" w:rsidRDefault="00A91430" w:rsidP="00A91430">
      <w:pPr>
        <w:keepNext/>
      </w:pPr>
      <w:r>
        <w:drawing>
          <wp:inline distT="0" distB="0" distL="0" distR="0" wp14:anchorId="14BBE015" wp14:editId="0690453F">
            <wp:extent cx="5534025" cy="2943225"/>
            <wp:effectExtent l="0" t="0" r="9525" b="9525"/>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2943225"/>
                    </a:xfrm>
                    <a:prstGeom prst="rect">
                      <a:avLst/>
                    </a:prstGeom>
                    <a:noFill/>
                    <a:ln>
                      <a:noFill/>
                    </a:ln>
                  </pic:spPr>
                </pic:pic>
              </a:graphicData>
            </a:graphic>
          </wp:inline>
        </w:drawing>
      </w:r>
    </w:p>
    <w:p w14:paraId="60D8F390" w14:textId="77777777" w:rsidR="00A91430" w:rsidRPr="00927455" w:rsidRDefault="00A91430" w:rsidP="00A91430">
      <w:pPr>
        <w:keepNext/>
        <w:rPr>
          <w:lang w:val="fr-BE"/>
        </w:rPr>
      </w:pPr>
    </w:p>
    <w:tbl>
      <w:tblPr>
        <w:tblStyle w:val="Grilledutableau"/>
        <w:tblW w:w="0" w:type="auto"/>
        <w:tblLook w:val="04A0" w:firstRow="1" w:lastRow="0" w:firstColumn="1" w:lastColumn="0" w:noHBand="0" w:noVBand="1"/>
      </w:tblPr>
      <w:tblGrid>
        <w:gridCol w:w="4538"/>
      </w:tblGrid>
      <w:tr w:rsidR="00CD661C" w:rsidRPr="00CD661C" w14:paraId="7A63F9EE" w14:textId="77777777" w:rsidTr="007D3CA6">
        <w:tc>
          <w:tcPr>
            <w:tcW w:w="4538" w:type="dxa"/>
          </w:tcPr>
          <w:p w14:paraId="7E04CBA0" w14:textId="77777777" w:rsidR="00CD661C" w:rsidRPr="00927455" w:rsidRDefault="00CD661C" w:rsidP="00120A34">
            <w:r>
              <w:t xml:space="preserve">Drawing 7.5 Relative position of air inlets and outlets (schematics)</w:t>
            </w:r>
          </w:p>
          <w:p w14:paraId="1904C40B" w14:textId="77777777" w:rsidR="00CD661C" w:rsidRPr="00927455" w:rsidRDefault="00CD661C" w:rsidP="00120A34"/>
        </w:tc>
      </w:tr>
      <w:tr w:rsidR="00CD661C" w:rsidRPr="00CD661C" w14:paraId="6741FA3F" w14:textId="77777777" w:rsidTr="004F667F">
        <w:tc>
          <w:tcPr>
            <w:tcW w:w="4538" w:type="dxa"/>
          </w:tcPr>
          <w:p w14:paraId="68781B04" w14:textId="77777777" w:rsidR="00CD661C" w:rsidRPr="00927455" w:rsidRDefault="00CD661C" w:rsidP="00A91430">
            <w:r>
              <w:t xml:space="preserve">where</w:t>
            </w:r>
          </w:p>
          <w:p w14:paraId="62B15685" w14:textId="77777777" w:rsidR="00CD661C" w:rsidRPr="00927455" w:rsidRDefault="00CD661C" w:rsidP="00A91430"/>
          <w:p w14:paraId="48512600" w14:textId="77777777" w:rsidR="00CD661C" w:rsidRPr="00927455" w:rsidRDefault="00CD661C" w:rsidP="00A91430">
            <w:r>
              <w:t xml:space="preserve">D is the shortest horizontal distance to be covered inside the subcompartment between the furthest points of this subcompartment;</w:t>
            </w:r>
            <w:r>
              <w:t xml:space="preserve"> </w:t>
            </w:r>
          </w:p>
          <w:p w14:paraId="6C2BA73D" w14:textId="77777777" w:rsidR="00CD661C" w:rsidRPr="00927455" w:rsidRDefault="00CD661C" w:rsidP="00A91430">
            <w:r>
              <w:t xml:space="preserve">d is the shortest horizontal distance to be covered inside the subcompartment between the centre of the air outlet nozzle and the nearest edge of the air inlet nozzle.</w:t>
            </w:r>
            <w:r>
              <w:t xml:space="preserve">  </w:t>
            </w:r>
          </w:p>
          <w:p w14:paraId="61BBB5CF" w14:textId="77777777" w:rsidR="00CD661C" w:rsidRPr="00927455" w:rsidRDefault="00CD661C" w:rsidP="00A91430"/>
          <w:p w14:paraId="3665EF35" w14:textId="77777777" w:rsidR="00CD661C" w:rsidRPr="00927455" w:rsidRDefault="00CD661C" w:rsidP="00A91430">
            <w:r>
              <w:t xml:space="preserve">Each subcompartment constitutes a SHEV zone.</w:t>
            </w:r>
          </w:p>
        </w:tc>
      </w:tr>
      <w:tr w:rsidR="00CD661C" w:rsidRPr="00CD661C" w14:paraId="463964AA" w14:textId="77777777" w:rsidTr="004F667F">
        <w:tc>
          <w:tcPr>
            <w:tcW w:w="4538" w:type="dxa"/>
          </w:tcPr>
          <w:p w14:paraId="692A3C6B" w14:textId="13E56233" w:rsidR="00CD661C" w:rsidRPr="00927455" w:rsidRDefault="00CD661C" w:rsidP="006776FC">
            <w:r>
              <w:t xml:space="preserve">3.3.3.3.1 Implementation of a type 3 SHEV system</w:t>
            </w:r>
          </w:p>
        </w:tc>
      </w:tr>
      <w:tr w:rsidR="00CD661C" w:rsidRPr="00CD661C" w14:paraId="7F2A32D2" w14:textId="77777777" w:rsidTr="004F667F">
        <w:tc>
          <w:tcPr>
            <w:tcW w:w="4538" w:type="dxa"/>
          </w:tcPr>
          <w:p w14:paraId="22D7A101" w14:textId="77777777" w:rsidR="00CD661C" w:rsidRPr="00927455" w:rsidRDefault="00CD661C" w:rsidP="004B0CA5">
            <w:r>
              <w:t xml:space="preserve">The smoke removal system must ensure an exhaust flow rate of at least 120 000 m³/h.</w:t>
            </w:r>
          </w:p>
          <w:p w14:paraId="454875A2" w14:textId="77777777" w:rsidR="00CD661C" w:rsidRPr="00927455" w:rsidRDefault="00CD661C" w:rsidP="004B0CA5"/>
          <w:p w14:paraId="07D5B2A1" w14:textId="77777777" w:rsidR="00CD661C" w:rsidRPr="00927455" w:rsidRDefault="00CD661C" w:rsidP="004B0CA5">
            <w:r>
              <w:t xml:space="preserve">The smoke removal system can also be used to control the maximum concentration of harmful gases, specified in the regulations, as required for continuous ventilation (without fire).</w:t>
            </w:r>
            <w:r>
              <w:t xml:space="preserve"> </w:t>
            </w:r>
            <w:r>
              <w:t xml:space="preserve">In the event of a fire, smoke removal system controls must take precedence over the continuous ventilation controls.</w:t>
            </w:r>
          </w:p>
          <w:p w14:paraId="2C3277BF" w14:textId="77777777" w:rsidR="00CD661C" w:rsidRPr="00927455" w:rsidRDefault="00CD661C" w:rsidP="004B0CA5"/>
          <w:p w14:paraId="2728A923" w14:textId="57BB56D2" w:rsidR="00CD661C" w:rsidRPr="00927455" w:rsidRDefault="00CD661C" w:rsidP="004B0CA5">
            <w:r>
              <w:t xml:space="preserve">The smoke extractors must meet standard NBN EN 12101-3.</w:t>
            </w:r>
            <w:r>
              <w:t xml:space="preserve"> </w:t>
            </w:r>
            <w:r>
              <w:t xml:space="preserve">Their accessories (smoke dampers, smoke registers, … etc.) that protect them from the outdoor environment must meet standard NBN EN 12101-2.</w:t>
            </w:r>
            <w:r>
              <w:t xml:space="preserve"> </w:t>
            </w:r>
            <w:r>
              <w:t xml:space="preserve">The extractors and their accessories must also meet the performance requirements under the required classification given in the table below.</w:t>
            </w:r>
          </w:p>
          <w:p w14:paraId="5DED79E2" w14:textId="77777777" w:rsidR="00CD661C" w:rsidRPr="00927455" w:rsidRDefault="00CD661C" w:rsidP="004B0CA5"/>
        </w:tc>
      </w:tr>
      <w:tr w:rsidR="00CD661C" w:rsidRPr="00CD661C" w14:paraId="5EBB4A85" w14:textId="77777777" w:rsidTr="004F667F">
        <w:tc>
          <w:tcPr>
            <w:tcW w:w="4538" w:type="dxa"/>
          </w:tcPr>
          <w:p w14:paraId="10EC8EA3" w14:textId="77777777" w:rsidR="00CD661C" w:rsidRPr="00927455" w:rsidRDefault="00CD661C" w:rsidP="004A7BE9">
            <w:pPr>
              <w:rPr>
                <w:lang w:val="fr-BE"/>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3"/>
        <w:gridCol w:w="1843"/>
        <w:gridCol w:w="2471"/>
      </w:tblGrid>
      <w:tr w:rsidR="004B0CA5" w:rsidRPr="00927455" w14:paraId="12BCE36F" w14:textId="77777777" w:rsidTr="004B0CA5">
        <w:trPr>
          <w:cantSplit/>
          <w:trHeight w:val="459"/>
        </w:trPr>
        <w:tc>
          <w:tcPr>
            <w:tcW w:w="4753" w:type="dxa"/>
            <w:tcBorders>
              <w:bottom w:val="single" w:sz="12" w:space="0" w:color="auto"/>
            </w:tcBorders>
          </w:tcPr>
          <w:p w14:paraId="5226A61C" w14:textId="77777777" w:rsidR="004B0CA5" w:rsidRPr="00927455" w:rsidRDefault="004B0CA5" w:rsidP="002757C3">
            <w:pPr>
              <w:keepNext/>
              <w:keepLines/>
              <w:spacing w:before="120" w:after="120"/>
              <w:rPr>
                <w:b/>
              </w:rPr>
            </w:pPr>
            <w:r>
              <w:rPr>
                <w:b/>
              </w:rPr>
              <w:t xml:space="preserve">Performance requirements</w:t>
            </w:r>
          </w:p>
        </w:tc>
        <w:tc>
          <w:tcPr>
            <w:tcW w:w="1843" w:type="dxa"/>
            <w:tcBorders>
              <w:bottom w:val="single" w:sz="12" w:space="0" w:color="auto"/>
            </w:tcBorders>
          </w:tcPr>
          <w:p w14:paraId="2FBF5930" w14:textId="77777777" w:rsidR="004B0CA5" w:rsidRPr="00927455" w:rsidRDefault="004B0CA5" w:rsidP="002757C3">
            <w:pPr>
              <w:keepNext/>
              <w:keepLines/>
              <w:spacing w:before="120" w:after="120"/>
              <w:jc w:val="center"/>
              <w:rPr>
                <w:b/>
              </w:rPr>
            </w:pPr>
            <w:r>
              <w:rPr>
                <w:b/>
              </w:rPr>
              <w:t xml:space="preserve">Required classes</w:t>
            </w:r>
          </w:p>
        </w:tc>
        <w:tc>
          <w:tcPr>
            <w:tcW w:w="2471" w:type="dxa"/>
            <w:tcBorders>
              <w:bottom w:val="single" w:sz="12" w:space="0" w:color="auto"/>
            </w:tcBorders>
          </w:tcPr>
          <w:p w14:paraId="5ACD582F" w14:textId="77777777" w:rsidR="004B0CA5" w:rsidRPr="00927455" w:rsidRDefault="004B0CA5" w:rsidP="002757C3">
            <w:pPr>
              <w:keepNext/>
              <w:keepLines/>
              <w:spacing w:before="120" w:after="120"/>
              <w:jc w:val="center"/>
              <w:rPr>
                <w:b/>
              </w:rPr>
            </w:pPr>
            <w:r>
              <w:rPr>
                <w:b/>
              </w:rPr>
              <w:t xml:space="preserve">Reference standards</w:t>
            </w:r>
          </w:p>
        </w:tc>
      </w:tr>
      <w:tr w:rsidR="004B0CA5" w:rsidRPr="00927455" w14:paraId="143D0EA7" w14:textId="77777777" w:rsidTr="004B0CA5">
        <w:trPr>
          <w:cantSplit/>
          <w:trHeight w:val="459"/>
        </w:trPr>
        <w:tc>
          <w:tcPr>
            <w:tcW w:w="4753" w:type="dxa"/>
            <w:tcBorders>
              <w:top w:val="single" w:sz="12" w:space="0" w:color="auto"/>
            </w:tcBorders>
          </w:tcPr>
          <w:p w14:paraId="736DE36D" w14:textId="77777777" w:rsidR="004B0CA5" w:rsidRPr="00927455" w:rsidRDefault="004B0CA5" w:rsidP="002757C3">
            <w:pPr>
              <w:keepNext/>
              <w:keepLines/>
              <w:spacing w:before="120" w:after="120"/>
            </w:pPr>
            <w:r>
              <w:t xml:space="preserve">Heat resistance of the fan</w:t>
            </w:r>
          </w:p>
        </w:tc>
        <w:tc>
          <w:tcPr>
            <w:tcW w:w="1843" w:type="dxa"/>
            <w:tcBorders>
              <w:top w:val="single" w:sz="12" w:space="0" w:color="auto"/>
            </w:tcBorders>
          </w:tcPr>
          <w:p w14:paraId="59BABF16" w14:textId="77777777" w:rsidR="004B0CA5" w:rsidRPr="00927455" w:rsidRDefault="004B0CA5" w:rsidP="002757C3">
            <w:pPr>
              <w:pStyle w:val="En-tte"/>
              <w:keepNext/>
              <w:keepLines/>
              <w:spacing w:before="120" w:after="120"/>
              <w:jc w:val="center"/>
            </w:pPr>
            <w:r>
              <w:t xml:space="preserve">F 300</w:t>
            </w:r>
          </w:p>
        </w:tc>
        <w:tc>
          <w:tcPr>
            <w:tcW w:w="2471" w:type="dxa"/>
            <w:tcBorders>
              <w:top w:val="single" w:sz="12" w:space="0" w:color="auto"/>
            </w:tcBorders>
          </w:tcPr>
          <w:p w14:paraId="6C419DCF" w14:textId="77777777" w:rsidR="004B0CA5" w:rsidRPr="00927455" w:rsidRDefault="004B0CA5" w:rsidP="002757C3">
            <w:pPr>
              <w:pStyle w:val="En-tte"/>
              <w:keepNext/>
              <w:keepLines/>
              <w:spacing w:before="120" w:after="120"/>
              <w:jc w:val="center"/>
            </w:pPr>
            <w:r>
              <w:t xml:space="preserve">NBN EN 12101</w:t>
            </w:r>
            <w:r>
              <w:noBreakHyphen/>
            </w:r>
            <w:r>
              <w:t xml:space="preserve">3</w:t>
            </w:r>
          </w:p>
          <w:p w14:paraId="2C5000D7" w14:textId="77777777" w:rsidR="004B0CA5" w:rsidRPr="00927455" w:rsidRDefault="004B0CA5" w:rsidP="002757C3">
            <w:pPr>
              <w:pStyle w:val="En-tte"/>
              <w:keepNext/>
              <w:keepLines/>
              <w:spacing w:before="120" w:after="120"/>
              <w:jc w:val="center"/>
            </w:pPr>
            <w:r>
              <w:t xml:space="preserve">(test:</w:t>
            </w:r>
            <w:r>
              <w:t xml:space="preserve"> </w:t>
            </w:r>
            <w:r>
              <w:t xml:space="preserve">Annex C)</w:t>
            </w:r>
          </w:p>
        </w:tc>
      </w:tr>
      <w:tr w:rsidR="004B0CA5" w:rsidRPr="00927455" w14:paraId="25FBCA2A" w14:textId="77777777" w:rsidTr="004B0CA5">
        <w:trPr>
          <w:cantSplit/>
          <w:trHeight w:val="459"/>
        </w:trPr>
        <w:tc>
          <w:tcPr>
            <w:tcW w:w="4753" w:type="dxa"/>
          </w:tcPr>
          <w:p w14:paraId="0567C848" w14:textId="77777777" w:rsidR="004B0CA5" w:rsidRPr="00927455" w:rsidRDefault="004B0CA5" w:rsidP="002757C3">
            <w:pPr>
              <w:keepNext/>
              <w:keepLines/>
              <w:spacing w:before="120" w:after="120"/>
            </w:pPr>
            <w:r>
              <w:t xml:space="preserve">Functioning under snow load of a fan accessory located at the end of a network and in the outdoor environment, except in cases of heated buildings and accessories that are not thermally insulated</w:t>
            </w:r>
          </w:p>
        </w:tc>
        <w:tc>
          <w:tcPr>
            <w:tcW w:w="1843" w:type="dxa"/>
          </w:tcPr>
          <w:p w14:paraId="797B1AB0" w14:textId="77777777" w:rsidR="004B0CA5" w:rsidRPr="00927455" w:rsidRDefault="004B0CA5" w:rsidP="002757C3">
            <w:pPr>
              <w:pStyle w:val="En-tte"/>
              <w:keepNext/>
              <w:keepLines/>
              <w:spacing w:before="120" w:after="120"/>
              <w:jc w:val="center"/>
            </w:pPr>
            <w:r>
              <w:t xml:space="preserve">SL 125</w:t>
            </w:r>
          </w:p>
        </w:tc>
        <w:tc>
          <w:tcPr>
            <w:tcW w:w="2471" w:type="dxa"/>
          </w:tcPr>
          <w:p w14:paraId="02BBDC69" w14:textId="77777777" w:rsidR="004B0CA5" w:rsidRPr="00927455" w:rsidRDefault="004B0CA5" w:rsidP="002757C3">
            <w:pPr>
              <w:pStyle w:val="En-tte"/>
              <w:keepNext/>
              <w:keepLines/>
              <w:spacing w:before="120" w:after="120"/>
              <w:jc w:val="center"/>
            </w:pPr>
            <w:r>
              <w:t xml:space="preserve">NBN EN 12101</w:t>
            </w:r>
            <w:r>
              <w:noBreakHyphen/>
            </w:r>
            <w:r>
              <w:t xml:space="preserve">3</w:t>
            </w:r>
          </w:p>
          <w:p w14:paraId="7C034F07" w14:textId="77777777" w:rsidR="004B0CA5" w:rsidRPr="00927455" w:rsidRDefault="004B0CA5" w:rsidP="002757C3">
            <w:pPr>
              <w:pStyle w:val="En-tte"/>
              <w:keepNext/>
              <w:keepLines/>
              <w:spacing w:before="120" w:after="120"/>
              <w:jc w:val="center"/>
            </w:pPr>
            <w:r>
              <w:t xml:space="preserve">(test:</w:t>
            </w:r>
            <w:r>
              <w:t xml:space="preserve"> </w:t>
            </w:r>
            <w:r>
              <w:t xml:space="preserve">Annex E)</w:t>
            </w:r>
          </w:p>
        </w:tc>
      </w:tr>
      <w:tr w:rsidR="004B0CA5" w:rsidRPr="00927455" w14:paraId="04182E7B" w14:textId="77777777" w:rsidTr="004B0CA5">
        <w:trPr>
          <w:cantSplit/>
          <w:trHeight w:val="459"/>
        </w:trPr>
        <w:tc>
          <w:tcPr>
            <w:tcW w:w="4753" w:type="dxa"/>
          </w:tcPr>
          <w:p w14:paraId="47877929" w14:textId="77777777" w:rsidR="004B0CA5" w:rsidRPr="00927455" w:rsidRDefault="004B0CA5" w:rsidP="002757C3">
            <w:pPr>
              <w:keepNext/>
              <w:keepLines/>
              <w:spacing w:before="120" w:after="120"/>
            </w:pPr>
            <w:r>
              <w:t xml:space="preserve">Functioning of a fan accessory that may be exposed to low ambient temperatures and that does not operate using the pressure difference produced by the fan</w:t>
            </w:r>
          </w:p>
        </w:tc>
        <w:tc>
          <w:tcPr>
            <w:tcW w:w="1843" w:type="dxa"/>
          </w:tcPr>
          <w:p w14:paraId="333FF3CF" w14:textId="77777777" w:rsidR="004B0CA5" w:rsidRPr="00927455" w:rsidRDefault="004B0CA5" w:rsidP="002757C3">
            <w:pPr>
              <w:keepNext/>
              <w:keepLines/>
              <w:spacing w:before="120"/>
              <w:jc w:val="center"/>
            </w:pPr>
            <w:r>
              <w:t xml:space="preserve">T (-15)</w:t>
            </w:r>
          </w:p>
        </w:tc>
        <w:tc>
          <w:tcPr>
            <w:tcW w:w="2471" w:type="dxa"/>
          </w:tcPr>
          <w:p w14:paraId="377924D7" w14:textId="77777777" w:rsidR="004B0CA5" w:rsidRPr="00927455" w:rsidRDefault="004B0CA5" w:rsidP="002757C3">
            <w:pPr>
              <w:pStyle w:val="En-tte"/>
              <w:keepNext/>
              <w:keepLines/>
              <w:spacing w:before="120" w:after="120"/>
              <w:jc w:val="center"/>
            </w:pPr>
            <w:r>
              <w:t xml:space="preserve">NBN EN 12101</w:t>
            </w:r>
            <w:r>
              <w:noBreakHyphen/>
            </w:r>
            <w:r>
              <w:t xml:space="preserve">2</w:t>
            </w:r>
          </w:p>
          <w:p w14:paraId="3D872160" w14:textId="77777777" w:rsidR="004B0CA5" w:rsidRPr="00927455" w:rsidRDefault="004B0CA5" w:rsidP="002757C3">
            <w:pPr>
              <w:keepNext/>
              <w:keepLines/>
              <w:spacing w:before="120" w:after="120"/>
              <w:jc w:val="center"/>
            </w:pPr>
            <w:r>
              <w:t xml:space="preserve">(test:</w:t>
            </w:r>
            <w:r>
              <w:t xml:space="preserve"> </w:t>
            </w:r>
            <w:r>
              <w:t xml:space="preserve">Annex E)</w:t>
            </w:r>
          </w:p>
        </w:tc>
      </w:tr>
      <w:tr w:rsidR="004B0CA5" w:rsidRPr="00927455" w14:paraId="37A85333" w14:textId="77777777" w:rsidTr="004B0CA5">
        <w:trPr>
          <w:cantSplit/>
          <w:trHeight w:val="459"/>
        </w:trPr>
        <w:tc>
          <w:tcPr>
            <w:tcW w:w="4753" w:type="dxa"/>
          </w:tcPr>
          <w:p w14:paraId="2EBBC68D" w14:textId="77777777" w:rsidR="004B0CA5" w:rsidRPr="00927455" w:rsidRDefault="004B0CA5" w:rsidP="002757C3">
            <w:pPr>
              <w:keepNext/>
              <w:keepLines/>
              <w:spacing w:before="120" w:after="120"/>
            </w:pPr>
            <w:r>
              <w:t xml:space="preserve">Reliability of a fan accessory that does not operate using the pressure difference produced by the fan</w:t>
            </w:r>
          </w:p>
        </w:tc>
        <w:tc>
          <w:tcPr>
            <w:tcW w:w="1843" w:type="dxa"/>
          </w:tcPr>
          <w:p w14:paraId="74BCECF4" w14:textId="77777777" w:rsidR="004B0CA5" w:rsidRPr="00927455" w:rsidRDefault="004B0CA5" w:rsidP="002757C3">
            <w:pPr>
              <w:keepNext/>
              <w:keepLines/>
              <w:spacing w:before="120"/>
              <w:jc w:val="center"/>
            </w:pPr>
            <w:r>
              <w:t xml:space="preserve">Re 1000 (*)</w:t>
            </w:r>
          </w:p>
        </w:tc>
        <w:tc>
          <w:tcPr>
            <w:tcW w:w="2471" w:type="dxa"/>
          </w:tcPr>
          <w:p w14:paraId="0EDB55C3" w14:textId="77777777" w:rsidR="004B0CA5" w:rsidRPr="00927455" w:rsidRDefault="004B0CA5" w:rsidP="002757C3">
            <w:pPr>
              <w:pStyle w:val="En-tte"/>
              <w:keepNext/>
              <w:keepLines/>
              <w:spacing w:before="120" w:after="120"/>
              <w:jc w:val="center"/>
            </w:pPr>
            <w:r>
              <w:t xml:space="preserve">NBN EN 12101</w:t>
            </w:r>
            <w:r>
              <w:noBreakHyphen/>
            </w:r>
            <w:r>
              <w:t xml:space="preserve">2</w:t>
            </w:r>
          </w:p>
          <w:p w14:paraId="0F75DCE7" w14:textId="77777777" w:rsidR="004B0CA5" w:rsidRPr="00927455" w:rsidRDefault="004B0CA5" w:rsidP="002757C3">
            <w:pPr>
              <w:keepNext/>
              <w:keepLines/>
              <w:spacing w:before="120" w:after="120"/>
              <w:jc w:val="center"/>
            </w:pPr>
            <w:r>
              <w:t xml:space="preserve">(test:</w:t>
            </w:r>
            <w:r>
              <w:t xml:space="preserve"> </w:t>
            </w:r>
            <w:r>
              <w:t xml:space="preserve">Annex C)</w:t>
            </w:r>
          </w:p>
        </w:tc>
      </w:tr>
    </w:tbl>
    <w:tbl>
      <w:tblPr>
        <w:tblStyle w:val="Grilledutableau"/>
        <w:tblW w:w="0" w:type="auto"/>
        <w:tblLook w:val="04A0" w:firstRow="1" w:lastRow="0" w:firstColumn="1" w:lastColumn="0" w:noHBand="0" w:noVBand="1"/>
      </w:tblPr>
      <w:tblGrid>
        <w:gridCol w:w="4538"/>
        <w:gridCol w:w="4524"/>
      </w:tblGrid>
      <w:tr w:rsidR="004B0CA5" w:rsidRPr="00927455" w14:paraId="5FA5B05B" w14:textId="77777777" w:rsidTr="002757C3">
        <w:tc>
          <w:tcPr>
            <w:tcW w:w="9062" w:type="dxa"/>
            <w:gridSpan w:val="2"/>
          </w:tcPr>
          <w:p w14:paraId="4F8C97BB" w14:textId="77777777" w:rsidR="004B0CA5" w:rsidRPr="00927455" w:rsidRDefault="004B0CA5" w:rsidP="004A7BE9">
            <w:r>
              <w:t xml:space="preserve">(*) If the exhaust system has two functions, 10 000 cycles must be run in the normal comfort ventilation position before conducting the test to determine its reliability class.</w:t>
            </w:r>
          </w:p>
        </w:tc>
      </w:tr>
      <w:tr w:rsidR="004A7BE9" w:rsidRPr="00927455" w14:paraId="1D17056F" w14:textId="77777777" w:rsidTr="004F667F">
        <w:tc>
          <w:tcPr>
            <w:tcW w:w="4538" w:type="dxa"/>
          </w:tcPr>
          <w:p w14:paraId="726B8193" w14:textId="77777777" w:rsidR="004A7BE9" w:rsidRPr="00927455" w:rsidRDefault="004A7BE9" w:rsidP="004A7BE9"/>
        </w:tc>
        <w:tc>
          <w:tcPr>
            <w:tcW w:w="4524" w:type="dxa"/>
          </w:tcPr>
          <w:p w14:paraId="2156E189" w14:textId="77777777" w:rsidR="004A7BE9" w:rsidRPr="00927455" w:rsidRDefault="004A7BE9" w:rsidP="004A7BE9"/>
        </w:tc>
      </w:tr>
      <w:tr w:rsidR="0071410A" w:rsidRPr="00CD661C" w14:paraId="0DD4F59E" w14:textId="77777777" w:rsidTr="004F667F">
        <w:tc>
          <w:tcPr>
            <w:tcW w:w="4538" w:type="dxa"/>
          </w:tcPr>
          <w:p w14:paraId="5C059BB8" w14:textId="77777777" w:rsidR="004A7BE9" w:rsidRPr="00927455" w:rsidRDefault="002757C3" w:rsidP="004A7BE9">
            <w:r>
              <w:t xml:space="preserve">The exhaust ducts, their accessories and their mountings must be made of steel.</w:t>
            </w:r>
          </w:p>
          <w:p w14:paraId="5E33DC0D" w14:textId="77777777" w:rsidR="002757C3" w:rsidRPr="00927455" w:rsidRDefault="002757C3" w:rsidP="004A7BE9"/>
        </w:tc>
        <w:tc>
          <w:tcPr>
            <w:tcW w:w="4524" w:type="dxa"/>
          </w:tcPr>
          <w:p w14:paraId="0766CD0C" w14:textId="77777777" w:rsidR="002757C3" w:rsidRPr="00927455" w:rsidRDefault="002757C3" w:rsidP="004A7BE9">
            <w:pPr>
              <w:rPr>
                <w:lang w:val="fr-BE"/>
              </w:rPr>
            </w:pPr>
          </w:p>
        </w:tc>
      </w:tr>
      <w:tr w:rsidR="0071410A" w:rsidRPr="00927455" w14:paraId="608A3E25" w14:textId="77777777" w:rsidTr="004F667F">
        <w:tc>
          <w:tcPr>
            <w:tcW w:w="4538" w:type="dxa"/>
          </w:tcPr>
          <w:p w14:paraId="3DDF60FA" w14:textId="11C4B30A" w:rsidR="004A7BE9" w:rsidRPr="00927455" w:rsidRDefault="00A75E4D" w:rsidP="004A7BE9">
            <w:r>
              <w:t xml:space="preserve">3.3.3.4 SHEV system controls</w:t>
            </w:r>
          </w:p>
          <w:p w14:paraId="3D982199" w14:textId="77777777" w:rsidR="00A75E4D" w:rsidRPr="00927455" w:rsidRDefault="00A75E4D" w:rsidP="004A7BE9"/>
        </w:tc>
        <w:tc>
          <w:tcPr>
            <w:tcW w:w="4524" w:type="dxa"/>
          </w:tcPr>
          <w:p w14:paraId="140D628C" w14:textId="77777777" w:rsidR="002757C3" w:rsidRPr="00927455" w:rsidRDefault="002757C3" w:rsidP="004A7BE9">
            <w:pPr>
              <w:rPr>
                <w:lang w:val="fr-BE"/>
              </w:rPr>
            </w:pPr>
          </w:p>
        </w:tc>
      </w:tr>
      <w:tr w:rsidR="0071410A" w:rsidRPr="00CD661C" w14:paraId="62041603" w14:textId="77777777" w:rsidTr="004F667F">
        <w:tc>
          <w:tcPr>
            <w:tcW w:w="4538" w:type="dxa"/>
          </w:tcPr>
          <w:p w14:paraId="327EEE81" w14:textId="77777777" w:rsidR="002757C3" w:rsidRPr="00927455" w:rsidRDefault="002757C3" w:rsidP="002757C3">
            <w:r>
              <w:t xml:space="preserve">The automatic fire detection system provided for in point 3.3.2 must control the SHEV system.</w:t>
            </w:r>
          </w:p>
          <w:p w14:paraId="4A909544" w14:textId="77777777" w:rsidR="002757C3" w:rsidRPr="00927455" w:rsidRDefault="002757C3" w:rsidP="002757C3"/>
          <w:p w14:paraId="27BB39B5" w14:textId="77777777" w:rsidR="004A7BE9" w:rsidRPr="00927455" w:rsidRDefault="002757C3" w:rsidP="002757C3">
            <w:r>
              <w:t xml:space="preserve">The SHEV system must also be controllable manually.</w:t>
            </w:r>
          </w:p>
          <w:p w14:paraId="54A18CB9" w14:textId="77777777" w:rsidR="00A75E4D" w:rsidRPr="00927455" w:rsidRDefault="00A75E4D" w:rsidP="002757C3"/>
        </w:tc>
        <w:tc>
          <w:tcPr>
            <w:tcW w:w="4524" w:type="dxa"/>
          </w:tcPr>
          <w:p w14:paraId="7096BE01" w14:textId="77777777" w:rsidR="002757C3" w:rsidRPr="00927455" w:rsidRDefault="002757C3" w:rsidP="002757C3">
            <w:pPr>
              <w:rPr>
                <w:lang w:val="fr-BE"/>
              </w:rPr>
            </w:pPr>
          </w:p>
        </w:tc>
      </w:tr>
      <w:tr w:rsidR="0071410A" w:rsidRPr="00CD661C" w14:paraId="20C8260F" w14:textId="77777777" w:rsidTr="004F667F">
        <w:tc>
          <w:tcPr>
            <w:tcW w:w="4538" w:type="dxa"/>
          </w:tcPr>
          <w:p w14:paraId="51CD665A" w14:textId="469650FC" w:rsidR="004A7BE9" w:rsidRPr="00927455" w:rsidRDefault="002757C3" w:rsidP="004A7BE9">
            <w:r>
              <w:t xml:space="preserve">3.3.3.4.1 Exception: standard NBN S 21-208-2</w:t>
            </w:r>
          </w:p>
          <w:p w14:paraId="4FDC6ECD" w14:textId="77777777" w:rsidR="002757C3" w:rsidRPr="00927455" w:rsidRDefault="002757C3" w:rsidP="004A7BE9">
            <w:pPr>
              <w:rPr>
                <w:lang w:val="fr-BE"/>
              </w:rPr>
            </w:pPr>
          </w:p>
        </w:tc>
        <w:tc>
          <w:tcPr>
            <w:tcW w:w="4524" w:type="dxa"/>
          </w:tcPr>
          <w:p w14:paraId="72FE4C75" w14:textId="77777777" w:rsidR="002757C3" w:rsidRPr="00927455" w:rsidRDefault="002757C3" w:rsidP="004A7BE9">
            <w:pPr>
              <w:rPr>
                <w:lang w:val="fr-BE"/>
              </w:rPr>
            </w:pPr>
          </w:p>
        </w:tc>
      </w:tr>
      <w:tr w:rsidR="0071410A" w:rsidRPr="00CD661C" w14:paraId="7EDE45B0" w14:textId="77777777" w:rsidTr="004F667F">
        <w:tc>
          <w:tcPr>
            <w:tcW w:w="4538" w:type="dxa"/>
          </w:tcPr>
          <w:p w14:paraId="3968C32C" w14:textId="73638A9A" w:rsidR="002757C3" w:rsidRPr="00927455" w:rsidRDefault="002757C3" w:rsidP="002757C3">
            <w:r>
              <w:t xml:space="preserve">Contrary to standard NBN S 21-208-2, for parking levels with protection type ‘SHEV &amp; sprinkler’:</w:t>
            </w:r>
          </w:p>
          <w:p w14:paraId="031451E5" w14:textId="77777777" w:rsidR="002757C3" w:rsidRPr="00927455" w:rsidRDefault="002757C3" w:rsidP="002757C3">
            <w:r>
              <w:t xml:space="preserve">- automatic control can be handled by a fire detection system whose automatic fire detection function is provided by the sprinkler system in the zones it protects, as per point 3.3.2.1;</w:t>
            </w:r>
          </w:p>
          <w:p w14:paraId="3D9668AD" w14:textId="77777777" w:rsidR="004A7BE9" w:rsidRPr="00927455" w:rsidRDefault="002757C3" w:rsidP="002757C3">
            <w:r>
              <w:t xml:space="preserve">- the fire scenario must be activated 3 minutes after receiving the signal from the water flow alarm of the sprinkler system.</w:t>
            </w:r>
          </w:p>
          <w:p w14:paraId="4E3A8E50" w14:textId="77777777" w:rsidR="002757C3" w:rsidRPr="00927455" w:rsidRDefault="002757C3" w:rsidP="002757C3"/>
        </w:tc>
        <w:tc>
          <w:tcPr>
            <w:tcW w:w="4524" w:type="dxa"/>
          </w:tcPr>
          <w:p w14:paraId="0EEB95CB" w14:textId="77777777" w:rsidR="002757C3" w:rsidRPr="00927455" w:rsidRDefault="002757C3" w:rsidP="002757C3">
            <w:pPr>
              <w:rPr>
                <w:lang w:val="fr-BE"/>
              </w:rPr>
            </w:pPr>
          </w:p>
        </w:tc>
      </w:tr>
      <w:tr w:rsidR="0071410A" w:rsidRPr="00927455" w14:paraId="507AB5C3" w14:textId="77777777" w:rsidTr="004F667F">
        <w:tc>
          <w:tcPr>
            <w:tcW w:w="4538" w:type="dxa"/>
          </w:tcPr>
          <w:p w14:paraId="302472F0" w14:textId="77777777" w:rsidR="004A7BE9" w:rsidRPr="00927455" w:rsidRDefault="002757C3" w:rsidP="004A7BE9">
            <w:pPr>
              <w:rPr>
                <w:b/>
              </w:rPr>
            </w:pPr>
            <w:r>
              <w:rPr>
                <w:b/>
              </w:rPr>
              <w:t xml:space="preserve">3.3.4 Sprinkler system</w:t>
            </w:r>
          </w:p>
          <w:p w14:paraId="015A40BA" w14:textId="77777777" w:rsidR="002757C3" w:rsidRPr="00927455" w:rsidRDefault="002757C3" w:rsidP="004A7BE9">
            <w:pPr>
              <w:rPr>
                <w:b/>
                <w:lang w:val="fr-BE"/>
              </w:rPr>
            </w:pPr>
          </w:p>
        </w:tc>
        <w:tc>
          <w:tcPr>
            <w:tcW w:w="4524" w:type="dxa"/>
          </w:tcPr>
          <w:p w14:paraId="6D61800F" w14:textId="77777777" w:rsidR="002757C3" w:rsidRPr="00927455" w:rsidRDefault="002757C3" w:rsidP="004A7BE9">
            <w:pPr>
              <w:rPr>
                <w:b/>
                <w:lang w:val="fr-BE"/>
              </w:rPr>
            </w:pPr>
          </w:p>
        </w:tc>
      </w:tr>
      <w:tr w:rsidR="0071410A" w:rsidRPr="00CD661C" w14:paraId="60265E54" w14:textId="77777777" w:rsidTr="004F667F">
        <w:tc>
          <w:tcPr>
            <w:tcW w:w="4538" w:type="dxa"/>
          </w:tcPr>
          <w:p w14:paraId="0E9BCC7D" w14:textId="77777777" w:rsidR="004A7BE9" w:rsidRPr="00927455" w:rsidRDefault="005B6457" w:rsidP="004A7BE9">
            <w:r>
              <w:t xml:space="preserve">In car parks fitted with a sprinkler system, this system must protect the vehicle parking areas, circulation routes and ramps as well as the rooms in the compartment, except those separated from the rest of the parking compartment by firewalls and fire doors.</w:t>
            </w:r>
          </w:p>
          <w:p w14:paraId="0A00984D" w14:textId="77777777" w:rsidR="00E04DA2" w:rsidRPr="00927455" w:rsidRDefault="00E04DA2" w:rsidP="004A7BE9"/>
        </w:tc>
        <w:tc>
          <w:tcPr>
            <w:tcW w:w="4524" w:type="dxa"/>
          </w:tcPr>
          <w:p w14:paraId="40643A89" w14:textId="77777777" w:rsidR="005B6457" w:rsidRPr="00927455" w:rsidRDefault="005B6457" w:rsidP="004A7BE9">
            <w:pPr>
              <w:rPr>
                <w:lang w:val="fr-BE"/>
              </w:rPr>
            </w:pPr>
          </w:p>
        </w:tc>
      </w:tr>
      <w:tr w:rsidR="0071410A" w:rsidRPr="00927455" w14:paraId="7C7152FE" w14:textId="77777777" w:rsidTr="004F667F">
        <w:tc>
          <w:tcPr>
            <w:tcW w:w="4538" w:type="dxa"/>
          </w:tcPr>
          <w:p w14:paraId="3AFD9E13" w14:textId="77777777" w:rsidR="00A75E4D" w:rsidRPr="00927455" w:rsidRDefault="00E04DA2" w:rsidP="004A7BE9">
            <w:r>
              <w:t xml:space="preserve">3.3.4.1</w:t>
            </w:r>
            <w:r>
              <w:tab/>
            </w:r>
            <w:r>
              <w:t xml:space="preserve">Implementation of the sprinkler system</w:t>
            </w:r>
          </w:p>
          <w:p w14:paraId="2EA60569" w14:textId="77777777" w:rsidR="00E04DA2" w:rsidRPr="00927455" w:rsidRDefault="00E04DA2" w:rsidP="004A7BE9">
            <w:pPr>
              <w:rPr>
                <w:lang w:val="fr-BE"/>
              </w:rPr>
            </w:pPr>
          </w:p>
        </w:tc>
        <w:tc>
          <w:tcPr>
            <w:tcW w:w="4524" w:type="dxa"/>
          </w:tcPr>
          <w:p w14:paraId="1F4D8844" w14:textId="77777777" w:rsidR="005B6457" w:rsidRPr="00927455" w:rsidRDefault="005B6457" w:rsidP="004A7BE9">
            <w:pPr>
              <w:rPr>
                <w:lang w:val="fr-BE"/>
              </w:rPr>
            </w:pPr>
          </w:p>
        </w:tc>
      </w:tr>
      <w:tr w:rsidR="0071410A" w:rsidRPr="00CD661C" w14:paraId="7B1B5C47" w14:textId="77777777" w:rsidTr="004F667F">
        <w:tc>
          <w:tcPr>
            <w:tcW w:w="4538" w:type="dxa"/>
          </w:tcPr>
          <w:p w14:paraId="2289E69E" w14:textId="77777777" w:rsidR="00E04DA2" w:rsidRPr="00927455" w:rsidRDefault="00E04DA2" w:rsidP="00E04DA2">
            <w:pPr>
              <w:jc w:val="both"/>
            </w:pPr>
            <w:r>
              <w:t xml:space="preserve">Sprinkler systems must be designed and implemented in accordance with standard NBN EN 12845, standard NFPA 13 or any other good engineering practice offering a comparable level of safety.</w:t>
            </w:r>
            <w:r>
              <w:t xml:space="preserve"> </w:t>
            </w:r>
            <w:r>
              <w:t xml:space="preserve">These standards and good engineering practices must be applied in full, without mixing and matching specifications.</w:t>
            </w:r>
          </w:p>
          <w:p w14:paraId="1F60F71E" w14:textId="77777777" w:rsidR="00E04DA2" w:rsidRPr="00927455" w:rsidRDefault="00E04DA2" w:rsidP="00E04DA2">
            <w:pPr>
              <w:jc w:val="both"/>
            </w:pPr>
          </w:p>
        </w:tc>
        <w:tc>
          <w:tcPr>
            <w:tcW w:w="4524" w:type="dxa"/>
          </w:tcPr>
          <w:p w14:paraId="04ACFABA" w14:textId="77777777" w:rsidR="00E04DA2" w:rsidRPr="00927455" w:rsidRDefault="00E04DA2" w:rsidP="00E04DA2">
            <w:pPr>
              <w:rPr>
                <w:lang w:val="fr-BE"/>
              </w:rPr>
            </w:pPr>
          </w:p>
        </w:tc>
      </w:tr>
      <w:tr w:rsidR="0071410A" w:rsidRPr="00CD661C" w14:paraId="1AA50D57" w14:textId="77777777" w:rsidTr="004F667F">
        <w:tc>
          <w:tcPr>
            <w:tcW w:w="4538" w:type="dxa"/>
          </w:tcPr>
          <w:p w14:paraId="63AFFE29" w14:textId="77777777" w:rsidR="00E04DA2" w:rsidRPr="00927455" w:rsidRDefault="00E04DA2" w:rsidP="00E04DA2">
            <w:r>
              <w:t xml:space="preserve">3.3.4.1.1</w:t>
            </w:r>
            <w:r>
              <w:tab/>
            </w:r>
            <w:r>
              <w:t xml:space="preserve">Exception: autonomous power supply</w:t>
            </w:r>
          </w:p>
          <w:p w14:paraId="71B65A29" w14:textId="77777777" w:rsidR="00E04DA2" w:rsidRPr="00927455" w:rsidRDefault="00E04DA2" w:rsidP="00E04DA2">
            <w:pPr>
              <w:rPr>
                <w:lang w:val="fr-BE"/>
              </w:rPr>
            </w:pPr>
          </w:p>
        </w:tc>
        <w:tc>
          <w:tcPr>
            <w:tcW w:w="4524" w:type="dxa"/>
          </w:tcPr>
          <w:p w14:paraId="559D9D36" w14:textId="77777777" w:rsidR="00E04DA2" w:rsidRPr="00927455" w:rsidRDefault="00E04DA2" w:rsidP="00E04DA2">
            <w:pPr>
              <w:rPr>
                <w:lang w:val="fr-BE"/>
              </w:rPr>
            </w:pPr>
          </w:p>
        </w:tc>
      </w:tr>
      <w:tr w:rsidR="0071410A" w:rsidRPr="00CD661C" w14:paraId="65359BBE" w14:textId="77777777" w:rsidTr="004F667F">
        <w:tc>
          <w:tcPr>
            <w:tcW w:w="4538" w:type="dxa"/>
          </w:tcPr>
          <w:p w14:paraId="48FD8B96" w14:textId="77777777" w:rsidR="00E04DA2" w:rsidRPr="00927455" w:rsidRDefault="00E04DA2" w:rsidP="00E04DA2">
            <w:pPr>
              <w:jc w:val="both"/>
            </w:pPr>
            <w:r>
              <w:t xml:space="preserve">Contrary to the point 6.5.3 of the Annexes 2/1, 3/1 and 4/1, any electric pumps of the sprinkler system cannot be powered by an autonomous power supply for car parks with the protection type ‘Sprinkler’ and a total area of less than or equal to 2500 m².</w:t>
            </w:r>
          </w:p>
          <w:p w14:paraId="41E0D02F" w14:textId="77777777" w:rsidR="00E04DA2" w:rsidRPr="00927455" w:rsidRDefault="00E04DA2" w:rsidP="00E04DA2">
            <w:pPr>
              <w:jc w:val="both"/>
            </w:pPr>
          </w:p>
        </w:tc>
        <w:tc>
          <w:tcPr>
            <w:tcW w:w="4524" w:type="dxa"/>
          </w:tcPr>
          <w:p w14:paraId="493DDC34" w14:textId="77777777" w:rsidR="00E04DA2" w:rsidRPr="00927455" w:rsidRDefault="00E04DA2" w:rsidP="00E04DA2">
            <w:pPr>
              <w:rPr>
                <w:lang w:val="fr-BE"/>
              </w:rPr>
            </w:pPr>
          </w:p>
        </w:tc>
      </w:tr>
      <w:tr w:rsidR="0071410A" w:rsidRPr="00CD661C" w14:paraId="530EB15F" w14:textId="77777777" w:rsidTr="004F667F">
        <w:tc>
          <w:tcPr>
            <w:tcW w:w="4538" w:type="dxa"/>
          </w:tcPr>
          <w:p w14:paraId="54A4B498" w14:textId="568FCD43" w:rsidR="00E04DA2" w:rsidRPr="00927455" w:rsidRDefault="00E04DA2" w:rsidP="00E04DA2">
            <w:r>
              <w:t xml:space="preserve">3.3.4.2 Type 2 sprinkler system</w:t>
            </w:r>
          </w:p>
          <w:p w14:paraId="4DB10CA0" w14:textId="77777777" w:rsidR="00E04DA2" w:rsidRPr="00927455" w:rsidRDefault="00E04DA2" w:rsidP="00E04DA2"/>
        </w:tc>
        <w:tc>
          <w:tcPr>
            <w:tcW w:w="4524" w:type="dxa"/>
          </w:tcPr>
          <w:p w14:paraId="19865F9C" w14:textId="77777777" w:rsidR="00E04DA2" w:rsidRPr="00927455" w:rsidRDefault="00E04DA2" w:rsidP="00E04DA2">
            <w:pPr>
              <w:rPr>
                <w:lang w:val="fr-BE"/>
              </w:rPr>
            </w:pPr>
          </w:p>
        </w:tc>
      </w:tr>
      <w:tr w:rsidR="0071410A" w:rsidRPr="00CD661C" w14:paraId="01EB8A7F" w14:textId="77777777" w:rsidTr="004F667F">
        <w:tc>
          <w:tcPr>
            <w:tcW w:w="4538" w:type="dxa"/>
          </w:tcPr>
          <w:p w14:paraId="75B77136" w14:textId="77777777" w:rsidR="00BE0FFB" w:rsidRPr="00927455" w:rsidRDefault="00BE0FFB" w:rsidP="00BE0FFB">
            <w:pPr>
              <w:jc w:val="both"/>
            </w:pPr>
            <w:r>
              <w:t xml:space="preserve">For a subcompartment with protection type ‘Sprinkler’:</w:t>
            </w:r>
          </w:p>
          <w:p w14:paraId="197F0D72" w14:textId="77777777" w:rsidR="00BE0FFB" w:rsidRPr="00927455" w:rsidRDefault="00BE0FFB" w:rsidP="00BE0FFB">
            <w:pPr>
              <w:jc w:val="both"/>
            </w:pPr>
            <w:r>
              <w:t xml:space="preserve">a)</w:t>
            </w:r>
            <w:r>
              <w:tab/>
            </w:r>
            <w:r>
              <w:t xml:space="preserve">with an area less than or equal to 1250 m² and above ground;</w:t>
            </w:r>
          </w:p>
          <w:p w14:paraId="3A338663" w14:textId="77777777" w:rsidR="00BE0FFB" w:rsidRPr="00927455" w:rsidRDefault="00BE0FFB" w:rsidP="00BE0FFB">
            <w:pPr>
              <w:jc w:val="both"/>
            </w:pPr>
            <w:r>
              <w:t xml:space="preserve">b)</w:t>
            </w:r>
            <w:r>
              <w:tab/>
            </w:r>
            <w:r>
              <w:t xml:space="preserve">with an area less than or equal to 1250 m² and a depth less than or equal to 7 m; and</w:t>
            </w:r>
          </w:p>
          <w:p w14:paraId="65B751BD" w14:textId="77777777" w:rsidR="00BE0FFB" w:rsidRPr="00927455" w:rsidRDefault="00BE0FFB" w:rsidP="00BE0FFB">
            <w:pPr>
              <w:jc w:val="both"/>
            </w:pPr>
            <w:r>
              <w:t xml:space="preserve">provided that the total area of the car park is less than or equal to 10 000 m²;</w:t>
            </w:r>
          </w:p>
          <w:p w14:paraId="44C7AE54" w14:textId="77777777" w:rsidR="00BE0FFB" w:rsidRPr="00927455" w:rsidRDefault="00BE0FFB" w:rsidP="00BE0FFB">
            <w:pPr>
              <w:jc w:val="both"/>
            </w:pPr>
            <w:r>
              <w:t xml:space="preserve">the following exceptions are granted from standard NBN EN 12845 or NFPA 13:</w:t>
            </w:r>
          </w:p>
          <w:p w14:paraId="3B77B138" w14:textId="77777777" w:rsidR="00BE0FFB" w:rsidRPr="00927455" w:rsidRDefault="00BE0FFB" w:rsidP="00BE0FFB">
            <w:pPr>
              <w:jc w:val="both"/>
            </w:pPr>
            <w:r>
              <w:t xml:space="preserve">- for standard NBN EN 12845, the risk class is OH1;</w:t>
            </w:r>
          </w:p>
          <w:p w14:paraId="79D68FFA" w14:textId="77777777" w:rsidR="00BE0FFB" w:rsidRPr="00927455" w:rsidRDefault="00BE0FFB" w:rsidP="00BE0FFB">
            <w:pPr>
              <w:jc w:val="both"/>
            </w:pPr>
            <w:r>
              <w:t xml:space="preserve">- for standard NFPA 13, the risk class is LH with a design airtightness of at least 4 mm/min;</w:t>
            </w:r>
          </w:p>
          <w:p w14:paraId="375E5378" w14:textId="77777777" w:rsidR="00BE0FFB" w:rsidRPr="00927455" w:rsidRDefault="00BE0FFB" w:rsidP="00BE0FFB">
            <w:pPr>
              <w:jc w:val="both"/>
            </w:pPr>
            <w:r>
              <w:t xml:space="preserve">- the water supply must offer adequate capacity to ensure the pressure/flow conditions required for the system for 30 minutes.</w:t>
            </w:r>
          </w:p>
          <w:p w14:paraId="38B500EE" w14:textId="77777777" w:rsidR="00BE0FFB" w:rsidRPr="00927455" w:rsidRDefault="00BE0FFB" w:rsidP="00BE0FFB">
            <w:pPr>
              <w:jc w:val="both"/>
            </w:pPr>
          </w:p>
        </w:tc>
        <w:tc>
          <w:tcPr>
            <w:tcW w:w="4524" w:type="dxa"/>
          </w:tcPr>
          <w:p w14:paraId="273A4811" w14:textId="77777777" w:rsidR="00BE0FFB" w:rsidRPr="00927455" w:rsidRDefault="00BE0FFB" w:rsidP="00BE0FFB">
            <w:pPr>
              <w:rPr>
                <w:lang w:val="fr-BE"/>
              </w:rPr>
            </w:pPr>
          </w:p>
        </w:tc>
      </w:tr>
      <w:tr w:rsidR="0071410A" w:rsidRPr="00927455" w14:paraId="1F1C128A" w14:textId="77777777" w:rsidTr="004F667F">
        <w:tc>
          <w:tcPr>
            <w:tcW w:w="4538" w:type="dxa"/>
          </w:tcPr>
          <w:p w14:paraId="442CE734" w14:textId="77777777" w:rsidR="00BE0FFB" w:rsidRPr="00927455" w:rsidRDefault="001512AC" w:rsidP="00BE0FFB">
            <w:pPr>
              <w:rPr>
                <w:b/>
              </w:rPr>
            </w:pPr>
            <w:r>
              <w:rPr>
                <w:b/>
              </w:rPr>
              <w:t xml:space="preserve">3.3.5 Subcompartmentalisation</w:t>
            </w:r>
          </w:p>
          <w:p w14:paraId="09AE9129" w14:textId="77777777" w:rsidR="00BE0FFB" w:rsidRPr="00927455" w:rsidRDefault="00BE0FFB" w:rsidP="00BE0FFB">
            <w:pPr>
              <w:rPr>
                <w:b/>
                <w:lang w:val="fr-BE"/>
              </w:rPr>
            </w:pPr>
          </w:p>
        </w:tc>
        <w:tc>
          <w:tcPr>
            <w:tcW w:w="4524" w:type="dxa"/>
          </w:tcPr>
          <w:p w14:paraId="6631C9EA" w14:textId="77777777" w:rsidR="00BE0FFB" w:rsidRPr="00927455" w:rsidRDefault="00BE0FFB" w:rsidP="00BE0FFB">
            <w:pPr>
              <w:rPr>
                <w:b/>
                <w:lang w:val="fr-BE"/>
              </w:rPr>
            </w:pPr>
          </w:p>
        </w:tc>
      </w:tr>
      <w:tr w:rsidR="0071410A" w:rsidRPr="00CD661C" w14:paraId="1F815DEA" w14:textId="77777777" w:rsidTr="004F667F">
        <w:tc>
          <w:tcPr>
            <w:tcW w:w="4538" w:type="dxa"/>
          </w:tcPr>
          <w:p w14:paraId="13000DA1" w14:textId="0624B8E6" w:rsidR="00693075" w:rsidRPr="00927455" w:rsidRDefault="00693075" w:rsidP="00693075">
            <w:r>
              <w:t xml:space="preserve">The principle is to subdivide parking levels automatically into different subcompartments in the event of a fire, in order to slow its spread and limit the affected area.</w:t>
            </w:r>
          </w:p>
          <w:p w14:paraId="041796A2" w14:textId="77777777" w:rsidR="00693075" w:rsidRPr="00927455" w:rsidRDefault="00693075" w:rsidP="00693075"/>
          <w:p w14:paraId="482B3914" w14:textId="4C2F481E" w:rsidR="00196A6A" w:rsidRPr="00927455" w:rsidRDefault="00196A6A" w:rsidP="00196A6A">
            <w:pPr>
              <w:jc w:val="both"/>
              <w:rPr>
                <w:bCs/>
              </w:rPr>
            </w:pPr>
            <w:r>
              <w:t xml:space="preserve">The area of a subcompartment is limited according to its depth, to account for the difficultly of fire brigade operations in deeper storeys.</w:t>
            </w:r>
          </w:p>
          <w:p w14:paraId="3D398F9B" w14:textId="77777777" w:rsidR="00196A6A" w:rsidRPr="00927455" w:rsidRDefault="00196A6A" w:rsidP="00196A6A">
            <w:pPr>
              <w:jc w:val="both"/>
              <w:rPr>
                <w:bCs/>
              </w:rPr>
            </w:pPr>
          </w:p>
          <w:p w14:paraId="17FA80B9" w14:textId="77777777" w:rsidR="00693075" w:rsidRPr="00927455" w:rsidRDefault="00693075" w:rsidP="00693075">
            <w:r>
              <w:t xml:space="preserve">This requirement does not apply:</w:t>
            </w:r>
          </w:p>
          <w:p w14:paraId="0028F1B5" w14:textId="77777777" w:rsidR="00693075" w:rsidRPr="00927455" w:rsidRDefault="00693075" w:rsidP="00693075">
            <w:r>
              <w:t xml:space="preserve">a)</w:t>
            </w:r>
            <w:r>
              <w:tab/>
            </w:r>
            <w:r>
              <w:t xml:space="preserve">in car parks with a total area less than or equal to the limit given in point 3.3.1 for application of one of the protection types on every parking level;</w:t>
            </w:r>
          </w:p>
          <w:p w14:paraId="3DCD5E95" w14:textId="77777777" w:rsidR="00693075" w:rsidRPr="00927455" w:rsidRDefault="00693075" w:rsidP="00693075">
            <w:r>
              <w:t xml:space="preserve">b)</w:t>
            </w:r>
            <w:r>
              <w:tab/>
            </w:r>
            <w:r>
              <w:t xml:space="preserve">in car parks with a total area less than or equal to 2500 m² that are no more than two component layers high;</w:t>
            </w:r>
          </w:p>
          <w:p w14:paraId="0AB24BF5" w14:textId="77777777" w:rsidR="00693075" w:rsidRPr="00927455" w:rsidRDefault="00693075" w:rsidP="00693075">
            <w:r>
              <w:t xml:space="preserve">c)</w:t>
            </w:r>
            <w:r>
              <w:tab/>
            </w:r>
            <w:r>
              <w:t xml:space="preserve">in car parks with protection type ‘SHEV &amp; sprinkler’ or ‘Open’.</w:t>
            </w:r>
          </w:p>
          <w:p w14:paraId="75189EFD" w14:textId="77777777" w:rsidR="00693075" w:rsidRPr="00927455" w:rsidRDefault="00693075" w:rsidP="00693075"/>
          <w:p w14:paraId="4C983776" w14:textId="77777777" w:rsidR="00BE0FFB" w:rsidRPr="00927455" w:rsidRDefault="00693075" w:rsidP="00693075">
            <w:r>
              <w:t xml:space="preserve">A parking level can be a single subcompartment if it meets the requirements below.</w:t>
            </w:r>
          </w:p>
          <w:p w14:paraId="069484E9" w14:textId="77777777" w:rsidR="00693075" w:rsidRPr="00927455" w:rsidRDefault="00693075" w:rsidP="00693075"/>
        </w:tc>
        <w:tc>
          <w:tcPr>
            <w:tcW w:w="4524" w:type="dxa"/>
          </w:tcPr>
          <w:p w14:paraId="14B28412" w14:textId="77777777" w:rsidR="00693075" w:rsidRPr="00927455" w:rsidRDefault="00693075" w:rsidP="00693075">
            <w:pPr>
              <w:rPr>
                <w:lang w:val="fr-BE"/>
              </w:rPr>
            </w:pPr>
          </w:p>
        </w:tc>
      </w:tr>
      <w:tr w:rsidR="0071410A" w:rsidRPr="00927455" w14:paraId="5F522726" w14:textId="77777777" w:rsidTr="004F667F">
        <w:tc>
          <w:tcPr>
            <w:tcW w:w="4538" w:type="dxa"/>
          </w:tcPr>
          <w:p w14:paraId="40FC9666" w14:textId="77777777" w:rsidR="00BE0FFB" w:rsidRPr="00927455" w:rsidRDefault="00693075" w:rsidP="00BE0FFB">
            <w:r>
              <w:t xml:space="preserve">3.3.5.1</w:t>
            </w:r>
            <w:r>
              <w:tab/>
            </w:r>
            <w:r>
              <w:t xml:space="preserve">Subcompartment dimensions</w:t>
            </w:r>
          </w:p>
        </w:tc>
        <w:tc>
          <w:tcPr>
            <w:tcW w:w="4524" w:type="dxa"/>
          </w:tcPr>
          <w:p w14:paraId="0ED3683A" w14:textId="77777777" w:rsidR="00693075" w:rsidRPr="00927455" w:rsidRDefault="00693075" w:rsidP="00BE0FFB">
            <w:pPr>
              <w:rPr>
                <w:lang w:val="fr-BE"/>
              </w:rPr>
            </w:pPr>
          </w:p>
        </w:tc>
      </w:tr>
      <w:tr w:rsidR="0071410A" w:rsidRPr="00CD661C" w14:paraId="54F9E2B9" w14:textId="77777777" w:rsidTr="004F667F">
        <w:tc>
          <w:tcPr>
            <w:tcW w:w="4538" w:type="dxa"/>
          </w:tcPr>
          <w:p w14:paraId="20B49C95" w14:textId="72E23A11" w:rsidR="00F871F3" w:rsidRPr="00927455" w:rsidRDefault="00F871F3" w:rsidP="00693075">
            <w:pPr>
              <w:jc w:val="both"/>
            </w:pPr>
            <w:r>
              <w:t xml:space="preserve">Parking compartments must be subdivided into different subcompartments so:</w:t>
            </w:r>
          </w:p>
          <w:p w14:paraId="3D1CE543" w14:textId="1EB43E0F" w:rsidR="00AD1FF0" w:rsidRPr="00927455" w:rsidRDefault="005717D3" w:rsidP="005717D3">
            <w:pPr>
              <w:jc w:val="both"/>
            </w:pPr>
            <w:r>
              <w:t xml:space="preserve">- the area of each subcompartment is less than or equal to the limit given in the point 3.3.1 according to the depth of the parking level and the protection type applied;</w:t>
            </w:r>
          </w:p>
          <w:p w14:paraId="239DB5A6" w14:textId="5F40CAAC" w:rsidR="00AD1FF0" w:rsidRPr="00927455" w:rsidRDefault="00AD1FF0" w:rsidP="00AD1FF0">
            <w:pPr>
              <w:jc w:val="both"/>
            </w:pPr>
            <w:r>
              <w:t xml:space="preserve">- each subcompartment only includes one parking level;</w:t>
            </w:r>
          </w:p>
          <w:p w14:paraId="59D19B3D" w14:textId="27372655" w:rsidR="00693075" w:rsidRPr="00927455" w:rsidRDefault="00AD1FF0" w:rsidP="00693075">
            <w:pPr>
              <w:jc w:val="both"/>
              <w:rPr>
                <w:szCs w:val="16"/>
              </w:rPr>
            </w:pPr>
            <w:r>
              <w:t xml:space="preserve">- the floor area of each subcompartment is continuous;</w:t>
            </w:r>
            <w:r>
              <w:t xml:space="preserve"> </w:t>
            </w:r>
            <w:r>
              <w:t xml:space="preserve">the area can be horizontal or sloping, but cannot be interrupted (e.g.: scissor sections or split-levels).</w:t>
            </w:r>
          </w:p>
          <w:p w14:paraId="593D6700" w14:textId="77777777" w:rsidR="00693075" w:rsidRPr="00927455" w:rsidRDefault="00693075" w:rsidP="00693075">
            <w:pPr>
              <w:jc w:val="both"/>
            </w:pPr>
          </w:p>
        </w:tc>
        <w:tc>
          <w:tcPr>
            <w:tcW w:w="4524" w:type="dxa"/>
          </w:tcPr>
          <w:p w14:paraId="078002D9" w14:textId="77777777" w:rsidR="00693075" w:rsidRPr="00927455" w:rsidRDefault="00693075" w:rsidP="00693075">
            <w:pPr>
              <w:rPr>
                <w:lang w:val="fr-BE"/>
              </w:rPr>
            </w:pPr>
          </w:p>
        </w:tc>
      </w:tr>
      <w:tr w:rsidR="0071410A" w:rsidRPr="00927455" w14:paraId="044EEF9B" w14:textId="77777777" w:rsidTr="004F667F">
        <w:tc>
          <w:tcPr>
            <w:tcW w:w="4538" w:type="dxa"/>
          </w:tcPr>
          <w:p w14:paraId="117BAD46" w14:textId="77777777" w:rsidR="00693075" w:rsidRPr="00927455" w:rsidRDefault="00693075" w:rsidP="00693075">
            <w:r>
              <w:t xml:space="preserve">3.3.5.2 Subcompartment walls</w:t>
            </w:r>
          </w:p>
          <w:p w14:paraId="50B316A4" w14:textId="77777777" w:rsidR="00693075" w:rsidRPr="00927455" w:rsidRDefault="00693075" w:rsidP="00693075">
            <w:pPr>
              <w:rPr>
                <w:lang w:val="fr-BE"/>
              </w:rPr>
            </w:pPr>
          </w:p>
        </w:tc>
        <w:tc>
          <w:tcPr>
            <w:tcW w:w="4524" w:type="dxa"/>
          </w:tcPr>
          <w:p w14:paraId="0791ED72" w14:textId="77777777" w:rsidR="00693075" w:rsidRPr="00927455" w:rsidRDefault="00693075" w:rsidP="00693075">
            <w:pPr>
              <w:rPr>
                <w:lang w:val="fr-BE"/>
              </w:rPr>
            </w:pPr>
          </w:p>
        </w:tc>
      </w:tr>
      <w:tr w:rsidR="0071410A" w:rsidRPr="00CD661C" w14:paraId="0AF9A377" w14:textId="77777777" w:rsidTr="004F667F">
        <w:tc>
          <w:tcPr>
            <w:tcW w:w="4538" w:type="dxa"/>
          </w:tcPr>
          <w:p w14:paraId="634ACD55" w14:textId="77777777" w:rsidR="00693075" w:rsidRPr="00927455" w:rsidRDefault="00693075" w:rsidP="00693075">
            <w:r>
              <w:t xml:space="preserve">Subcompartment walls must be EI 60.</w:t>
            </w:r>
          </w:p>
          <w:p w14:paraId="47B42B07" w14:textId="77777777" w:rsidR="00693075" w:rsidRPr="00927455" w:rsidRDefault="00693075" w:rsidP="00693075"/>
          <w:p w14:paraId="65E39856" w14:textId="77777777" w:rsidR="00693075" w:rsidRPr="00927455" w:rsidRDefault="00693075" w:rsidP="00693075">
            <w:r>
              <w:t xml:space="preserve">Every opening in a subcompartment wall intended to provide access for occupants and the fire brigade must be closed:</w:t>
            </w:r>
            <w:r>
              <w:t xml:space="preserve"> </w:t>
            </w:r>
          </w:p>
          <w:p w14:paraId="6758118D" w14:textId="77777777" w:rsidR="00693075" w:rsidRPr="00927455" w:rsidRDefault="00693075" w:rsidP="00693075">
            <w:r>
              <w:t xml:space="preserve">- either with a lock with walls rated EI 60 and self-closing or fire-activated self-closing doors rated EI1 30;</w:t>
            </w:r>
          </w:p>
          <w:p w14:paraId="38A64728" w14:textId="77777777" w:rsidR="00693075" w:rsidRPr="00927455" w:rsidRDefault="00693075" w:rsidP="00693075">
            <w:r>
              <w:t xml:space="preserve">- or with a self-closing or fire-activated self-closing door rated EI1 60.</w:t>
            </w:r>
          </w:p>
          <w:p w14:paraId="5E04A9D0" w14:textId="77777777" w:rsidR="00693075" w:rsidRPr="00927455" w:rsidRDefault="00693075" w:rsidP="00693075"/>
          <w:p w14:paraId="73F37A0F" w14:textId="77777777" w:rsidR="00693075" w:rsidRPr="00927455" w:rsidRDefault="00693075" w:rsidP="00693075">
            <w:r>
              <w:t xml:space="preserve">Openings in subcompartment walls to provide access for vehicles must be fitted with fire-activated self-closing devices rated E 60, such as revolving doors, sliding walls, roller shutters and screens.</w:t>
            </w:r>
          </w:p>
          <w:p w14:paraId="5E9E880F" w14:textId="77777777" w:rsidR="00693075" w:rsidRPr="00927455" w:rsidRDefault="00693075" w:rsidP="00693075"/>
          <w:p w14:paraId="02D695F9" w14:textId="77777777" w:rsidR="00693075" w:rsidRPr="00927455" w:rsidRDefault="00693075" w:rsidP="00693075">
            <w:r>
              <w:t xml:space="preserve">If the closing devices referred to in the paragraph 3 of this point are activated, the system must continue to guarantee the connections to each subcompartment:</w:t>
            </w:r>
            <w:r>
              <w:t xml:space="preserve"> </w:t>
            </w:r>
          </w:p>
          <w:p w14:paraId="7D4421DB" w14:textId="77777777" w:rsidR="00693075" w:rsidRPr="00927455" w:rsidRDefault="00693075" w:rsidP="00693075">
            <w:r>
              <w:t xml:space="preserve">- either through an opening in accordance with the paragraph 2 of this point, provided in the vicinity of each of the openings referred to in the paragraph 3 of this point;</w:t>
            </w:r>
            <w:r>
              <w:t xml:space="preserve"> </w:t>
            </w:r>
          </w:p>
          <w:p w14:paraId="39D3DBCD" w14:textId="77777777" w:rsidR="00693075" w:rsidRPr="00927455" w:rsidRDefault="00693075" w:rsidP="00693075">
            <w:r>
              <w:t xml:space="preserve">- or through another well-defined access, determined in consultation with the fire brigade.</w:t>
            </w:r>
          </w:p>
          <w:p w14:paraId="0FA42104" w14:textId="77777777" w:rsidR="00693075" w:rsidRPr="00927455" w:rsidRDefault="00693075" w:rsidP="00693075"/>
          <w:p w14:paraId="26934C41" w14:textId="77777777" w:rsidR="00693075" w:rsidRPr="00927455" w:rsidRDefault="00693075" w:rsidP="00693075">
            <w:r>
              <w:t xml:space="preserve">Wall penetrations for fluid pipes or electrical lines and expansion joints of building elements cannot adversely affect the required level of fire resistance of these building elements.</w:t>
            </w:r>
          </w:p>
          <w:p w14:paraId="7BE11D1F" w14:textId="77777777" w:rsidR="00693075" w:rsidRPr="00927455" w:rsidRDefault="00693075" w:rsidP="00693075"/>
        </w:tc>
        <w:tc>
          <w:tcPr>
            <w:tcW w:w="4524" w:type="dxa"/>
          </w:tcPr>
          <w:p w14:paraId="018CA098" w14:textId="77777777" w:rsidR="00693075" w:rsidRPr="00927455" w:rsidRDefault="00693075" w:rsidP="00693075">
            <w:pPr>
              <w:rPr>
                <w:lang w:val="fr-BE"/>
              </w:rPr>
            </w:pPr>
          </w:p>
        </w:tc>
      </w:tr>
      <w:tr w:rsidR="0071410A" w:rsidRPr="00927455" w14:paraId="7C058EEE" w14:textId="77777777" w:rsidTr="004F667F">
        <w:tc>
          <w:tcPr>
            <w:tcW w:w="4538" w:type="dxa"/>
          </w:tcPr>
          <w:p w14:paraId="2600C135" w14:textId="77777777" w:rsidR="00693075" w:rsidRPr="00927455" w:rsidRDefault="00693075" w:rsidP="00693075">
            <w:r>
              <w:t xml:space="preserve">3.3.5.3 Functioning in the event of fire</w:t>
            </w:r>
          </w:p>
          <w:p w14:paraId="0600DD58" w14:textId="77777777" w:rsidR="00693075" w:rsidRPr="00927455" w:rsidRDefault="00693075" w:rsidP="00693075">
            <w:pPr>
              <w:rPr>
                <w:lang w:val="fr-BE"/>
              </w:rPr>
            </w:pPr>
          </w:p>
        </w:tc>
        <w:tc>
          <w:tcPr>
            <w:tcW w:w="4524" w:type="dxa"/>
          </w:tcPr>
          <w:p w14:paraId="09542469" w14:textId="77777777" w:rsidR="00693075" w:rsidRPr="00927455" w:rsidRDefault="00693075" w:rsidP="00693075">
            <w:pPr>
              <w:rPr>
                <w:lang w:val="fr-BE"/>
              </w:rPr>
            </w:pPr>
          </w:p>
        </w:tc>
      </w:tr>
      <w:tr w:rsidR="0071410A" w:rsidRPr="00CD661C" w14:paraId="3615C42C" w14:textId="77777777" w:rsidTr="004F667F">
        <w:tc>
          <w:tcPr>
            <w:tcW w:w="4538" w:type="dxa"/>
          </w:tcPr>
          <w:p w14:paraId="7C4948E7" w14:textId="0B00517C" w:rsidR="00693075" w:rsidRPr="00927455" w:rsidRDefault="00C507D7" w:rsidP="00693075">
            <w:r>
              <w:t xml:space="preserve">The subcompartment doors and closing devices must close automatically in the event of a fire, except for any that are necessary to the functioning of a SHEV system.</w:t>
            </w:r>
          </w:p>
          <w:p w14:paraId="227EBD48" w14:textId="77777777" w:rsidR="00C507D7" w:rsidRPr="00927455" w:rsidRDefault="00C507D7" w:rsidP="00693075"/>
        </w:tc>
        <w:tc>
          <w:tcPr>
            <w:tcW w:w="4524" w:type="dxa"/>
          </w:tcPr>
          <w:p w14:paraId="1B520EFD" w14:textId="77777777" w:rsidR="00693075" w:rsidRPr="00927455" w:rsidRDefault="00693075" w:rsidP="00693075">
            <w:pPr>
              <w:rPr>
                <w:lang w:val="fr-BE"/>
              </w:rPr>
            </w:pPr>
          </w:p>
        </w:tc>
      </w:tr>
      <w:tr w:rsidR="0071410A" w:rsidRPr="00927455" w14:paraId="373AB097" w14:textId="77777777" w:rsidTr="004F667F">
        <w:tc>
          <w:tcPr>
            <w:tcW w:w="4538" w:type="dxa"/>
          </w:tcPr>
          <w:p w14:paraId="7C1391AA" w14:textId="77777777" w:rsidR="00693075" w:rsidRPr="00927455" w:rsidRDefault="00C507D7" w:rsidP="00693075">
            <w:pPr>
              <w:rPr>
                <w:b/>
              </w:rPr>
            </w:pPr>
            <w:r>
              <w:rPr>
                <w:b/>
              </w:rPr>
              <w:t xml:space="preserve">3.3.6 Ventilation opening</w:t>
            </w:r>
          </w:p>
          <w:p w14:paraId="15C8241E" w14:textId="77777777" w:rsidR="00C507D7" w:rsidRPr="00927455" w:rsidRDefault="00C507D7" w:rsidP="00693075">
            <w:pPr>
              <w:rPr>
                <w:b/>
                <w:lang w:val="fr-BE"/>
              </w:rPr>
            </w:pPr>
          </w:p>
        </w:tc>
        <w:tc>
          <w:tcPr>
            <w:tcW w:w="4524" w:type="dxa"/>
          </w:tcPr>
          <w:p w14:paraId="35D7EA0C" w14:textId="77777777" w:rsidR="00693075" w:rsidRPr="00927455" w:rsidRDefault="00693075" w:rsidP="00693075">
            <w:pPr>
              <w:rPr>
                <w:b/>
                <w:lang w:val="fr-BE"/>
              </w:rPr>
            </w:pPr>
          </w:p>
        </w:tc>
      </w:tr>
      <w:tr w:rsidR="0071410A" w:rsidRPr="00CD661C" w14:paraId="62E615A0" w14:textId="77777777" w:rsidTr="004F667F">
        <w:tc>
          <w:tcPr>
            <w:tcW w:w="4538" w:type="dxa"/>
          </w:tcPr>
          <w:p w14:paraId="77AFBEA3" w14:textId="367C7B64" w:rsidR="00161B09" w:rsidRPr="00927455" w:rsidRDefault="00161B09" w:rsidP="00161B09">
            <w:r>
              <w:t xml:space="preserve">The principle is to allow the fire brigade to provide horizontal ventilation by using their own fans, in order to make a fire brigade route relatively smoke-free from the car park entrance to the vicinity of the seat of the fire.</w:t>
            </w:r>
          </w:p>
          <w:p w14:paraId="2C31597E" w14:textId="77777777" w:rsidR="00161B09" w:rsidRPr="00927455" w:rsidRDefault="00161B09" w:rsidP="00161B09"/>
          <w:p w14:paraId="61956FB7" w14:textId="77777777" w:rsidR="00C507D7" w:rsidRPr="00927455" w:rsidRDefault="00C507D7" w:rsidP="00C507D7">
            <w:r>
              <w:t xml:space="preserve">This protection type only applies to a subcompartment:</w:t>
            </w:r>
          </w:p>
          <w:p w14:paraId="3CEB97AC" w14:textId="77777777" w:rsidR="00C507D7" w:rsidRPr="00927455" w:rsidRDefault="00C507D7" w:rsidP="00C507D7">
            <w:r>
              <w:t xml:space="preserve">a) with an area less than or equal to 1250 m² and above ground;</w:t>
            </w:r>
          </w:p>
          <w:p w14:paraId="3526734F" w14:textId="77777777" w:rsidR="00C507D7" w:rsidRPr="00927455" w:rsidRDefault="00C507D7" w:rsidP="00C507D7">
            <w:r>
              <w:t xml:space="preserve">b) with an area less than or equal to 1250 m² and a depth less than or equal to 7 m;</w:t>
            </w:r>
          </w:p>
          <w:p w14:paraId="1F225EAA" w14:textId="77777777" w:rsidR="00C507D7" w:rsidRPr="00927455" w:rsidRDefault="00C507D7" w:rsidP="00C507D7">
            <w:r>
              <w:t xml:space="preserve">at the distance d of greater than or equal to 0.6 D (see Drawing 7.5);</w:t>
            </w:r>
          </w:p>
          <w:p w14:paraId="049665BF" w14:textId="77777777" w:rsidR="00693075" w:rsidRPr="00927455" w:rsidRDefault="00C507D7" w:rsidP="00C507D7">
            <w:r>
              <w:t xml:space="preserve">provided that the total area of the car park is less than or equal to 60 000 m².</w:t>
            </w:r>
          </w:p>
          <w:p w14:paraId="18C9F687" w14:textId="77777777" w:rsidR="00C507D7" w:rsidRPr="00927455" w:rsidRDefault="00C507D7" w:rsidP="00C507D7"/>
        </w:tc>
        <w:tc>
          <w:tcPr>
            <w:tcW w:w="4524" w:type="dxa"/>
          </w:tcPr>
          <w:p w14:paraId="20A1311E" w14:textId="77777777" w:rsidR="00693075" w:rsidRPr="00927455" w:rsidRDefault="00693075" w:rsidP="00693075">
            <w:pPr>
              <w:rPr>
                <w:lang w:val="fr-BE"/>
              </w:rPr>
            </w:pPr>
          </w:p>
        </w:tc>
      </w:tr>
      <w:tr w:rsidR="0071410A" w:rsidRPr="00CD661C" w14:paraId="56A8B4B3" w14:textId="77777777" w:rsidTr="004F667F">
        <w:tc>
          <w:tcPr>
            <w:tcW w:w="4538" w:type="dxa"/>
          </w:tcPr>
          <w:p w14:paraId="2FD89123" w14:textId="77777777" w:rsidR="00C507D7" w:rsidRPr="00927455" w:rsidRDefault="00C507D7" w:rsidP="00C507D7">
            <w:r>
              <w:t xml:space="preserve">where</w:t>
            </w:r>
          </w:p>
          <w:p w14:paraId="2244C8C7" w14:textId="77777777" w:rsidR="00C507D7" w:rsidRPr="00927455" w:rsidRDefault="00C507D7" w:rsidP="00C507D7"/>
          <w:p w14:paraId="43D744B2" w14:textId="77777777" w:rsidR="00C507D7" w:rsidRPr="00927455" w:rsidRDefault="00C507D7" w:rsidP="00C507D7">
            <w:r>
              <w:t xml:space="preserve">D is the shortest horizontal distance to be covered inside the subcompartment between the furthest points of this subcompartment;</w:t>
            </w:r>
            <w:r>
              <w:t xml:space="preserve"> </w:t>
            </w:r>
          </w:p>
          <w:p w14:paraId="347348AA" w14:textId="360AB82E" w:rsidR="00C507D7" w:rsidRPr="00927455" w:rsidRDefault="00C507D7" w:rsidP="00C507D7">
            <w:r>
              <w:t xml:space="preserve">d is the shortest horizontal distance to be covered inside the subcompartment between the centre of the ventilation opening and the nearest edge of the subcompartment entrance intended for fire brigade access.</w:t>
            </w:r>
            <w:r>
              <w:t xml:space="preserve">  </w:t>
            </w:r>
          </w:p>
          <w:p w14:paraId="45B78018" w14:textId="77777777" w:rsidR="00C507D7" w:rsidRPr="00927455" w:rsidRDefault="00C507D7" w:rsidP="00C507D7"/>
          <w:p w14:paraId="5C4FF9C1" w14:textId="77777777" w:rsidR="00C507D7" w:rsidRPr="00927455" w:rsidRDefault="00C507D7" w:rsidP="00C507D7">
            <w:r>
              <w:t xml:space="preserve">Smoke removal from and air supply to the affected subcompartment cannot pass through another subcompartment.</w:t>
            </w:r>
          </w:p>
          <w:p w14:paraId="032D3FC0" w14:textId="77777777" w:rsidR="00C507D7" w:rsidRPr="00927455" w:rsidRDefault="00C507D7" w:rsidP="00C507D7"/>
        </w:tc>
        <w:tc>
          <w:tcPr>
            <w:tcW w:w="4524" w:type="dxa"/>
          </w:tcPr>
          <w:p w14:paraId="3A868BA9" w14:textId="77777777" w:rsidR="00C507D7" w:rsidRPr="00927455" w:rsidRDefault="00C507D7" w:rsidP="00C507D7">
            <w:pPr>
              <w:rPr>
                <w:lang w:val="fr-BE"/>
              </w:rPr>
            </w:pPr>
          </w:p>
        </w:tc>
      </w:tr>
      <w:tr w:rsidR="0071410A" w:rsidRPr="00CD661C" w14:paraId="37EB00FB" w14:textId="77777777" w:rsidTr="004F667F">
        <w:tc>
          <w:tcPr>
            <w:tcW w:w="4538" w:type="dxa"/>
          </w:tcPr>
          <w:p w14:paraId="21291CDB" w14:textId="77777777" w:rsidR="00C507D7" w:rsidRPr="00927455" w:rsidRDefault="00C507D7" w:rsidP="00693075">
            <w:r>
              <w:t xml:space="preserve">3.3.6.1 Implementation of the ventilation opening</w:t>
            </w:r>
          </w:p>
          <w:p w14:paraId="4144D1A1" w14:textId="77777777" w:rsidR="00C507D7" w:rsidRPr="00927455" w:rsidRDefault="00C507D7" w:rsidP="00693075"/>
        </w:tc>
        <w:tc>
          <w:tcPr>
            <w:tcW w:w="4524" w:type="dxa"/>
          </w:tcPr>
          <w:p w14:paraId="6FD42060" w14:textId="77777777" w:rsidR="00C507D7" w:rsidRPr="00927455" w:rsidRDefault="00C507D7" w:rsidP="00693075">
            <w:pPr>
              <w:rPr>
                <w:lang w:val="fr-BE"/>
              </w:rPr>
            </w:pPr>
          </w:p>
        </w:tc>
      </w:tr>
      <w:tr w:rsidR="00C507D7" w:rsidRPr="00CD661C" w14:paraId="2BAD4D7D" w14:textId="77777777" w:rsidTr="004F667F">
        <w:tc>
          <w:tcPr>
            <w:tcW w:w="4538" w:type="dxa"/>
          </w:tcPr>
          <w:p w14:paraId="4D916BA2" w14:textId="77777777" w:rsidR="003201DD" w:rsidRPr="00927455" w:rsidRDefault="003201DD" w:rsidP="003201DD">
            <w:r>
              <w:t xml:space="preserve">The ventilation opening must open directly to the open air.</w:t>
            </w:r>
            <w:r>
              <w:t xml:space="preserve"> </w:t>
            </w:r>
            <w:r>
              <w:t xml:space="preserve">This opening can be fitted with a valve or a valve register.</w:t>
            </w:r>
          </w:p>
          <w:p w14:paraId="5EDB0682" w14:textId="77777777" w:rsidR="003201DD" w:rsidRPr="00927455" w:rsidRDefault="003201DD" w:rsidP="003201DD"/>
          <w:p w14:paraId="13958F35" w14:textId="77777777" w:rsidR="003201DD" w:rsidRPr="00927455" w:rsidRDefault="003201DD" w:rsidP="003201DD">
            <w:r>
              <w:t xml:space="preserve">The ventilation opening must have a cross-section of at least 5 m².</w:t>
            </w:r>
            <w:r>
              <w:t xml:space="preserve"> </w:t>
            </w:r>
            <w:r>
              <w:t xml:space="preserve">Calculation of the ventilation opening cross-section must deduct any obstructions inside the exhaust system, such as control elements, ventilation hatches and fan blades.</w:t>
            </w:r>
          </w:p>
          <w:p w14:paraId="6BA39FE5" w14:textId="77777777" w:rsidR="003201DD" w:rsidRPr="00927455" w:rsidRDefault="003201DD" w:rsidP="003201DD"/>
          <w:p w14:paraId="7F3A0481" w14:textId="3C6FADA4" w:rsidR="003201DD" w:rsidRPr="00927455" w:rsidRDefault="00161B09" w:rsidP="003201DD">
            <w:r>
              <w:t xml:space="preserve">The smallest dimension of the ventilation opening must be greater than or equal to 1 m.</w:t>
            </w:r>
          </w:p>
          <w:p w14:paraId="6FCBD3DA" w14:textId="77777777" w:rsidR="003201DD" w:rsidRPr="00927455" w:rsidRDefault="003201DD" w:rsidP="003201DD"/>
          <w:p w14:paraId="798B504C" w14:textId="77777777" w:rsidR="003201DD" w:rsidRPr="00927455" w:rsidRDefault="003201DD" w:rsidP="003201DD">
            <w:r>
              <w:t xml:space="preserve">The ventilation opening can also be used to control the maximum concentration of harmful gases, specified in the regulations, as required for continuous ventilation (without fire).</w:t>
            </w:r>
            <w:r>
              <w:t xml:space="preserve"> </w:t>
            </w:r>
            <w:r>
              <w:t xml:space="preserve">In the event of a fire, smoke removal system controls must take precedence over the continuous ventilation controls.</w:t>
            </w:r>
          </w:p>
          <w:p w14:paraId="7094686C" w14:textId="77777777" w:rsidR="003201DD" w:rsidRPr="00927455" w:rsidRDefault="003201DD" w:rsidP="003201DD"/>
          <w:p w14:paraId="0876D7F8" w14:textId="3D6A5AFC" w:rsidR="00C507D7" w:rsidRPr="00927455" w:rsidRDefault="003201DD" w:rsidP="003201DD">
            <w:r>
              <w:t xml:space="preserve">The performance of any with a valve or a valve register in the ventilation opening must be determined using the test methods specified in standard NBN EN 12101-2.</w:t>
            </w:r>
            <w:r>
              <w:t xml:space="preserve"> </w:t>
            </w:r>
            <w:r>
              <w:t xml:space="preserve">The table below gives the classes that the with a valve or a valve register must meet.</w:t>
            </w:r>
          </w:p>
          <w:p w14:paraId="52480BC0" w14:textId="77777777" w:rsidR="00E05B3A" w:rsidRPr="00927455" w:rsidRDefault="00E05B3A" w:rsidP="003201DD"/>
        </w:tc>
        <w:tc>
          <w:tcPr>
            <w:tcW w:w="4524" w:type="dxa"/>
          </w:tcPr>
          <w:p w14:paraId="22658508" w14:textId="77777777" w:rsidR="003201DD" w:rsidRPr="00927455" w:rsidRDefault="003201DD" w:rsidP="003201DD">
            <w:pPr>
              <w:rPr>
                <w:lang w:val="fr-BE"/>
              </w:rPr>
            </w:pPr>
          </w:p>
        </w:tc>
      </w:tr>
      <w:tr w:rsidR="00693075" w:rsidRPr="00CD661C" w14:paraId="0E8A4C55" w14:textId="77777777" w:rsidTr="004F667F">
        <w:tc>
          <w:tcPr>
            <w:tcW w:w="4538" w:type="dxa"/>
          </w:tcPr>
          <w:p w14:paraId="32827620" w14:textId="77777777" w:rsidR="00693075" w:rsidRPr="00927455" w:rsidRDefault="00693075" w:rsidP="00693075">
            <w:pPr>
              <w:rPr>
                <w:lang w:val="fr-BE"/>
              </w:rPr>
            </w:pPr>
          </w:p>
        </w:tc>
        <w:tc>
          <w:tcPr>
            <w:tcW w:w="4524" w:type="dxa"/>
          </w:tcPr>
          <w:p w14:paraId="51FA6890" w14:textId="77777777" w:rsidR="00693075" w:rsidRPr="00927455" w:rsidRDefault="00693075" w:rsidP="00693075">
            <w:pPr>
              <w:rPr>
                <w:lang w:val="fr-BE"/>
              </w:rPr>
            </w:pPr>
          </w:p>
        </w:tc>
      </w:tr>
      <w:tr w:rsidR="003201DD" w:rsidRPr="00CD661C" w14:paraId="75D74C21" w14:textId="77777777" w:rsidTr="003201DD">
        <w:tc>
          <w:tcPr>
            <w:tcW w:w="9062" w:type="dxa"/>
            <w:gridSpan w:val="2"/>
          </w:tcPr>
          <w:p w14:paraId="6A9F218F" w14:textId="77777777" w:rsidR="003201DD" w:rsidRPr="00927455" w:rsidRDefault="003201DD" w:rsidP="00693075">
            <w:pPr>
              <w:rPr>
                <w:lang w:val="fr-BE"/>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3"/>
        <w:gridCol w:w="2693"/>
        <w:gridCol w:w="2471"/>
      </w:tblGrid>
      <w:tr w:rsidR="0071410A" w:rsidRPr="00927455" w14:paraId="69932FC5" w14:textId="77777777" w:rsidTr="00E05B3A">
        <w:trPr>
          <w:cantSplit/>
          <w:trHeight w:val="459"/>
        </w:trPr>
        <w:tc>
          <w:tcPr>
            <w:tcW w:w="3903" w:type="dxa"/>
            <w:tcBorders>
              <w:bottom w:val="single" w:sz="12" w:space="0" w:color="auto"/>
            </w:tcBorders>
          </w:tcPr>
          <w:p w14:paraId="5F907E61" w14:textId="77777777" w:rsidR="00E05B3A" w:rsidRPr="00927455" w:rsidRDefault="00E05B3A" w:rsidP="0020246B">
            <w:pPr>
              <w:keepNext/>
              <w:keepLines/>
              <w:spacing w:before="120" w:after="120"/>
              <w:rPr>
                <w:b/>
              </w:rPr>
            </w:pPr>
            <w:r>
              <w:rPr>
                <w:b/>
              </w:rPr>
              <w:t xml:space="preserve">Performance requirements</w:t>
            </w:r>
          </w:p>
        </w:tc>
        <w:tc>
          <w:tcPr>
            <w:tcW w:w="2693" w:type="dxa"/>
            <w:tcBorders>
              <w:bottom w:val="single" w:sz="12" w:space="0" w:color="auto"/>
            </w:tcBorders>
          </w:tcPr>
          <w:p w14:paraId="454D3AC3" w14:textId="77777777" w:rsidR="00E05B3A" w:rsidRPr="00927455" w:rsidRDefault="00E05B3A" w:rsidP="0020246B">
            <w:pPr>
              <w:keepNext/>
              <w:keepLines/>
              <w:spacing w:before="120" w:after="120"/>
              <w:jc w:val="center"/>
              <w:rPr>
                <w:b/>
              </w:rPr>
            </w:pPr>
            <w:r>
              <w:rPr>
                <w:b/>
              </w:rPr>
              <w:t xml:space="preserve">Required classes</w:t>
            </w:r>
          </w:p>
        </w:tc>
        <w:tc>
          <w:tcPr>
            <w:tcW w:w="2471" w:type="dxa"/>
            <w:tcBorders>
              <w:bottom w:val="single" w:sz="12" w:space="0" w:color="auto"/>
            </w:tcBorders>
          </w:tcPr>
          <w:p w14:paraId="3ED4176B" w14:textId="77777777" w:rsidR="00E05B3A" w:rsidRPr="00927455" w:rsidRDefault="00E05B3A" w:rsidP="0020246B">
            <w:pPr>
              <w:keepNext/>
              <w:keepLines/>
              <w:spacing w:before="120" w:after="120"/>
              <w:jc w:val="center"/>
              <w:rPr>
                <w:b/>
              </w:rPr>
            </w:pPr>
            <w:r>
              <w:rPr>
                <w:b/>
              </w:rPr>
              <w:t xml:space="preserve">Reference standards</w:t>
            </w:r>
          </w:p>
        </w:tc>
      </w:tr>
      <w:tr w:rsidR="0071410A" w:rsidRPr="00927455" w14:paraId="496521F9" w14:textId="77777777" w:rsidTr="00E05B3A">
        <w:trPr>
          <w:cantSplit/>
          <w:trHeight w:val="459"/>
        </w:trPr>
        <w:tc>
          <w:tcPr>
            <w:tcW w:w="3903" w:type="dxa"/>
            <w:tcBorders>
              <w:top w:val="single" w:sz="12" w:space="0" w:color="auto"/>
            </w:tcBorders>
          </w:tcPr>
          <w:p w14:paraId="4E9C98D8" w14:textId="77777777" w:rsidR="00E05B3A" w:rsidRPr="00927455" w:rsidRDefault="00E05B3A" w:rsidP="0020246B">
            <w:pPr>
              <w:keepNext/>
              <w:keepLines/>
              <w:spacing w:before="120" w:after="120"/>
            </w:pPr>
            <w:r>
              <w:t xml:space="preserve">Heat resistance</w:t>
            </w:r>
          </w:p>
        </w:tc>
        <w:tc>
          <w:tcPr>
            <w:tcW w:w="2693" w:type="dxa"/>
            <w:tcBorders>
              <w:top w:val="single" w:sz="12" w:space="0" w:color="auto"/>
            </w:tcBorders>
          </w:tcPr>
          <w:p w14:paraId="68A06F1B" w14:textId="77777777" w:rsidR="00E05B3A" w:rsidRPr="00927455" w:rsidRDefault="00E05B3A" w:rsidP="0020246B">
            <w:pPr>
              <w:pStyle w:val="En-tte"/>
              <w:keepNext/>
              <w:keepLines/>
              <w:spacing w:before="120" w:after="120"/>
              <w:jc w:val="center"/>
            </w:pPr>
            <w:r>
              <w:t xml:space="preserve">B 300</w:t>
            </w:r>
          </w:p>
        </w:tc>
        <w:tc>
          <w:tcPr>
            <w:tcW w:w="2471" w:type="dxa"/>
            <w:tcBorders>
              <w:top w:val="single" w:sz="12" w:space="0" w:color="auto"/>
            </w:tcBorders>
          </w:tcPr>
          <w:p w14:paraId="6DD35A70" w14:textId="77777777" w:rsidR="00E05B3A" w:rsidRPr="00927455" w:rsidRDefault="00E05B3A" w:rsidP="0020246B">
            <w:pPr>
              <w:pStyle w:val="En-tte"/>
              <w:keepNext/>
              <w:keepLines/>
              <w:spacing w:before="120" w:after="120"/>
              <w:jc w:val="center"/>
            </w:pPr>
            <w:r>
              <w:t xml:space="preserve">NBN EN 12101</w:t>
            </w:r>
            <w:r>
              <w:noBreakHyphen/>
            </w:r>
            <w:r>
              <w:t xml:space="preserve">2</w:t>
            </w:r>
          </w:p>
          <w:p w14:paraId="60416FA6" w14:textId="77777777" w:rsidR="00E05B3A" w:rsidRPr="00927455" w:rsidRDefault="00E05B3A" w:rsidP="0020246B">
            <w:pPr>
              <w:pStyle w:val="En-tte"/>
              <w:keepNext/>
              <w:keepLines/>
              <w:spacing w:before="120" w:after="120"/>
              <w:jc w:val="center"/>
            </w:pPr>
            <w:r>
              <w:t xml:space="preserve">(test:</w:t>
            </w:r>
            <w:r>
              <w:t xml:space="preserve"> </w:t>
            </w:r>
            <w:r>
              <w:t xml:space="preserve">Annex G)</w:t>
            </w:r>
          </w:p>
        </w:tc>
      </w:tr>
      <w:tr w:rsidR="0071410A" w:rsidRPr="00927455" w14:paraId="78C2F43F" w14:textId="77777777" w:rsidTr="00E05B3A">
        <w:trPr>
          <w:cantSplit/>
          <w:trHeight w:val="459"/>
        </w:trPr>
        <w:tc>
          <w:tcPr>
            <w:tcW w:w="3903" w:type="dxa"/>
          </w:tcPr>
          <w:p w14:paraId="47D53229" w14:textId="77777777" w:rsidR="00E05B3A" w:rsidRPr="00927455" w:rsidRDefault="00E05B3A" w:rsidP="0020246B">
            <w:pPr>
              <w:keepNext/>
              <w:keepLines/>
              <w:spacing w:before="120" w:after="120"/>
            </w:pPr>
            <w:r>
              <w:t xml:space="preserve">Opening under snow load</w:t>
            </w:r>
          </w:p>
        </w:tc>
        <w:tc>
          <w:tcPr>
            <w:tcW w:w="2693" w:type="dxa"/>
          </w:tcPr>
          <w:p w14:paraId="58F22D87" w14:textId="77777777" w:rsidR="00E05B3A" w:rsidRPr="00927455" w:rsidRDefault="00E05B3A" w:rsidP="0020246B">
            <w:pPr>
              <w:pStyle w:val="En-tte"/>
              <w:keepNext/>
              <w:keepLines/>
              <w:spacing w:before="120" w:after="120"/>
              <w:jc w:val="center"/>
            </w:pPr>
            <w:r>
              <w:t xml:space="preserve">SL 125 (**) (***)</w:t>
            </w:r>
          </w:p>
        </w:tc>
        <w:tc>
          <w:tcPr>
            <w:tcW w:w="2471" w:type="dxa"/>
          </w:tcPr>
          <w:p w14:paraId="5DC97DB1" w14:textId="77777777" w:rsidR="00E05B3A" w:rsidRPr="00927455" w:rsidRDefault="00E05B3A" w:rsidP="0020246B">
            <w:pPr>
              <w:pStyle w:val="En-tte"/>
              <w:keepNext/>
              <w:keepLines/>
              <w:spacing w:before="120" w:after="120"/>
              <w:jc w:val="center"/>
            </w:pPr>
            <w:r>
              <w:t xml:space="preserve">NBN EN 12101</w:t>
            </w:r>
            <w:r>
              <w:noBreakHyphen/>
            </w:r>
            <w:r>
              <w:t xml:space="preserve">2</w:t>
            </w:r>
          </w:p>
          <w:p w14:paraId="15E7CD7D" w14:textId="77777777" w:rsidR="00E05B3A" w:rsidRPr="00927455" w:rsidRDefault="00E05B3A" w:rsidP="0020246B">
            <w:pPr>
              <w:pStyle w:val="En-tte"/>
              <w:keepNext/>
              <w:keepLines/>
              <w:spacing w:before="120" w:after="120"/>
              <w:jc w:val="center"/>
            </w:pPr>
            <w:r>
              <w:t xml:space="preserve">(test:</w:t>
            </w:r>
            <w:r>
              <w:t xml:space="preserve"> </w:t>
            </w:r>
            <w:r>
              <w:t xml:space="preserve">Annex D)</w:t>
            </w:r>
          </w:p>
        </w:tc>
      </w:tr>
      <w:tr w:rsidR="0071410A" w:rsidRPr="00927455" w14:paraId="3896C5EC" w14:textId="77777777" w:rsidTr="00E05B3A">
        <w:trPr>
          <w:cantSplit/>
          <w:trHeight w:val="459"/>
        </w:trPr>
        <w:tc>
          <w:tcPr>
            <w:tcW w:w="3903" w:type="dxa"/>
          </w:tcPr>
          <w:p w14:paraId="6A210BCC" w14:textId="77777777" w:rsidR="00E05B3A" w:rsidRPr="00927455" w:rsidRDefault="00E05B3A" w:rsidP="0020246B">
            <w:pPr>
              <w:keepNext/>
              <w:keepLines/>
              <w:spacing w:before="120" w:after="120"/>
            </w:pPr>
            <w:r>
              <w:t xml:space="preserve">Opening at low ambient temperature</w:t>
            </w:r>
          </w:p>
        </w:tc>
        <w:tc>
          <w:tcPr>
            <w:tcW w:w="2693" w:type="dxa"/>
          </w:tcPr>
          <w:p w14:paraId="10CE7524" w14:textId="77777777" w:rsidR="00E05B3A" w:rsidRPr="00927455" w:rsidRDefault="00E05B3A" w:rsidP="0020246B">
            <w:pPr>
              <w:keepNext/>
              <w:keepLines/>
              <w:spacing w:before="120"/>
              <w:jc w:val="center"/>
            </w:pPr>
            <w:r>
              <w:t xml:space="preserve">T (-15)</w:t>
            </w:r>
          </w:p>
        </w:tc>
        <w:tc>
          <w:tcPr>
            <w:tcW w:w="2471" w:type="dxa"/>
          </w:tcPr>
          <w:p w14:paraId="5B70AC5C" w14:textId="77777777" w:rsidR="00E05B3A" w:rsidRPr="00927455" w:rsidRDefault="00E05B3A" w:rsidP="0020246B">
            <w:pPr>
              <w:pStyle w:val="En-tte"/>
              <w:keepNext/>
              <w:keepLines/>
              <w:spacing w:before="120" w:after="120"/>
              <w:jc w:val="center"/>
            </w:pPr>
            <w:r>
              <w:t xml:space="preserve">NBN EN 12101</w:t>
            </w:r>
            <w:r>
              <w:noBreakHyphen/>
            </w:r>
            <w:r>
              <w:t xml:space="preserve">2</w:t>
            </w:r>
          </w:p>
          <w:p w14:paraId="0C912DCD" w14:textId="77777777" w:rsidR="00E05B3A" w:rsidRPr="00927455" w:rsidRDefault="00E05B3A" w:rsidP="0020246B">
            <w:pPr>
              <w:keepNext/>
              <w:keepLines/>
              <w:spacing w:before="120" w:after="120"/>
              <w:jc w:val="center"/>
            </w:pPr>
            <w:r>
              <w:t xml:space="preserve">(test:</w:t>
            </w:r>
            <w:r>
              <w:t xml:space="preserve"> </w:t>
            </w:r>
            <w:r>
              <w:t xml:space="preserve">Annex E)</w:t>
            </w:r>
          </w:p>
        </w:tc>
      </w:tr>
      <w:tr w:rsidR="0071410A" w:rsidRPr="00927455" w14:paraId="36EE23C1" w14:textId="77777777" w:rsidTr="00E05B3A">
        <w:trPr>
          <w:cantSplit/>
          <w:trHeight w:val="459"/>
        </w:trPr>
        <w:tc>
          <w:tcPr>
            <w:tcW w:w="3903" w:type="dxa"/>
          </w:tcPr>
          <w:p w14:paraId="0B33CE46" w14:textId="77777777" w:rsidR="00E05B3A" w:rsidRPr="00927455" w:rsidRDefault="00E05B3A" w:rsidP="0020246B">
            <w:pPr>
              <w:keepNext/>
              <w:keepLines/>
              <w:spacing w:before="120" w:after="120"/>
            </w:pPr>
            <w:r>
              <w:t xml:space="preserve">Reliability</w:t>
            </w:r>
          </w:p>
        </w:tc>
        <w:tc>
          <w:tcPr>
            <w:tcW w:w="2693" w:type="dxa"/>
          </w:tcPr>
          <w:p w14:paraId="5D7CF73E" w14:textId="77777777" w:rsidR="00E05B3A" w:rsidRPr="00927455" w:rsidRDefault="00E05B3A" w:rsidP="0020246B">
            <w:pPr>
              <w:keepNext/>
              <w:keepLines/>
              <w:spacing w:before="120" w:after="120"/>
              <w:jc w:val="center"/>
            </w:pPr>
            <w:r>
              <w:t xml:space="preserve">Re 50 (*)</w:t>
            </w:r>
          </w:p>
        </w:tc>
        <w:tc>
          <w:tcPr>
            <w:tcW w:w="2471" w:type="dxa"/>
          </w:tcPr>
          <w:p w14:paraId="1E25FEFC" w14:textId="77777777" w:rsidR="00E05B3A" w:rsidRPr="00927455" w:rsidRDefault="00E05B3A" w:rsidP="0020246B">
            <w:pPr>
              <w:pStyle w:val="En-tte"/>
              <w:keepNext/>
              <w:keepLines/>
              <w:spacing w:before="120" w:after="120"/>
              <w:jc w:val="center"/>
            </w:pPr>
            <w:r>
              <w:t xml:space="preserve">NBN EN 12101</w:t>
            </w:r>
            <w:r>
              <w:noBreakHyphen/>
            </w:r>
            <w:r>
              <w:t xml:space="preserve">2</w:t>
            </w:r>
          </w:p>
          <w:p w14:paraId="32B3CDE2" w14:textId="77777777" w:rsidR="00E05B3A" w:rsidRPr="00927455" w:rsidRDefault="00E05B3A" w:rsidP="0020246B">
            <w:pPr>
              <w:keepNext/>
              <w:keepLines/>
              <w:spacing w:before="120" w:after="120"/>
              <w:jc w:val="center"/>
            </w:pPr>
            <w:r>
              <w:t xml:space="preserve">(test:</w:t>
            </w:r>
            <w:r>
              <w:t xml:space="preserve"> </w:t>
            </w:r>
            <w:r>
              <w:t xml:space="preserve">Annex C)</w:t>
            </w:r>
          </w:p>
        </w:tc>
      </w:tr>
      <w:tr w:rsidR="00E05B3A" w:rsidRPr="00927455" w14:paraId="52504095" w14:textId="77777777" w:rsidTr="00E05B3A">
        <w:trPr>
          <w:cantSplit/>
          <w:trHeight w:val="459"/>
        </w:trPr>
        <w:tc>
          <w:tcPr>
            <w:tcW w:w="3903" w:type="dxa"/>
          </w:tcPr>
          <w:p w14:paraId="68DE75FB" w14:textId="77777777" w:rsidR="00E05B3A" w:rsidRPr="00927455" w:rsidRDefault="00E05B3A" w:rsidP="0020246B">
            <w:pPr>
              <w:keepNext/>
              <w:keepLines/>
              <w:spacing w:before="120" w:after="120"/>
            </w:pPr>
            <w:r>
              <w:t xml:space="preserve">Wind load resistance</w:t>
            </w:r>
          </w:p>
        </w:tc>
        <w:tc>
          <w:tcPr>
            <w:tcW w:w="2693" w:type="dxa"/>
          </w:tcPr>
          <w:p w14:paraId="39611A57" w14:textId="77777777" w:rsidR="00E05B3A" w:rsidRPr="00927455" w:rsidRDefault="00E05B3A" w:rsidP="0020246B">
            <w:pPr>
              <w:keepNext/>
              <w:keepLines/>
              <w:spacing w:before="120" w:after="120"/>
              <w:jc w:val="center"/>
            </w:pPr>
            <w:r>
              <w:t xml:space="preserve">WL 1500</w:t>
            </w:r>
          </w:p>
        </w:tc>
        <w:tc>
          <w:tcPr>
            <w:tcW w:w="2471" w:type="dxa"/>
          </w:tcPr>
          <w:p w14:paraId="5D3C549E" w14:textId="77777777" w:rsidR="00E05B3A" w:rsidRPr="00927455" w:rsidRDefault="00E05B3A" w:rsidP="0020246B">
            <w:pPr>
              <w:pStyle w:val="En-tte"/>
              <w:keepNext/>
              <w:keepLines/>
              <w:spacing w:before="120" w:after="120"/>
              <w:jc w:val="center"/>
            </w:pPr>
            <w:r>
              <w:t xml:space="preserve">NBN EN 12101</w:t>
            </w:r>
            <w:r>
              <w:noBreakHyphen/>
            </w:r>
            <w:r>
              <w:t xml:space="preserve">2</w:t>
            </w:r>
          </w:p>
          <w:p w14:paraId="6E872982" w14:textId="77777777" w:rsidR="00E05B3A" w:rsidRPr="00927455" w:rsidRDefault="00E05B3A" w:rsidP="0020246B">
            <w:pPr>
              <w:pStyle w:val="En-tte"/>
              <w:keepNext/>
              <w:keepLines/>
              <w:spacing w:before="120" w:after="120"/>
              <w:jc w:val="center"/>
            </w:pPr>
            <w:r>
              <w:t xml:space="preserve">(test:</w:t>
            </w:r>
            <w:r>
              <w:t xml:space="preserve"> </w:t>
            </w:r>
            <w:r>
              <w:t xml:space="preserve">Annex F)</w:t>
            </w:r>
          </w:p>
        </w:tc>
      </w:tr>
    </w:tbl>
    <w:tbl>
      <w:tblPr>
        <w:tblStyle w:val="Grilledutableau"/>
        <w:tblW w:w="0" w:type="auto"/>
        <w:tblLook w:val="04A0" w:firstRow="1" w:lastRow="0" w:firstColumn="1" w:lastColumn="0" w:noHBand="0" w:noVBand="1"/>
      </w:tblPr>
      <w:tblGrid>
        <w:gridCol w:w="4538"/>
        <w:gridCol w:w="4524"/>
      </w:tblGrid>
      <w:tr w:rsidR="00E05B3A" w:rsidRPr="00927455" w14:paraId="53536D73" w14:textId="77777777" w:rsidTr="003201DD">
        <w:tc>
          <w:tcPr>
            <w:tcW w:w="9062" w:type="dxa"/>
            <w:gridSpan w:val="2"/>
          </w:tcPr>
          <w:p w14:paraId="6BCA84BE" w14:textId="77777777" w:rsidR="00E05B3A" w:rsidRPr="00927455" w:rsidRDefault="00E05B3A" w:rsidP="00693075"/>
        </w:tc>
      </w:tr>
      <w:tr w:rsidR="003201DD" w:rsidRPr="00CD661C" w14:paraId="2A464C79" w14:textId="77777777" w:rsidTr="004F667F">
        <w:tc>
          <w:tcPr>
            <w:tcW w:w="4538" w:type="dxa"/>
          </w:tcPr>
          <w:p w14:paraId="40FDB2FE" w14:textId="77777777" w:rsidR="003201DD" w:rsidRPr="00927455" w:rsidRDefault="003201DD" w:rsidP="00693075">
            <w:pPr>
              <w:rPr>
                <w:lang w:val="fr-BE"/>
              </w:rPr>
            </w:pPr>
          </w:p>
        </w:tc>
        <w:tc>
          <w:tcPr>
            <w:tcW w:w="4524" w:type="dxa"/>
          </w:tcPr>
          <w:p w14:paraId="5FC88294" w14:textId="77777777" w:rsidR="003201DD" w:rsidRPr="00927455" w:rsidRDefault="003201DD" w:rsidP="00693075">
            <w:pPr>
              <w:rPr>
                <w:lang w:val="fr-BE"/>
              </w:rPr>
            </w:pPr>
          </w:p>
        </w:tc>
      </w:tr>
      <w:tr w:rsidR="0071410A" w:rsidRPr="00CD661C" w14:paraId="30703306" w14:textId="77777777" w:rsidTr="004F667F">
        <w:tc>
          <w:tcPr>
            <w:tcW w:w="4538" w:type="dxa"/>
          </w:tcPr>
          <w:p w14:paraId="65F0763A" w14:textId="77777777" w:rsidR="00E05B3A" w:rsidRPr="00927455" w:rsidRDefault="00E05B3A" w:rsidP="00E05B3A">
            <w:r>
              <w:t xml:space="preserve">(*) If the exhaust system has two functions, 10 000 cycles must be run in the normal comfort ventilation position before conducting the test to determine its reliability class.</w:t>
            </w:r>
          </w:p>
          <w:p w14:paraId="54F478B8" w14:textId="77777777" w:rsidR="00E05B3A" w:rsidRPr="00927455" w:rsidRDefault="00E05B3A" w:rsidP="00E05B3A"/>
          <w:p w14:paraId="41C80907" w14:textId="77777777" w:rsidR="00E05B3A" w:rsidRPr="00927455" w:rsidRDefault="00E05B3A" w:rsidP="00E05B3A">
            <w:r>
              <w:t xml:space="preserve">(**) An exhaust system classified as SL 0 can be installed in accordance with manufacturer instructions, with a minimum installation angle greater than 45° (inclines of the roof and evacuation system added in closed position), unless the snow cannot slide off exhaust system (such as due to wind deflectors).</w:t>
            </w:r>
          </w:p>
          <w:p w14:paraId="320F37BF" w14:textId="77777777" w:rsidR="00E05B3A" w:rsidRPr="00927455" w:rsidRDefault="00E05B3A" w:rsidP="00E05B3A"/>
          <w:p w14:paraId="0CDA6AF0" w14:textId="77777777" w:rsidR="00E05B3A" w:rsidRPr="00927455" w:rsidRDefault="00E05B3A" w:rsidP="00E05B3A">
            <w:r>
              <w:t xml:space="preserve">(***) With the exception of exhaust systems classified as SL 0, a snow load class of at least SL = 2000 d will suffice for exhaust systems fitted with deflectors or similar elements, where d is the snow thickness, expressed in metres, that can be retained within the limits of the deflectors.</w:t>
            </w:r>
            <w:r>
              <w:t xml:space="preserve">  </w:t>
            </w:r>
          </w:p>
          <w:p w14:paraId="324536C8" w14:textId="77777777" w:rsidR="00E05B3A" w:rsidRPr="00927455" w:rsidRDefault="00E05B3A" w:rsidP="00E05B3A"/>
          <w:p w14:paraId="245355F9" w14:textId="77777777" w:rsidR="00E05B3A" w:rsidRPr="00927455" w:rsidRDefault="00E05B3A" w:rsidP="00E05B3A">
            <w:r>
              <w:t xml:space="preserve">All with a valve or a valve register in all ventilation openings must be configured to open as follows:</w:t>
            </w:r>
            <w:r>
              <w:t xml:space="preserve">  </w:t>
            </w:r>
          </w:p>
          <w:p w14:paraId="2C15F797" w14:textId="05646049" w:rsidR="00E05B3A" w:rsidRPr="00927455" w:rsidRDefault="00E05B3A" w:rsidP="00E05B3A">
            <w:r>
              <w:t xml:space="preserve">- automatically in the event of a fire in the car park;</w:t>
            </w:r>
          </w:p>
          <w:p w14:paraId="61C8364B" w14:textId="77777777" w:rsidR="00E05B3A" w:rsidRPr="00927455" w:rsidRDefault="00E05B3A" w:rsidP="00E05B3A">
            <w:r>
              <w:t xml:space="preserve">- automatically in the event of a failure in the energy source, power supply or control system (positive safety device);</w:t>
            </w:r>
          </w:p>
          <w:p w14:paraId="67AC6EC1" w14:textId="77777777" w:rsidR="003201DD" w:rsidRPr="00927455" w:rsidRDefault="00E05B3A" w:rsidP="00E05B3A">
            <w:r>
              <w:t xml:space="preserve">- manually with a control device intended for the fire brigade.</w:t>
            </w:r>
          </w:p>
          <w:p w14:paraId="5D21D9B3" w14:textId="77777777" w:rsidR="00E05B3A" w:rsidRPr="00927455" w:rsidRDefault="00E05B3A" w:rsidP="00E05B3A"/>
        </w:tc>
        <w:tc>
          <w:tcPr>
            <w:tcW w:w="4524" w:type="dxa"/>
          </w:tcPr>
          <w:p w14:paraId="63B1A0BC" w14:textId="77777777" w:rsidR="003201DD" w:rsidRPr="00927455" w:rsidRDefault="003201DD" w:rsidP="003201DD">
            <w:pPr>
              <w:rPr>
                <w:lang w:val="fr-BE"/>
              </w:rPr>
            </w:pPr>
          </w:p>
        </w:tc>
      </w:tr>
      <w:tr w:rsidR="0071410A" w:rsidRPr="00927455" w14:paraId="04AFEB52" w14:textId="77777777" w:rsidTr="004F667F">
        <w:tc>
          <w:tcPr>
            <w:tcW w:w="4538" w:type="dxa"/>
          </w:tcPr>
          <w:p w14:paraId="5B624824" w14:textId="77777777" w:rsidR="003201DD" w:rsidRPr="00927455" w:rsidRDefault="00E05B3A" w:rsidP="00693075">
            <w:pPr>
              <w:rPr>
                <w:b/>
              </w:rPr>
            </w:pPr>
            <w:r>
              <w:rPr>
                <w:b/>
              </w:rPr>
              <w:t xml:space="preserve">3.3.7 Open parking levels</w:t>
            </w:r>
          </w:p>
          <w:p w14:paraId="64767A8C" w14:textId="77777777" w:rsidR="00E05B3A" w:rsidRPr="00927455" w:rsidRDefault="00E05B3A" w:rsidP="00693075">
            <w:pPr>
              <w:rPr>
                <w:b/>
                <w:lang w:val="fr-BE"/>
              </w:rPr>
            </w:pPr>
          </w:p>
        </w:tc>
        <w:tc>
          <w:tcPr>
            <w:tcW w:w="4524" w:type="dxa"/>
          </w:tcPr>
          <w:p w14:paraId="5D2C39BD" w14:textId="77777777" w:rsidR="003201DD" w:rsidRPr="00927455" w:rsidRDefault="003201DD" w:rsidP="00693075">
            <w:pPr>
              <w:rPr>
                <w:b/>
                <w:lang w:val="fr-BE"/>
              </w:rPr>
            </w:pPr>
          </w:p>
        </w:tc>
      </w:tr>
      <w:tr w:rsidR="0071410A" w:rsidRPr="00CD661C" w14:paraId="0FDD1275" w14:textId="77777777" w:rsidTr="004F667F">
        <w:tc>
          <w:tcPr>
            <w:tcW w:w="4538" w:type="dxa"/>
          </w:tcPr>
          <w:p w14:paraId="6BE34C3A" w14:textId="75A77E9C" w:rsidR="00E05B3A" w:rsidRPr="00927455" w:rsidRDefault="00E05B3A" w:rsidP="00E05B3A">
            <w:r>
              <w:t xml:space="preserve">This protection type only applies to an open parking level (see also the point 7.4 of the Annex 1).</w:t>
            </w:r>
          </w:p>
          <w:p w14:paraId="09F04A0E" w14:textId="77777777" w:rsidR="00E05B3A" w:rsidRPr="00927455" w:rsidRDefault="00E05B3A" w:rsidP="00E05B3A"/>
          <w:p w14:paraId="6255ADA9" w14:textId="77777777" w:rsidR="003201DD" w:rsidRPr="00927455" w:rsidRDefault="00E05B3A" w:rsidP="00E05B3A">
            <w:r>
              <w:t xml:space="preserve">The principle is that an open parking level is adequately ventilated for proper removal of smoke and heat and supply of fresh air in the event of a fire, and that it does not require active protection measures.</w:t>
            </w:r>
          </w:p>
          <w:p w14:paraId="0BF41D8A" w14:textId="77777777" w:rsidR="00E05B3A" w:rsidRPr="00927455" w:rsidRDefault="00E05B3A" w:rsidP="00E05B3A"/>
        </w:tc>
        <w:tc>
          <w:tcPr>
            <w:tcW w:w="4524" w:type="dxa"/>
          </w:tcPr>
          <w:p w14:paraId="23F52D71" w14:textId="77777777" w:rsidR="003201DD" w:rsidRPr="00927455" w:rsidRDefault="003201DD" w:rsidP="003201DD">
            <w:pPr>
              <w:rPr>
                <w:lang w:val="fr-BE"/>
              </w:rPr>
            </w:pPr>
          </w:p>
        </w:tc>
      </w:tr>
      <w:tr w:rsidR="0071410A" w:rsidRPr="00CD661C" w14:paraId="1CA5EE5C" w14:textId="77777777" w:rsidTr="004F667F">
        <w:tc>
          <w:tcPr>
            <w:tcW w:w="4538" w:type="dxa"/>
          </w:tcPr>
          <w:p w14:paraId="2F19D424" w14:textId="77777777" w:rsidR="003201DD" w:rsidRPr="00927455" w:rsidRDefault="00E05B3A" w:rsidP="00693075">
            <w:pPr>
              <w:rPr>
                <w:b/>
              </w:rPr>
            </w:pPr>
            <w:r>
              <w:rPr>
                <w:b/>
              </w:rPr>
              <w:t xml:space="preserve">3.3.8 Central monitoring and control station</w:t>
            </w:r>
          </w:p>
          <w:p w14:paraId="0CEC476B" w14:textId="77777777" w:rsidR="00E05B3A" w:rsidRPr="00927455" w:rsidRDefault="00E05B3A" w:rsidP="00693075">
            <w:pPr>
              <w:rPr>
                <w:b/>
                <w:lang w:val="fr-BE"/>
              </w:rPr>
            </w:pPr>
          </w:p>
        </w:tc>
        <w:tc>
          <w:tcPr>
            <w:tcW w:w="4524" w:type="dxa"/>
          </w:tcPr>
          <w:p w14:paraId="459267D3" w14:textId="77777777" w:rsidR="003201DD" w:rsidRPr="00927455" w:rsidRDefault="003201DD" w:rsidP="00693075">
            <w:pPr>
              <w:rPr>
                <w:b/>
                <w:lang w:val="fr-BE"/>
              </w:rPr>
            </w:pPr>
          </w:p>
        </w:tc>
      </w:tr>
      <w:tr w:rsidR="0071410A" w:rsidRPr="00CD661C" w14:paraId="7EF68A76" w14:textId="77777777" w:rsidTr="004F667F">
        <w:tc>
          <w:tcPr>
            <w:tcW w:w="4538" w:type="dxa"/>
          </w:tcPr>
          <w:p w14:paraId="24B5F7B2" w14:textId="77777777" w:rsidR="00E05B3A" w:rsidRPr="00927455" w:rsidRDefault="00E05B3A" w:rsidP="00E05B3A">
            <w:r>
              <w:t xml:space="preserve">The various active fire protection systems must be monitored and controlled from a central monitoring and control station.</w:t>
            </w:r>
            <w:r>
              <w:t xml:space="preserve">  </w:t>
            </w:r>
          </w:p>
          <w:p w14:paraId="73EC2AF2" w14:textId="77777777" w:rsidR="00E05B3A" w:rsidRPr="00927455" w:rsidRDefault="00E05B3A" w:rsidP="00E05B3A"/>
          <w:p w14:paraId="46388A76" w14:textId="77777777" w:rsidR="00E05B3A" w:rsidRPr="00927455" w:rsidRDefault="00E05B3A" w:rsidP="00E05B3A">
            <w:r>
              <w:t xml:space="preserve">The central monitoring and control station must feature a display allowing users to locate the fire, identify the various protective equipment and verify their activation.</w:t>
            </w:r>
          </w:p>
          <w:p w14:paraId="0224B726" w14:textId="77777777" w:rsidR="00E05B3A" w:rsidRPr="00927455" w:rsidRDefault="00E05B3A" w:rsidP="00E05B3A"/>
          <w:p w14:paraId="5592DDF5" w14:textId="77777777" w:rsidR="00E05B3A" w:rsidRPr="00927455" w:rsidRDefault="00E05B3A" w:rsidP="00E05B3A">
            <w:r>
              <w:t xml:space="preserve">The location of the central monitoring and control station must be determined in consultation with the competent local fire brigade.</w:t>
            </w:r>
            <w:r>
              <w:t xml:space="preserve">  </w:t>
            </w:r>
          </w:p>
          <w:p w14:paraId="7E59DFD6" w14:textId="77777777" w:rsidR="00E05B3A" w:rsidRPr="00927455" w:rsidRDefault="00E05B3A" w:rsidP="00E05B3A"/>
          <w:p w14:paraId="58ED11CC" w14:textId="77777777" w:rsidR="003201DD" w:rsidRPr="00927455" w:rsidRDefault="00E05B3A" w:rsidP="00E05B3A">
            <w:r>
              <w:t xml:space="preserve">The central monitoring and control station must be indicated with signalling that is clearly visible and recognisable to the fire brigade, and fitted with safety lighting.</w:t>
            </w:r>
          </w:p>
          <w:p w14:paraId="19D09F18" w14:textId="77777777" w:rsidR="00E05B3A" w:rsidRPr="00927455" w:rsidRDefault="00E05B3A" w:rsidP="00E05B3A"/>
        </w:tc>
        <w:tc>
          <w:tcPr>
            <w:tcW w:w="4524" w:type="dxa"/>
          </w:tcPr>
          <w:p w14:paraId="5AEADB93" w14:textId="77777777" w:rsidR="003201DD" w:rsidRPr="00927455" w:rsidRDefault="003201DD" w:rsidP="003201DD">
            <w:pPr>
              <w:rPr>
                <w:lang w:val="fr-BE"/>
              </w:rPr>
            </w:pPr>
          </w:p>
        </w:tc>
      </w:tr>
      <w:tr w:rsidR="0071410A" w:rsidRPr="00927455" w14:paraId="65E2DFA8" w14:textId="77777777" w:rsidTr="004F667F">
        <w:tc>
          <w:tcPr>
            <w:tcW w:w="4538" w:type="dxa"/>
          </w:tcPr>
          <w:p w14:paraId="532ADEEE" w14:textId="77777777" w:rsidR="00693075" w:rsidRPr="00927455" w:rsidRDefault="00E05B3A" w:rsidP="00693075">
            <w:pPr>
              <w:rPr>
                <w:b/>
              </w:rPr>
            </w:pPr>
            <w:r>
              <w:rPr>
                <w:b/>
              </w:rPr>
              <w:t xml:space="preserve">3.4 Extinguishing equipment</w:t>
            </w:r>
          </w:p>
          <w:p w14:paraId="2EB73949" w14:textId="77777777" w:rsidR="00E05B3A" w:rsidRPr="00927455" w:rsidRDefault="00E05B3A" w:rsidP="00693075">
            <w:pPr>
              <w:rPr>
                <w:b/>
                <w:lang w:val="fr-BE"/>
              </w:rPr>
            </w:pPr>
          </w:p>
        </w:tc>
        <w:tc>
          <w:tcPr>
            <w:tcW w:w="4524" w:type="dxa"/>
          </w:tcPr>
          <w:p w14:paraId="75555676" w14:textId="77777777" w:rsidR="003201DD" w:rsidRPr="00927455" w:rsidRDefault="003201DD" w:rsidP="00693075">
            <w:pPr>
              <w:rPr>
                <w:b/>
                <w:lang w:val="fr-BE"/>
              </w:rPr>
            </w:pPr>
          </w:p>
        </w:tc>
      </w:tr>
      <w:tr w:rsidR="0071410A" w:rsidRPr="00927455" w14:paraId="6B48BE49" w14:textId="77777777" w:rsidTr="004F667F">
        <w:tc>
          <w:tcPr>
            <w:tcW w:w="4538" w:type="dxa"/>
          </w:tcPr>
          <w:p w14:paraId="4BAB145C" w14:textId="77777777" w:rsidR="00693075" w:rsidRPr="00927455" w:rsidRDefault="00E05B3A" w:rsidP="00693075">
            <w:r>
              <w:t xml:space="preserve">Contrary to point 6.8.5.3 of the Annexes 2/1, 3/1 and 4/1, parking levels fitted with a sprinkler system do not require any wall reels.</w:t>
            </w:r>
            <w:r>
              <w:t xml:space="preserve"> </w:t>
            </w:r>
            <w:r>
              <w:t xml:space="preserve">The special requirements for wall hydrants still apply.</w:t>
            </w:r>
          </w:p>
          <w:p w14:paraId="7D38EF93" w14:textId="77777777" w:rsidR="00E05B3A" w:rsidRPr="00927455" w:rsidRDefault="00E05B3A" w:rsidP="00693075"/>
        </w:tc>
        <w:tc>
          <w:tcPr>
            <w:tcW w:w="4524" w:type="dxa"/>
          </w:tcPr>
          <w:p w14:paraId="54C3816B" w14:textId="77777777" w:rsidR="00E81F3C" w:rsidRPr="00927455" w:rsidRDefault="00E81F3C" w:rsidP="00693075">
            <w:pPr>
              <w:rPr>
                <w:lang w:val="fr-BE"/>
              </w:rPr>
            </w:pPr>
          </w:p>
        </w:tc>
      </w:tr>
      <w:tr w:rsidR="0071410A" w:rsidRPr="00927455" w14:paraId="43E8717A" w14:textId="77777777" w:rsidTr="004F667F">
        <w:tc>
          <w:tcPr>
            <w:tcW w:w="4538" w:type="dxa"/>
          </w:tcPr>
          <w:p w14:paraId="60B8DD3F" w14:textId="77777777" w:rsidR="00E05B3A" w:rsidRPr="00927455" w:rsidRDefault="00E05B3A" w:rsidP="00693075">
            <w:pPr>
              <w:rPr>
                <w:b/>
              </w:rPr>
            </w:pPr>
            <w:r>
              <w:rPr>
                <w:b/>
              </w:rPr>
              <w:t xml:space="preserve">3.5 Rooms in the compartment</w:t>
            </w:r>
          </w:p>
          <w:p w14:paraId="2F0C94ED" w14:textId="77777777" w:rsidR="00E05B3A" w:rsidRPr="00927455" w:rsidRDefault="00E05B3A" w:rsidP="00693075">
            <w:pPr>
              <w:rPr>
                <w:b/>
              </w:rPr>
            </w:pPr>
          </w:p>
        </w:tc>
        <w:tc>
          <w:tcPr>
            <w:tcW w:w="4524" w:type="dxa"/>
          </w:tcPr>
          <w:p w14:paraId="4DF17A2A" w14:textId="77777777" w:rsidR="00E81F3C" w:rsidRPr="00927455" w:rsidRDefault="00E81F3C" w:rsidP="00693075">
            <w:pPr>
              <w:rPr>
                <w:b/>
                <w:lang w:val="fr-BE"/>
              </w:rPr>
            </w:pPr>
          </w:p>
        </w:tc>
      </w:tr>
      <w:tr w:rsidR="0071410A" w:rsidRPr="00CD661C" w14:paraId="2C845EEF" w14:textId="77777777" w:rsidTr="004F667F">
        <w:tc>
          <w:tcPr>
            <w:tcW w:w="4538" w:type="dxa"/>
          </w:tcPr>
          <w:p w14:paraId="47563574" w14:textId="77777777" w:rsidR="000C2B29" w:rsidRPr="00927455" w:rsidRDefault="000C2B29" w:rsidP="000C2B29">
            <w:r>
              <w:t xml:space="preserve">A parking compartment can contain the following rooms:</w:t>
            </w:r>
          </w:p>
          <w:p w14:paraId="514D7EB4" w14:textId="77777777" w:rsidR="000C2B29" w:rsidRPr="00927455" w:rsidRDefault="000C2B29" w:rsidP="000C2B29">
            <w:r>
              <w:t xml:space="preserve">-</w:t>
            </w:r>
            <w:r>
              <w:tab/>
            </w:r>
            <w:r>
              <w:t xml:space="preserve">rooms not intended for occupation by persons (such as technical rooms, transformer rooms, storage rooms, archive rooms, waste storage rooms, metering rooms, heating rooms, etc.);</w:t>
            </w:r>
          </w:p>
          <w:p w14:paraId="250297E2" w14:textId="77777777" w:rsidR="00E05B3A" w:rsidRPr="00927455" w:rsidRDefault="000C2B29" w:rsidP="000C2B29">
            <w:r>
              <w:t xml:space="preserve">- rooms that serve directly for operation of the car park (payment booths, surveillance rooms, sanitary rooms, offices, workrooms, etc.).</w:t>
            </w:r>
          </w:p>
          <w:p w14:paraId="6F89806E" w14:textId="77777777" w:rsidR="000C2B29" w:rsidRPr="00927455" w:rsidRDefault="000C2B29" w:rsidP="000C2B29"/>
          <w:p w14:paraId="0910F92B" w14:textId="77777777" w:rsidR="000C2B29" w:rsidRPr="00927455" w:rsidRDefault="000C2B29" w:rsidP="000C2B29">
            <w:r>
              <w:t xml:space="preserve">Parking compartments are not permitted to accommodate additional activities, such as automatic car wash stations, loading bays, filling stations or refuelling stations.</w:t>
            </w:r>
          </w:p>
          <w:p w14:paraId="6B33AE2D" w14:textId="77777777" w:rsidR="000C2B29" w:rsidRPr="00927455" w:rsidRDefault="000C2B29" w:rsidP="000C2B29"/>
        </w:tc>
        <w:tc>
          <w:tcPr>
            <w:tcW w:w="4524" w:type="dxa"/>
          </w:tcPr>
          <w:p w14:paraId="74C10908" w14:textId="77777777" w:rsidR="00E81F3C" w:rsidRPr="00927455" w:rsidRDefault="00E81F3C" w:rsidP="00E81F3C">
            <w:pPr>
              <w:rPr>
                <w:lang w:val="fr-BE"/>
              </w:rPr>
            </w:pPr>
          </w:p>
        </w:tc>
      </w:tr>
      <w:tr w:rsidR="0071410A" w:rsidRPr="00927455" w14:paraId="7831A883" w14:textId="77777777" w:rsidTr="004F667F">
        <w:tc>
          <w:tcPr>
            <w:tcW w:w="4538" w:type="dxa"/>
          </w:tcPr>
          <w:p w14:paraId="6D3AC75F" w14:textId="77777777" w:rsidR="00E05B3A" w:rsidRPr="00927455" w:rsidRDefault="000C2B29" w:rsidP="00693075">
            <w:r>
              <w:t xml:space="preserve">3.5.1 Interior walls and doors</w:t>
            </w:r>
          </w:p>
          <w:p w14:paraId="02FF6B78" w14:textId="77777777" w:rsidR="000C2B29" w:rsidRPr="00927455" w:rsidRDefault="000C2B29" w:rsidP="00693075"/>
        </w:tc>
        <w:tc>
          <w:tcPr>
            <w:tcW w:w="4524" w:type="dxa"/>
          </w:tcPr>
          <w:p w14:paraId="46850585" w14:textId="77777777" w:rsidR="00E81F3C" w:rsidRPr="00927455" w:rsidRDefault="00E81F3C" w:rsidP="00693075"/>
        </w:tc>
      </w:tr>
      <w:tr w:rsidR="0071410A" w:rsidRPr="00CD661C" w14:paraId="28D4197B" w14:textId="77777777" w:rsidTr="004F667F">
        <w:tc>
          <w:tcPr>
            <w:tcW w:w="4538" w:type="dxa"/>
          </w:tcPr>
          <w:p w14:paraId="241AAAB1" w14:textId="77777777" w:rsidR="000C2B29" w:rsidRPr="00927455" w:rsidRDefault="000C2B29" w:rsidP="000C2B29">
            <w:r>
              <w:t xml:space="preserve">The interior walls of rooms in a compartment must have the same fire resistance as the walls of the parking compartment and:</w:t>
            </w:r>
          </w:p>
          <w:p w14:paraId="2E1320F1" w14:textId="77777777" w:rsidR="000C2B29" w:rsidRPr="00927455" w:rsidRDefault="000C2B29" w:rsidP="000C2B29">
            <w:r>
              <w:t xml:space="preserve">- either provide access with a lock with walls with the same fire resistance as the walls of the parking compartment and self-closing or fire-activated self-closing doors rated EI</w:t>
            </w:r>
            <w:r>
              <w:rPr>
                <w:vertAlign w:val="subscript"/>
              </w:rPr>
              <w:t xml:space="preserve">1</w:t>
            </w:r>
            <w:r>
              <w:t xml:space="preserve"> 30;</w:t>
            </w:r>
          </w:p>
          <w:p w14:paraId="2EE392D2" w14:textId="77777777" w:rsidR="000C2B29" w:rsidRPr="00927455" w:rsidRDefault="000C2B29" w:rsidP="000C2B29">
            <w:r>
              <w:t xml:space="preserve">- or provide access to each room with a self-closing or fire-activated self-closing door rated EI</w:t>
            </w:r>
            <w:r>
              <w:rPr>
                <w:vertAlign w:val="subscript"/>
              </w:rPr>
              <w:t xml:space="preserve">1</w:t>
            </w:r>
            <w:r>
              <w:t xml:space="preserve"> 60.</w:t>
            </w:r>
          </w:p>
          <w:p w14:paraId="6B8450E3" w14:textId="77777777" w:rsidR="000C2B29" w:rsidRPr="00927455" w:rsidRDefault="000C2B29" w:rsidP="000C2B29"/>
          <w:p w14:paraId="4E20030F" w14:textId="77777777" w:rsidR="00E05B3A" w:rsidRPr="00927455" w:rsidRDefault="000C2B29" w:rsidP="000C2B29">
            <w:r>
              <w:t xml:space="preserve">This requirement does not apply to payment items, surveillance rooms, sanitary facilities or offices that serve directly for operation of the car park.</w:t>
            </w:r>
          </w:p>
          <w:p w14:paraId="3D22342F" w14:textId="77777777" w:rsidR="000C2B29" w:rsidRPr="00927455" w:rsidRDefault="000C2B29" w:rsidP="000C2B29"/>
        </w:tc>
        <w:tc>
          <w:tcPr>
            <w:tcW w:w="4524" w:type="dxa"/>
          </w:tcPr>
          <w:p w14:paraId="7A0EE780" w14:textId="77777777" w:rsidR="00E81F3C" w:rsidRPr="00927455" w:rsidRDefault="00E81F3C" w:rsidP="00E81F3C">
            <w:pPr>
              <w:rPr>
                <w:lang w:val="fr-BE"/>
              </w:rPr>
            </w:pPr>
          </w:p>
        </w:tc>
      </w:tr>
      <w:tr w:rsidR="0071410A" w:rsidRPr="00927455" w14:paraId="2877F049" w14:textId="77777777" w:rsidTr="004F667F">
        <w:tc>
          <w:tcPr>
            <w:tcW w:w="4538" w:type="dxa"/>
          </w:tcPr>
          <w:p w14:paraId="6BE24073" w14:textId="77777777" w:rsidR="00E05B3A" w:rsidRPr="00927455" w:rsidRDefault="000C2B29" w:rsidP="00693075">
            <w:r>
              <w:t xml:space="preserve">3.5.2 Special rooms</w:t>
            </w:r>
          </w:p>
          <w:p w14:paraId="61CF6187" w14:textId="77777777" w:rsidR="000C2B29" w:rsidRPr="00927455" w:rsidRDefault="000C2B29" w:rsidP="00693075"/>
        </w:tc>
        <w:tc>
          <w:tcPr>
            <w:tcW w:w="4524" w:type="dxa"/>
          </w:tcPr>
          <w:p w14:paraId="6BDD6BA8" w14:textId="49949776" w:rsidR="00E05B3A" w:rsidRPr="00927455" w:rsidRDefault="00E05B3A" w:rsidP="00693075"/>
        </w:tc>
      </w:tr>
      <w:tr w:rsidR="0071410A" w:rsidRPr="00CD661C" w14:paraId="1A858B31" w14:textId="77777777" w:rsidTr="004F667F">
        <w:tc>
          <w:tcPr>
            <w:tcW w:w="4538" w:type="dxa"/>
          </w:tcPr>
          <w:p w14:paraId="1C49FBDC" w14:textId="77777777" w:rsidR="00E05B3A" w:rsidRPr="00927455" w:rsidRDefault="000C2B29" w:rsidP="00693075">
            <w:r>
              <w:t xml:space="preserve">The special requirements on boiler sections, transformer rooms and waste storage rooms still apply (see also points 5.1.2, 5.1.3 and 5.1.4 of Annexes 2/1, 3/1 and 4/1, respectively).</w:t>
            </w:r>
          </w:p>
          <w:p w14:paraId="5D4FEA81" w14:textId="77777777" w:rsidR="000C2B29" w:rsidRPr="00927455" w:rsidRDefault="000C2B29" w:rsidP="00693075"/>
        </w:tc>
        <w:tc>
          <w:tcPr>
            <w:tcW w:w="4524" w:type="dxa"/>
          </w:tcPr>
          <w:p w14:paraId="1B014374" w14:textId="77777777" w:rsidR="00E81F3C" w:rsidRPr="00927455" w:rsidRDefault="00E81F3C" w:rsidP="00693075">
            <w:pPr>
              <w:rPr>
                <w:lang w:val="fr-BE"/>
              </w:rPr>
            </w:pPr>
          </w:p>
        </w:tc>
      </w:tr>
      <w:tr w:rsidR="0071410A" w:rsidRPr="00927455" w14:paraId="390CCC3E" w14:textId="77777777" w:rsidTr="004F667F">
        <w:tc>
          <w:tcPr>
            <w:tcW w:w="4538" w:type="dxa"/>
          </w:tcPr>
          <w:p w14:paraId="1039864F" w14:textId="77777777" w:rsidR="00E05B3A" w:rsidRPr="00927455" w:rsidRDefault="000D2FE1" w:rsidP="00693075">
            <w:pPr>
              <w:rPr>
                <w:b/>
              </w:rPr>
            </w:pPr>
            <w:r>
              <w:rPr>
                <w:b/>
              </w:rPr>
              <w:t xml:space="preserve">3.6 Equipment</w:t>
            </w:r>
          </w:p>
          <w:p w14:paraId="09E23E53" w14:textId="77777777" w:rsidR="000D2FE1" w:rsidRPr="00927455" w:rsidRDefault="000D2FE1" w:rsidP="00693075">
            <w:pPr>
              <w:rPr>
                <w:b/>
              </w:rPr>
            </w:pPr>
          </w:p>
        </w:tc>
        <w:tc>
          <w:tcPr>
            <w:tcW w:w="4524" w:type="dxa"/>
          </w:tcPr>
          <w:p w14:paraId="477D9D6A" w14:textId="6BEA098A" w:rsidR="00E05B3A" w:rsidRPr="00927455" w:rsidRDefault="00E05B3A" w:rsidP="00693075">
            <w:pPr>
              <w:rPr>
                <w:b/>
              </w:rPr>
            </w:pPr>
          </w:p>
        </w:tc>
      </w:tr>
      <w:tr w:rsidR="0071410A" w:rsidRPr="00927455" w14:paraId="4F5A0FDE" w14:textId="77777777" w:rsidTr="004F667F">
        <w:tc>
          <w:tcPr>
            <w:tcW w:w="4538" w:type="dxa"/>
          </w:tcPr>
          <w:p w14:paraId="3B042D1B" w14:textId="77777777" w:rsidR="00E05B3A" w:rsidRPr="00927455" w:rsidRDefault="000D2FE1" w:rsidP="00693075">
            <w:r>
              <w:t xml:space="preserve">3.6.1 Car lifts</w:t>
            </w:r>
          </w:p>
          <w:p w14:paraId="2A4342B2" w14:textId="77777777" w:rsidR="000D2FE1" w:rsidRPr="00927455" w:rsidRDefault="000D2FE1" w:rsidP="00693075"/>
        </w:tc>
        <w:tc>
          <w:tcPr>
            <w:tcW w:w="4524" w:type="dxa"/>
          </w:tcPr>
          <w:p w14:paraId="6895A14E" w14:textId="77777777" w:rsidR="00E81F3C" w:rsidRPr="00927455" w:rsidRDefault="00E81F3C" w:rsidP="00693075"/>
        </w:tc>
      </w:tr>
      <w:tr w:rsidR="0071410A" w:rsidRPr="00CD661C" w14:paraId="7389A68C" w14:textId="77777777" w:rsidTr="004F667F">
        <w:tc>
          <w:tcPr>
            <w:tcW w:w="4538" w:type="dxa"/>
          </w:tcPr>
          <w:p w14:paraId="4D1F8C04" w14:textId="77777777" w:rsidR="00E81F3C" w:rsidRPr="00927455" w:rsidRDefault="00E81F3C" w:rsidP="00E81F3C">
            <w:r>
              <w:t xml:space="preserve">The special requirements on lifts still apply (see also point 6.1 of the Annexes 2/1, 3/1 and 4/1), with the following exceptions:</w:t>
            </w:r>
          </w:p>
          <w:p w14:paraId="4E4B6386" w14:textId="77777777" w:rsidR="00E81F3C" w:rsidRPr="00927455" w:rsidRDefault="00E81F3C" w:rsidP="00E81F3C">
            <w:r>
              <w:t xml:space="preserve">-</w:t>
            </w:r>
            <w:r>
              <w:tab/>
            </w:r>
            <w:r>
              <w:t xml:space="preserve">point 6.1.4.1 of the Annexes 2/1, 3/1 and 4/1 does not apply;</w:t>
            </w:r>
          </w:p>
          <w:p w14:paraId="3D35DF00" w14:textId="77777777" w:rsidR="00E81F3C" w:rsidRPr="00927455" w:rsidRDefault="00E81F3C" w:rsidP="00E81F3C">
            <w:r>
              <w:t xml:space="preserve">-</w:t>
            </w:r>
            <w:r>
              <w:tab/>
            </w:r>
            <w:r>
              <w:t xml:space="preserve">if a fire is detected, the cages of the car lifts must go to the designated level so passengers can get off, and must then be taken out of normal service, except in the event of a power supply failure;</w:t>
            </w:r>
          </w:p>
          <w:p w14:paraId="56B8DC3D" w14:textId="77777777" w:rsidR="000D2FE1" w:rsidRPr="00927455" w:rsidRDefault="00E81F3C" w:rsidP="00E81F3C">
            <w:r>
              <w:t xml:space="preserve">-</w:t>
            </w:r>
            <w:r>
              <w:tab/>
            </w:r>
            <w:r>
              <w:t xml:space="preserve">in the event of a power supply failure, the cages of the lifts must go to the first level technically possible so passengers can get off, and must then be taken out of normal service.</w:t>
            </w:r>
            <w:r>
              <w:t xml:space="preserve"> </w:t>
            </w:r>
            <w:r>
              <w:t xml:space="preserve">For this, each car lift must feature an autonomous power supply with adequate capacity and power.</w:t>
            </w:r>
          </w:p>
          <w:p w14:paraId="0CE5F6D1" w14:textId="77777777" w:rsidR="00E81F3C" w:rsidRPr="00927455" w:rsidRDefault="00E81F3C" w:rsidP="00E81F3C"/>
        </w:tc>
        <w:tc>
          <w:tcPr>
            <w:tcW w:w="4524" w:type="dxa"/>
          </w:tcPr>
          <w:p w14:paraId="0E5F27E1" w14:textId="77777777" w:rsidR="00E81F3C" w:rsidRPr="00927455" w:rsidRDefault="00E81F3C" w:rsidP="00E81F3C">
            <w:pPr>
              <w:rPr>
                <w:lang w:val="fr-BE"/>
              </w:rPr>
            </w:pPr>
          </w:p>
        </w:tc>
      </w:tr>
      <w:tr w:rsidR="0071410A" w:rsidRPr="00927455" w14:paraId="18F5DBD4" w14:textId="77777777" w:rsidTr="004F667F">
        <w:tc>
          <w:tcPr>
            <w:tcW w:w="4538" w:type="dxa"/>
          </w:tcPr>
          <w:p w14:paraId="02C73177" w14:textId="77777777" w:rsidR="000D2FE1" w:rsidRPr="00927455" w:rsidRDefault="00E81F3C" w:rsidP="00693075">
            <w:r>
              <w:t xml:space="preserve">3.6.2 Parking boxes</w:t>
            </w:r>
          </w:p>
          <w:p w14:paraId="2EC14539" w14:textId="77777777" w:rsidR="00E81F3C" w:rsidRPr="00927455" w:rsidRDefault="00E81F3C" w:rsidP="00693075"/>
        </w:tc>
        <w:tc>
          <w:tcPr>
            <w:tcW w:w="4524" w:type="dxa"/>
          </w:tcPr>
          <w:p w14:paraId="7E6F900A" w14:textId="77777777" w:rsidR="00E81F3C" w:rsidRPr="00927455" w:rsidRDefault="00E81F3C" w:rsidP="00693075"/>
        </w:tc>
      </w:tr>
      <w:tr w:rsidR="0071410A" w:rsidRPr="00CD661C" w14:paraId="7E68EB07" w14:textId="77777777" w:rsidTr="004F667F">
        <w:tc>
          <w:tcPr>
            <w:tcW w:w="4538" w:type="dxa"/>
          </w:tcPr>
          <w:p w14:paraId="2AFF01CC" w14:textId="77777777" w:rsidR="00E81F3C" w:rsidRPr="00927455" w:rsidRDefault="00E81F3C" w:rsidP="00E81F3C">
            <w:r>
              <w:t xml:space="preserve">Parking boxes are part of the parking zones and their main activity must remain the vehicle parking.</w:t>
            </w:r>
            <w:r>
              <w:t xml:space="preserve">  </w:t>
            </w:r>
          </w:p>
          <w:p w14:paraId="13F4C847" w14:textId="77777777" w:rsidR="00E81F3C" w:rsidRPr="00927455" w:rsidRDefault="00E81F3C" w:rsidP="00E81F3C"/>
          <w:p w14:paraId="30B4051D" w14:textId="77777777" w:rsidR="00E81F3C" w:rsidRPr="00927455" w:rsidRDefault="00E81F3C" w:rsidP="00E81F3C">
            <w:r>
              <w:t xml:space="preserve">The area of a parking box is limited to no more than two parking spaces.</w:t>
            </w:r>
          </w:p>
          <w:p w14:paraId="053501A8" w14:textId="77777777" w:rsidR="00E81F3C" w:rsidRPr="00927455" w:rsidRDefault="00E81F3C" w:rsidP="00E81F3C"/>
          <w:p w14:paraId="5D8D2E85" w14:textId="77777777" w:rsidR="00E81F3C" w:rsidRPr="00927455" w:rsidRDefault="00E81F3C" w:rsidP="00E81F3C">
            <w:r>
              <w:t xml:space="preserve">Walls and doors separating parking boxes from vehicle parking zones and from circulation routes are not subject to any fire resistance requirement.</w:t>
            </w:r>
            <w:r>
              <w:t xml:space="preserve"> </w:t>
            </w:r>
            <w:r>
              <w:t xml:space="preserve">Reaction to fire requirements still apply.</w:t>
            </w:r>
          </w:p>
          <w:p w14:paraId="0C3E8FC4" w14:textId="77777777" w:rsidR="00E81F3C" w:rsidRPr="00927455" w:rsidRDefault="00E81F3C" w:rsidP="00E81F3C"/>
          <w:p w14:paraId="571E17CF" w14:textId="77777777" w:rsidR="00E81F3C" w:rsidRPr="00927455" w:rsidRDefault="00E81F3C" w:rsidP="00E81F3C">
            <w:r>
              <w:t xml:space="preserve">Each parking box must be fitted with two ventilation openings:</w:t>
            </w:r>
          </w:p>
          <w:p w14:paraId="38845696" w14:textId="77777777" w:rsidR="00E81F3C" w:rsidRPr="00927455" w:rsidRDefault="00E81F3C" w:rsidP="00E81F3C">
            <w:r>
              <w:t xml:space="preserve">- one at the top, with an area of at least 500 cm² and a height of at least 15 cm;</w:t>
            </w:r>
          </w:p>
          <w:p w14:paraId="47FA9208" w14:textId="77777777" w:rsidR="00E81F3C" w:rsidRPr="00927455" w:rsidRDefault="00E81F3C" w:rsidP="00E81F3C">
            <w:r>
              <w:t xml:space="preserve">- the other at the bottom, with an area of at least 200 cm².</w:t>
            </w:r>
          </w:p>
          <w:p w14:paraId="72C11911" w14:textId="77777777" w:rsidR="00E81F3C" w:rsidRPr="00927455" w:rsidRDefault="00E81F3C" w:rsidP="00E81F3C">
            <w:r>
              <w:t xml:space="preserve">These ventilation openings must connect each parking box directly to a car park circulation route.</w:t>
            </w:r>
          </w:p>
          <w:p w14:paraId="74EB8B0C" w14:textId="77777777" w:rsidR="00E81F3C" w:rsidRPr="00927455" w:rsidRDefault="00E81F3C" w:rsidP="00E81F3C">
            <w:r>
              <w:t xml:space="preserve">These ventilation openings can be fitted with a security grille to prevent intrusion.</w:t>
            </w:r>
          </w:p>
          <w:p w14:paraId="0B423E87" w14:textId="77777777" w:rsidR="00E81F3C" w:rsidRPr="00927455" w:rsidRDefault="00E81F3C" w:rsidP="00E81F3C"/>
          <w:p w14:paraId="07657B91" w14:textId="77777777" w:rsidR="000D2FE1" w:rsidRPr="00927455" w:rsidRDefault="00E81F3C" w:rsidP="00E81F3C">
            <w:r>
              <w:t xml:space="preserve">The walls separating the parking boxes from one another or from the vehicle parking zones cannot feature any ventilation openings or other openings.</w:t>
            </w:r>
          </w:p>
          <w:p w14:paraId="5B4217D5" w14:textId="77777777" w:rsidR="00E81F3C" w:rsidRPr="00927455" w:rsidRDefault="00E81F3C" w:rsidP="00E81F3C"/>
        </w:tc>
        <w:tc>
          <w:tcPr>
            <w:tcW w:w="4524" w:type="dxa"/>
          </w:tcPr>
          <w:p w14:paraId="3DDA6531" w14:textId="77777777" w:rsidR="00857DA7" w:rsidRPr="00927455" w:rsidRDefault="00857DA7" w:rsidP="00857DA7">
            <w:pPr>
              <w:rPr>
                <w:lang w:val="fr-BE"/>
              </w:rPr>
            </w:pPr>
          </w:p>
        </w:tc>
      </w:tr>
      <w:tr w:rsidR="0071410A" w:rsidRPr="00927455" w14:paraId="4DB41CC2" w14:textId="77777777" w:rsidTr="004F667F">
        <w:tc>
          <w:tcPr>
            <w:tcW w:w="4538" w:type="dxa"/>
          </w:tcPr>
          <w:p w14:paraId="1A0D70C5" w14:textId="77777777" w:rsidR="000D2FE1" w:rsidRPr="00927455" w:rsidRDefault="00E81F3C" w:rsidP="00693075">
            <w:r>
              <w:t xml:space="preserve">3.6.3 Gas pipes</w:t>
            </w:r>
          </w:p>
          <w:p w14:paraId="10ABE78C" w14:textId="77777777" w:rsidR="00E81F3C" w:rsidRPr="00927455" w:rsidRDefault="00E81F3C" w:rsidP="00693075"/>
        </w:tc>
        <w:tc>
          <w:tcPr>
            <w:tcW w:w="4524" w:type="dxa"/>
          </w:tcPr>
          <w:p w14:paraId="50905FB2" w14:textId="77777777" w:rsidR="00857DA7" w:rsidRPr="00927455" w:rsidRDefault="00857DA7" w:rsidP="00857DA7">
            <w:pPr>
              <w:tabs>
                <w:tab w:val="left" w:pos="912"/>
              </w:tabs>
            </w:pPr>
          </w:p>
        </w:tc>
      </w:tr>
      <w:tr w:rsidR="0071410A" w:rsidRPr="00CD661C" w14:paraId="6814DD96" w14:textId="77777777" w:rsidTr="004F667F">
        <w:tc>
          <w:tcPr>
            <w:tcW w:w="4538" w:type="dxa"/>
          </w:tcPr>
          <w:p w14:paraId="11C02A4D" w14:textId="77777777" w:rsidR="00E81F3C" w:rsidRPr="00927455" w:rsidRDefault="00E81F3C" w:rsidP="00E81F3C">
            <w:r>
              <w:t xml:space="preserve">Gas pipes are permitted in a car park if:</w:t>
            </w:r>
            <w:r>
              <w:t xml:space="preserve">  </w:t>
            </w:r>
          </w:p>
          <w:p w14:paraId="14238E10" w14:textId="77777777" w:rsidR="00E81F3C" w:rsidRPr="00927455" w:rsidRDefault="00E81F3C" w:rsidP="00E81F3C">
            <w:r>
              <w:t xml:space="preserve">- these gas pipes are made of steel and welded;</w:t>
            </w:r>
          </w:p>
          <w:p w14:paraId="330DB73B" w14:textId="77777777" w:rsidR="00E81F3C" w:rsidRPr="00927455" w:rsidRDefault="00E81F3C" w:rsidP="00E81F3C">
            <w:r>
              <w:t xml:space="preserve">- the components and appliances of these gas pipes are of the RHT type, as defined in standards NBN D 51-003 and NBN D 51-004;</w:t>
            </w:r>
          </w:p>
          <w:p w14:paraId="303B2DD9" w14:textId="77777777" w:rsidR="00E81F3C" w:rsidRPr="00927455" w:rsidRDefault="00E81F3C" w:rsidP="00E81F3C">
            <w:r>
              <w:t xml:space="preserve">- these gas pipes are protected from potential impacts originating from vehicles;</w:t>
            </w:r>
            <w:r>
              <w:t xml:space="preserve">  </w:t>
            </w:r>
          </w:p>
          <w:p w14:paraId="695AA862" w14:textId="77777777" w:rsidR="00E81F3C" w:rsidRPr="00927455" w:rsidRDefault="00E81F3C" w:rsidP="00E81F3C">
            <w:r>
              <w:t xml:space="preserve">- these gas pipes are installed above the circulation routes.</w:t>
            </w:r>
          </w:p>
          <w:p w14:paraId="55FAAD8A" w14:textId="77777777" w:rsidR="00E81F3C" w:rsidRPr="00927455" w:rsidRDefault="00E81F3C" w:rsidP="00E81F3C">
            <w:r>
              <w:t xml:space="preserve">If the incoming or vertical connection is also located above a parking area, a connecting pipe to the pipes above the circulation routes is also permitted; and</w:t>
            </w:r>
            <w:r>
              <w:t xml:space="preserve"> </w:t>
            </w:r>
          </w:p>
          <w:p w14:paraId="0CE05D3B" w14:textId="77777777" w:rsidR="000D2FE1" w:rsidRPr="00927455" w:rsidRDefault="00E81F3C" w:rsidP="00E81F3C">
            <w:r>
              <w:t xml:space="preserve">- a gas supply shut-off valve is installed on the outside of the parking compartment, for use by the fire brigade.</w:t>
            </w:r>
          </w:p>
          <w:p w14:paraId="16654899" w14:textId="77777777" w:rsidR="00E81F3C" w:rsidRPr="00927455" w:rsidRDefault="00E81F3C" w:rsidP="00E81F3C"/>
        </w:tc>
        <w:tc>
          <w:tcPr>
            <w:tcW w:w="4524" w:type="dxa"/>
          </w:tcPr>
          <w:p w14:paraId="06CC563C" w14:textId="77777777" w:rsidR="00857DA7" w:rsidRPr="00927455" w:rsidRDefault="00857DA7" w:rsidP="00857DA7">
            <w:pPr>
              <w:rPr>
                <w:lang w:val="fr-BE"/>
              </w:rPr>
            </w:pPr>
          </w:p>
        </w:tc>
      </w:tr>
      <w:tr w:rsidR="0071410A" w:rsidRPr="00927455" w14:paraId="41C332E4" w14:textId="77777777" w:rsidTr="004F667F">
        <w:tc>
          <w:tcPr>
            <w:tcW w:w="4538" w:type="dxa"/>
          </w:tcPr>
          <w:p w14:paraId="0385C0A0" w14:textId="77777777" w:rsidR="000D2FE1" w:rsidRPr="00927455" w:rsidRDefault="00E81F3C" w:rsidP="00693075">
            <w:pPr>
              <w:rPr>
                <w:b/>
              </w:rPr>
            </w:pPr>
            <w:r>
              <w:rPr>
                <w:b/>
              </w:rPr>
              <w:t xml:space="preserve">3.7 Evacuation</w:t>
            </w:r>
          </w:p>
          <w:p w14:paraId="3D3B7AA4" w14:textId="77777777" w:rsidR="00E81F3C" w:rsidRPr="00927455" w:rsidRDefault="00E81F3C" w:rsidP="00693075">
            <w:pPr>
              <w:rPr>
                <w:b/>
              </w:rPr>
            </w:pPr>
          </w:p>
        </w:tc>
        <w:tc>
          <w:tcPr>
            <w:tcW w:w="4524" w:type="dxa"/>
          </w:tcPr>
          <w:p w14:paraId="052A45C4" w14:textId="77777777" w:rsidR="00857DA7" w:rsidRPr="00927455" w:rsidRDefault="00857DA7" w:rsidP="00693075">
            <w:pPr>
              <w:rPr>
                <w:b/>
              </w:rPr>
            </w:pPr>
          </w:p>
        </w:tc>
      </w:tr>
      <w:tr w:rsidR="0071410A" w:rsidRPr="00927455" w14:paraId="6492E0BC" w14:textId="77777777" w:rsidTr="004F667F">
        <w:tc>
          <w:tcPr>
            <w:tcW w:w="4538" w:type="dxa"/>
          </w:tcPr>
          <w:p w14:paraId="788421A0" w14:textId="77777777" w:rsidR="00020EC8" w:rsidRPr="00927455" w:rsidRDefault="00E20A1E" w:rsidP="00693075">
            <w:r>
              <w:t xml:space="preserve">3.7.1 Number of exits</w:t>
            </w:r>
          </w:p>
          <w:p w14:paraId="000AFE4D" w14:textId="77777777" w:rsidR="00E20A1E" w:rsidRPr="00927455" w:rsidRDefault="00E20A1E" w:rsidP="00693075"/>
        </w:tc>
        <w:tc>
          <w:tcPr>
            <w:tcW w:w="4524" w:type="dxa"/>
          </w:tcPr>
          <w:p w14:paraId="324A39A9" w14:textId="77777777" w:rsidR="00020EC8" w:rsidRPr="00927455" w:rsidRDefault="00020EC8" w:rsidP="00693075"/>
        </w:tc>
      </w:tr>
      <w:tr w:rsidR="0071410A" w:rsidRPr="00CD661C" w14:paraId="36FE6505" w14:textId="77777777" w:rsidTr="004F667F">
        <w:tc>
          <w:tcPr>
            <w:tcW w:w="4538" w:type="dxa"/>
          </w:tcPr>
          <w:p w14:paraId="71C46C0D" w14:textId="77777777" w:rsidR="00E20A1E" w:rsidRPr="00927455" w:rsidRDefault="00E20A1E" w:rsidP="00E20A1E">
            <w:r>
              <w:t xml:space="preserve">Each parking level must feature at least two exits.</w:t>
            </w:r>
            <w:r>
              <w:t xml:space="preserve">  </w:t>
            </w:r>
          </w:p>
          <w:p w14:paraId="1772342C" w14:textId="77777777" w:rsidR="00E20A1E" w:rsidRPr="00927455" w:rsidRDefault="00E20A1E" w:rsidP="00E20A1E"/>
          <w:p w14:paraId="775EA45C" w14:textId="77777777" w:rsidR="00082D16" w:rsidRPr="00927455" w:rsidRDefault="00082D16" w:rsidP="00082D16">
            <w:r>
              <w:t xml:space="preserve">Car park exits must meet point 4.4.1.2, paragraph 1 of the Annexes 2/1, 3/1 and 4/1, with the following amendments:</w:t>
            </w:r>
          </w:p>
          <w:p w14:paraId="04D444AD" w14:textId="77777777" w:rsidR="00082D16" w:rsidRPr="00927455" w:rsidRDefault="00082D16" w:rsidP="00082D16">
            <w:r>
              <w:t xml:space="preserve">-</w:t>
            </w:r>
            <w:r>
              <w:tab/>
            </w:r>
            <w:r>
              <w:t xml:space="preserve">a connection to a staircase can take the form of fire-activated self-closing doors;</w:t>
            </w:r>
          </w:p>
          <w:p w14:paraId="5134953C" w14:textId="727F31A6" w:rsidR="00E20A1E" w:rsidRPr="00927455" w:rsidRDefault="00082D16" w:rsidP="00082D16">
            <w:r>
              <w:t xml:space="preserve">-</w:t>
            </w:r>
            <w:r>
              <w:tab/>
            </w:r>
            <w:r>
              <w:t xml:space="preserve">the connection to an evacuation route from a parking compartment must be in accordance with the point 5.2.2 of the Annexes 2/1, 3/1 and 4/1.</w:t>
            </w:r>
          </w:p>
          <w:p w14:paraId="14A08FFD" w14:textId="77777777" w:rsidR="00082D16" w:rsidRPr="00927455" w:rsidRDefault="00082D16" w:rsidP="00082D16"/>
          <w:p w14:paraId="694DFB1B" w14:textId="77777777" w:rsidR="00E20A1E" w:rsidRPr="00927455" w:rsidRDefault="00E20A1E" w:rsidP="00E20A1E">
            <w:r>
              <w:t xml:space="preserve">The exits must be located in opposite zones of the parking levels and must remain accessible in the event of activation of any smoke curtains for the SHEV system and any closing devices of the subcompartment.</w:t>
            </w:r>
          </w:p>
          <w:p w14:paraId="6FA7329E" w14:textId="77777777" w:rsidR="00E20A1E" w:rsidRPr="00927455" w:rsidRDefault="00E20A1E" w:rsidP="00E20A1E"/>
          <w:p w14:paraId="7C4DC23E" w14:textId="77777777" w:rsidR="000D2FE1" w:rsidRPr="00927455" w:rsidRDefault="00E20A1E" w:rsidP="00E20A1E">
            <w:r>
              <w:t xml:space="preserve">The doors to be opened to the exits cannot feature a locking device that prevents opening in the direction of evacuation.</w:t>
            </w:r>
          </w:p>
          <w:p w14:paraId="4E21C5A0" w14:textId="77777777" w:rsidR="00E20A1E" w:rsidRPr="00927455" w:rsidRDefault="00E20A1E" w:rsidP="00E20A1E"/>
        </w:tc>
        <w:tc>
          <w:tcPr>
            <w:tcW w:w="4524" w:type="dxa"/>
          </w:tcPr>
          <w:p w14:paraId="7CADEA31" w14:textId="77777777" w:rsidR="00857DA7" w:rsidRPr="00927455" w:rsidRDefault="00857DA7" w:rsidP="00857DA7">
            <w:pPr>
              <w:rPr>
                <w:lang w:val="fr-BE"/>
              </w:rPr>
            </w:pPr>
          </w:p>
        </w:tc>
      </w:tr>
      <w:tr w:rsidR="0071410A" w:rsidRPr="00927455" w14:paraId="1E961DEB" w14:textId="77777777" w:rsidTr="004F667F">
        <w:tc>
          <w:tcPr>
            <w:tcW w:w="4538" w:type="dxa"/>
          </w:tcPr>
          <w:p w14:paraId="5876372C" w14:textId="77777777" w:rsidR="00E81F3C" w:rsidRPr="00927455" w:rsidRDefault="00E20A1E" w:rsidP="00693075">
            <w:r>
              <w:t xml:space="preserve">3.7.2 Distance to be covered</w:t>
            </w:r>
          </w:p>
          <w:p w14:paraId="4A2F8254" w14:textId="77777777" w:rsidR="00E20A1E" w:rsidRPr="00927455" w:rsidRDefault="00E20A1E" w:rsidP="00693075">
            <w:pPr>
              <w:rPr>
                <w:lang w:val="fr-BE"/>
              </w:rPr>
            </w:pPr>
          </w:p>
        </w:tc>
        <w:tc>
          <w:tcPr>
            <w:tcW w:w="4524" w:type="dxa"/>
          </w:tcPr>
          <w:p w14:paraId="09C67C2A" w14:textId="77777777" w:rsidR="00020EC8" w:rsidRPr="00927455" w:rsidRDefault="00020EC8" w:rsidP="00693075">
            <w:pPr>
              <w:rPr>
                <w:lang w:val="fr-BE"/>
              </w:rPr>
            </w:pPr>
          </w:p>
        </w:tc>
      </w:tr>
      <w:tr w:rsidR="0071410A" w:rsidRPr="00CD661C" w14:paraId="679823DB" w14:textId="77777777" w:rsidTr="004F667F">
        <w:tc>
          <w:tcPr>
            <w:tcW w:w="4538" w:type="dxa"/>
          </w:tcPr>
          <w:p w14:paraId="00067EDE" w14:textId="77777777" w:rsidR="00E20A1E" w:rsidRPr="00927455" w:rsidRDefault="00E20A1E" w:rsidP="00E20A1E">
            <w:r>
              <w:t xml:space="preserve">The car park cannot feature any points located more than:</w:t>
            </w:r>
          </w:p>
          <w:p w14:paraId="143DAA7F" w14:textId="77777777" w:rsidR="00E20A1E" w:rsidRPr="00927455" w:rsidRDefault="00E20A1E" w:rsidP="00E20A1E">
            <w:r>
              <w:t xml:space="preserve">- 45 m from the access to an evacuation route leading to an exit, except for open parking levels;</w:t>
            </w:r>
          </w:p>
          <w:p w14:paraId="1CC2852F" w14:textId="77777777" w:rsidR="00E20A1E" w:rsidRPr="00927455" w:rsidRDefault="00E20A1E" w:rsidP="00E20A1E">
            <w:r>
              <w:t xml:space="preserve">- 60 m from the access to an exit.</w:t>
            </w:r>
          </w:p>
          <w:p w14:paraId="6D7C224C" w14:textId="77777777" w:rsidR="00E20A1E" w:rsidRPr="00927455" w:rsidRDefault="00E20A1E" w:rsidP="00E20A1E"/>
          <w:p w14:paraId="4E3CBD83" w14:textId="77777777" w:rsidR="00E81F3C" w:rsidRPr="00927455" w:rsidRDefault="00E20A1E" w:rsidP="00E20A1E">
            <w:r>
              <w:t xml:space="preserve">These distances must be measured taking into account the closure of any closing devices in the subcompartment.</w:t>
            </w:r>
          </w:p>
          <w:p w14:paraId="0B3F26D5" w14:textId="77777777" w:rsidR="00E20A1E" w:rsidRPr="00927455" w:rsidRDefault="00E20A1E" w:rsidP="00E20A1E"/>
        </w:tc>
        <w:tc>
          <w:tcPr>
            <w:tcW w:w="4524" w:type="dxa"/>
          </w:tcPr>
          <w:p w14:paraId="0A57DBCE" w14:textId="77777777" w:rsidR="00020EC8" w:rsidRPr="00927455" w:rsidRDefault="00020EC8" w:rsidP="00020EC8">
            <w:pPr>
              <w:rPr>
                <w:lang w:val="fr-BE"/>
              </w:rPr>
            </w:pPr>
          </w:p>
        </w:tc>
      </w:tr>
      <w:tr w:rsidR="0071410A" w:rsidRPr="00927455" w14:paraId="0F9E6EE4" w14:textId="77777777" w:rsidTr="004F667F">
        <w:tc>
          <w:tcPr>
            <w:tcW w:w="4538" w:type="dxa"/>
          </w:tcPr>
          <w:p w14:paraId="52A48756" w14:textId="77777777" w:rsidR="00E81F3C" w:rsidRPr="00927455" w:rsidRDefault="00E20A1E" w:rsidP="00693075">
            <w:r>
              <w:t xml:space="preserve">3.7.3 A single exit</w:t>
            </w:r>
          </w:p>
          <w:p w14:paraId="0CE8D4F9" w14:textId="77777777" w:rsidR="00E20A1E" w:rsidRPr="00927455" w:rsidRDefault="00E20A1E" w:rsidP="00693075">
            <w:pPr>
              <w:rPr>
                <w:lang w:val="fr-BE"/>
              </w:rPr>
            </w:pPr>
          </w:p>
        </w:tc>
        <w:tc>
          <w:tcPr>
            <w:tcW w:w="4524" w:type="dxa"/>
          </w:tcPr>
          <w:p w14:paraId="1C4B4B8F" w14:textId="77777777" w:rsidR="00020EC8" w:rsidRPr="00927455" w:rsidRDefault="00020EC8" w:rsidP="00693075">
            <w:pPr>
              <w:rPr>
                <w:lang w:val="fr-BE"/>
              </w:rPr>
            </w:pPr>
          </w:p>
        </w:tc>
      </w:tr>
      <w:tr w:rsidR="0071410A" w:rsidRPr="00CD661C" w14:paraId="6EF67A42" w14:textId="77777777" w:rsidTr="004F667F">
        <w:tc>
          <w:tcPr>
            <w:tcW w:w="4538" w:type="dxa"/>
          </w:tcPr>
          <w:p w14:paraId="4C10CE4F" w14:textId="77777777" w:rsidR="00717FC9" w:rsidRPr="00927455" w:rsidRDefault="00717FC9" w:rsidP="00717FC9">
            <w:r>
              <w:t xml:space="preserve">Contrary to the point 3.7.1, a single exit per parking level will suffice if:</w:t>
            </w:r>
          </w:p>
          <w:p w14:paraId="3BC7905B" w14:textId="77777777" w:rsidR="00717FC9" w:rsidRPr="00927455" w:rsidRDefault="00717FC9" w:rsidP="00717FC9">
            <w:r>
              <w:t xml:space="preserve">- the car park is no more than two component layers high;</w:t>
            </w:r>
            <w:r>
              <w:t xml:space="preserve">  </w:t>
            </w:r>
          </w:p>
          <w:p w14:paraId="71F9BCDC" w14:textId="77777777" w:rsidR="00717FC9" w:rsidRPr="00927455" w:rsidRDefault="00717FC9" w:rsidP="00717FC9">
            <w:r>
              <w:t xml:space="preserve">- neither of these two component layers are located more than 7 m below or above ground;</w:t>
            </w:r>
            <w:r>
              <w:t xml:space="preserve">  </w:t>
            </w:r>
          </w:p>
          <w:p w14:paraId="14CF40E8" w14:textId="77777777" w:rsidR="00717FC9" w:rsidRPr="00927455" w:rsidRDefault="00717FC9" w:rsidP="00717FC9">
            <w:r>
              <w:t xml:space="preserve">- the car park does not feature any points located more than 15 m from the access to the evacuation route leading to the exit; and</w:t>
            </w:r>
            <w:r>
              <w:t xml:space="preserve">  </w:t>
            </w:r>
          </w:p>
          <w:p w14:paraId="6DF9B6DB" w14:textId="77777777" w:rsidR="00717FC9" w:rsidRPr="00927455" w:rsidRDefault="00717FC9" w:rsidP="00717FC9">
            <w:r>
              <w:t xml:space="preserve">- the car park does not feature any points located more than 30 m from the access to the exit.</w:t>
            </w:r>
          </w:p>
          <w:p w14:paraId="1FE8E0B4" w14:textId="77777777" w:rsidR="00717FC9" w:rsidRPr="00927455" w:rsidRDefault="00717FC9" w:rsidP="00717FC9"/>
        </w:tc>
        <w:tc>
          <w:tcPr>
            <w:tcW w:w="4524" w:type="dxa"/>
          </w:tcPr>
          <w:p w14:paraId="5C7AD2D1" w14:textId="77777777" w:rsidR="00020EC8" w:rsidRPr="00927455" w:rsidRDefault="00020EC8" w:rsidP="00020EC8">
            <w:pPr>
              <w:rPr>
                <w:lang w:val="fr-BE"/>
              </w:rPr>
            </w:pPr>
          </w:p>
        </w:tc>
      </w:tr>
      <w:tr w:rsidR="0071410A" w:rsidRPr="00927455" w14:paraId="6585E655" w14:textId="77777777" w:rsidTr="004F667F">
        <w:tc>
          <w:tcPr>
            <w:tcW w:w="4538" w:type="dxa"/>
          </w:tcPr>
          <w:p w14:paraId="00BD2A1F" w14:textId="77777777" w:rsidR="00020EC8" w:rsidRPr="00927455" w:rsidRDefault="00717FC9" w:rsidP="00693075">
            <w:r>
              <w:t xml:space="preserve">3.7.4 Evacuation routes</w:t>
            </w:r>
          </w:p>
          <w:p w14:paraId="7405895A" w14:textId="77777777" w:rsidR="00717FC9" w:rsidRPr="00927455" w:rsidRDefault="00717FC9" w:rsidP="00693075">
            <w:pPr>
              <w:rPr>
                <w:lang w:val="fr-BE"/>
              </w:rPr>
            </w:pPr>
          </w:p>
        </w:tc>
        <w:tc>
          <w:tcPr>
            <w:tcW w:w="4524" w:type="dxa"/>
          </w:tcPr>
          <w:p w14:paraId="45ABA92C" w14:textId="77777777" w:rsidR="00020EC8" w:rsidRPr="00927455" w:rsidRDefault="00020EC8" w:rsidP="00693075">
            <w:pPr>
              <w:rPr>
                <w:lang w:val="fr-BE"/>
              </w:rPr>
            </w:pPr>
          </w:p>
        </w:tc>
      </w:tr>
      <w:tr w:rsidR="0071410A" w:rsidRPr="00CD661C" w14:paraId="673219A0" w14:textId="77777777" w:rsidTr="004F667F">
        <w:tc>
          <w:tcPr>
            <w:tcW w:w="4538" w:type="dxa"/>
          </w:tcPr>
          <w:p w14:paraId="5CE2338D" w14:textId="77777777" w:rsidR="00717FC9" w:rsidRPr="00927455" w:rsidRDefault="00717FC9" w:rsidP="00717FC9">
            <w:r>
              <w:t xml:space="preserve">Evacuation routes in a car park must meet point 4.4 of the Annexes 2/1, 3/1 and 4/1, with the following amendments:</w:t>
            </w:r>
          </w:p>
          <w:p w14:paraId="6CE09EE8" w14:textId="77777777" w:rsidR="00717FC9" w:rsidRPr="00927455" w:rsidRDefault="00717FC9" w:rsidP="00717FC9">
            <w:r>
              <w:t xml:space="preserve">- the interior walls of the evacuation routes must be EI 60 and their access doors must be EI1 30 and self-closing or fire-activated self-closing;</w:t>
            </w:r>
            <w:r>
              <w:t xml:space="preserve">  </w:t>
            </w:r>
          </w:p>
          <w:p w14:paraId="003D1FB3" w14:textId="77777777" w:rsidR="00717FC9" w:rsidRPr="00927455" w:rsidRDefault="00717FC9" w:rsidP="00717FC9">
            <w:r>
              <w:t xml:space="preserve">- it is not required for the connection between the stairs to take the form of evacuation routes or fire escapes;</w:t>
            </w:r>
          </w:p>
          <w:p w14:paraId="43F5BB6B" w14:textId="77777777" w:rsidR="00717FC9" w:rsidRPr="00927455" w:rsidRDefault="00717FC9" w:rsidP="00717FC9">
            <w:r>
              <w:t xml:space="preserve">- for open parking levels, the connection between the car park and an indoor staircase that only services the car park can take the form of a self-closing or fire-activated self-closing door rated EI1 30.</w:t>
            </w:r>
          </w:p>
          <w:p w14:paraId="4523C3DA" w14:textId="77777777" w:rsidR="00717FC9" w:rsidRPr="00927455" w:rsidRDefault="00717FC9" w:rsidP="00717FC9"/>
          <w:p w14:paraId="081D4B1B" w14:textId="77777777" w:rsidR="00020EC8" w:rsidRPr="00927455" w:rsidRDefault="00717FC9" w:rsidP="00717FC9">
            <w:r>
              <w:t xml:space="preserve">On an evacuation level, if the route from indoor staircases to the public roadway or an outdoor area enables access to a public roadway passes through a car park, this connection must take the form of an evacuation route.</w:t>
            </w:r>
          </w:p>
          <w:p w14:paraId="66D6F42B" w14:textId="77777777" w:rsidR="00717FC9" w:rsidRPr="00927455" w:rsidRDefault="00717FC9" w:rsidP="00717FC9"/>
        </w:tc>
        <w:tc>
          <w:tcPr>
            <w:tcW w:w="4524" w:type="dxa"/>
          </w:tcPr>
          <w:p w14:paraId="62475FC6" w14:textId="77777777" w:rsidR="00020EC8" w:rsidRPr="00927455" w:rsidRDefault="00020EC8" w:rsidP="00020EC8">
            <w:pPr>
              <w:rPr>
                <w:lang w:val="fr-BE"/>
              </w:rPr>
            </w:pPr>
          </w:p>
        </w:tc>
      </w:tr>
      <w:tr w:rsidR="0071410A" w:rsidRPr="00CD661C" w14:paraId="41E58D55" w14:textId="77777777" w:rsidTr="004F667F">
        <w:tc>
          <w:tcPr>
            <w:tcW w:w="4538" w:type="dxa"/>
          </w:tcPr>
          <w:p w14:paraId="080E0225" w14:textId="77777777" w:rsidR="00E81F3C" w:rsidRPr="00927455" w:rsidRDefault="00717FC9" w:rsidP="00693075">
            <w:r>
              <w:t xml:space="preserve">3.7.5 Width of exits and evacuation routes</w:t>
            </w:r>
          </w:p>
          <w:p w14:paraId="1C74F1F4" w14:textId="77777777" w:rsidR="00717FC9" w:rsidRPr="00927455" w:rsidRDefault="00717FC9" w:rsidP="00693075"/>
        </w:tc>
        <w:tc>
          <w:tcPr>
            <w:tcW w:w="4524" w:type="dxa"/>
          </w:tcPr>
          <w:p w14:paraId="4832048E" w14:textId="77777777" w:rsidR="00020EC8" w:rsidRPr="00927455" w:rsidRDefault="00020EC8" w:rsidP="00693075">
            <w:pPr>
              <w:rPr>
                <w:lang w:val="fr-BE"/>
              </w:rPr>
            </w:pPr>
          </w:p>
        </w:tc>
      </w:tr>
      <w:tr w:rsidR="0071410A" w:rsidRPr="00CD661C" w14:paraId="2A951D05" w14:textId="77777777" w:rsidTr="004F667F">
        <w:tc>
          <w:tcPr>
            <w:tcW w:w="4538" w:type="dxa"/>
          </w:tcPr>
          <w:p w14:paraId="1E6BD63D" w14:textId="77777777" w:rsidR="00020EC8" w:rsidRPr="00927455" w:rsidRDefault="00717FC9" w:rsidP="00693075">
            <w:r>
              <w:t xml:space="preserve">The clear width of the evacuation routes, fire escapes, exits and their access, exit or connecting doors must be at least 0.80 m for evacuation routes, exits and doors and at least 0.60 m for fire escapes.</w:t>
            </w:r>
          </w:p>
          <w:p w14:paraId="2A06AC44" w14:textId="77777777" w:rsidR="00717FC9" w:rsidRPr="00927455" w:rsidRDefault="00717FC9" w:rsidP="00693075"/>
        </w:tc>
        <w:tc>
          <w:tcPr>
            <w:tcW w:w="4524" w:type="dxa"/>
          </w:tcPr>
          <w:p w14:paraId="1C274BD6" w14:textId="77777777" w:rsidR="00E20A1E" w:rsidRPr="00927455" w:rsidRDefault="00E20A1E" w:rsidP="00717FC9">
            <w:pPr>
              <w:rPr>
                <w:lang w:val="fr-BE"/>
              </w:rPr>
            </w:pPr>
          </w:p>
        </w:tc>
      </w:tr>
      <w:tr w:rsidR="0071410A" w:rsidRPr="00927455" w14:paraId="6AB27F07" w14:textId="77777777" w:rsidTr="004F667F">
        <w:tc>
          <w:tcPr>
            <w:tcW w:w="4538" w:type="dxa"/>
          </w:tcPr>
          <w:p w14:paraId="35871F36" w14:textId="77777777" w:rsidR="00717FC9" w:rsidRPr="00927455" w:rsidRDefault="00717FC9" w:rsidP="00717FC9">
            <w:r>
              <w:t xml:space="preserve">3.7.6 Signalling and safety lighting</w:t>
            </w:r>
          </w:p>
          <w:p w14:paraId="1BC51EA8" w14:textId="77777777" w:rsidR="00717FC9" w:rsidRPr="00927455" w:rsidRDefault="00717FC9" w:rsidP="00717FC9"/>
        </w:tc>
        <w:tc>
          <w:tcPr>
            <w:tcW w:w="4524" w:type="dxa"/>
          </w:tcPr>
          <w:p w14:paraId="4DA5BF8E" w14:textId="77777777" w:rsidR="00717FC9" w:rsidRPr="00927455" w:rsidRDefault="00717FC9" w:rsidP="00717FC9">
            <w:pPr>
              <w:rPr>
                <w:lang w:val="fr-BE"/>
              </w:rPr>
            </w:pPr>
          </w:p>
        </w:tc>
      </w:tr>
      <w:tr w:rsidR="0071410A" w:rsidRPr="00CD661C" w14:paraId="778733AA" w14:textId="77777777" w:rsidTr="004F667F">
        <w:tc>
          <w:tcPr>
            <w:tcW w:w="4538" w:type="dxa"/>
          </w:tcPr>
          <w:p w14:paraId="5CC02494" w14:textId="77777777" w:rsidR="00717FC9" w:rsidRPr="00927455" w:rsidRDefault="00717FC9" w:rsidP="00717FC9">
            <w:r>
              <w:t xml:space="preserve">The exits, evacuation routes and fire protection facilities must be marked by clearly visible and recognisable signs that meet the provisions on health and safety signs at work.</w:t>
            </w:r>
            <w:r>
              <w:t xml:space="preserve"> </w:t>
            </w:r>
            <w:r>
              <w:t xml:space="preserve">They must feature safety lighting.</w:t>
            </w:r>
            <w:r>
              <w:t xml:space="preserve"> </w:t>
            </w:r>
            <w:r>
              <w:t xml:space="preserve">The special provisions on this still apply (see also the point 6.5.4 of the Annexes 2/1, 3/1 and 4/1).</w:t>
            </w:r>
          </w:p>
          <w:p w14:paraId="52483754" w14:textId="77777777" w:rsidR="00717FC9" w:rsidRPr="00927455" w:rsidRDefault="00717FC9" w:rsidP="00717FC9"/>
          <w:p w14:paraId="377F6B21" w14:textId="77777777" w:rsidR="00717FC9" w:rsidRPr="00927455" w:rsidRDefault="00717FC9" w:rsidP="00717FC9">
            <w:r>
              <w:t xml:space="preserve">The serial number of each component layer must be clearly indicated at landings and in evacuation spaces in staircases, lifts and ramps.</w:t>
            </w:r>
          </w:p>
          <w:p w14:paraId="2E3DB41F" w14:textId="77777777" w:rsidR="00717FC9" w:rsidRPr="00927455" w:rsidRDefault="00717FC9" w:rsidP="00717FC9"/>
        </w:tc>
        <w:tc>
          <w:tcPr>
            <w:tcW w:w="4524" w:type="dxa"/>
          </w:tcPr>
          <w:p w14:paraId="0AD06389" w14:textId="77777777" w:rsidR="00717FC9" w:rsidRPr="00927455" w:rsidRDefault="00717FC9" w:rsidP="00717FC9">
            <w:pPr>
              <w:rPr>
                <w:lang w:val="fr-BE"/>
              </w:rPr>
            </w:pPr>
          </w:p>
        </w:tc>
      </w:tr>
      <w:tr w:rsidR="0071410A" w:rsidRPr="00927455" w14:paraId="572104C1" w14:textId="77777777" w:rsidTr="004F667F">
        <w:tc>
          <w:tcPr>
            <w:tcW w:w="4538" w:type="dxa"/>
          </w:tcPr>
          <w:p w14:paraId="18D60A1B" w14:textId="77777777" w:rsidR="00020EC8" w:rsidRPr="00927455" w:rsidRDefault="00717FC9" w:rsidP="00693075">
            <w:pPr>
              <w:rPr>
                <w:b/>
              </w:rPr>
            </w:pPr>
            <w:r>
              <w:rPr>
                <w:b/>
              </w:rPr>
              <w:t xml:space="preserve">3.8 Fire brigade operations</w:t>
            </w:r>
          </w:p>
          <w:p w14:paraId="664E5F56" w14:textId="77777777" w:rsidR="00717FC9" w:rsidRPr="00927455" w:rsidRDefault="00717FC9" w:rsidP="00693075">
            <w:pPr>
              <w:rPr>
                <w:b/>
              </w:rPr>
            </w:pPr>
          </w:p>
        </w:tc>
        <w:tc>
          <w:tcPr>
            <w:tcW w:w="4524" w:type="dxa"/>
          </w:tcPr>
          <w:p w14:paraId="56821308" w14:textId="77777777" w:rsidR="00E20A1E" w:rsidRPr="00927455" w:rsidRDefault="00E20A1E" w:rsidP="00693075">
            <w:pPr>
              <w:rPr>
                <w:b/>
                <w:lang w:val="fr-BE"/>
              </w:rPr>
            </w:pPr>
          </w:p>
        </w:tc>
      </w:tr>
      <w:tr w:rsidR="0071410A" w:rsidRPr="00927455" w14:paraId="17601477" w14:textId="77777777" w:rsidTr="004F667F">
        <w:tc>
          <w:tcPr>
            <w:tcW w:w="4538" w:type="dxa"/>
          </w:tcPr>
          <w:p w14:paraId="28C03AB4" w14:textId="77777777" w:rsidR="00020EC8" w:rsidRPr="00927455" w:rsidRDefault="0020246B" w:rsidP="00693075">
            <w:r>
              <w:t xml:space="preserve">3.8.1 Fire brigade routes</w:t>
            </w:r>
          </w:p>
          <w:p w14:paraId="7198D604" w14:textId="77777777" w:rsidR="0020246B" w:rsidRPr="00927455" w:rsidRDefault="0020246B" w:rsidP="00693075">
            <w:pPr>
              <w:rPr>
                <w:lang w:val="fr-BE"/>
              </w:rPr>
            </w:pPr>
          </w:p>
        </w:tc>
        <w:tc>
          <w:tcPr>
            <w:tcW w:w="4524" w:type="dxa"/>
          </w:tcPr>
          <w:p w14:paraId="244C1F78" w14:textId="77777777" w:rsidR="00EC15E5" w:rsidRPr="00927455" w:rsidRDefault="00EC15E5" w:rsidP="00693075">
            <w:pPr>
              <w:rPr>
                <w:lang w:val="fr-BE"/>
              </w:rPr>
            </w:pPr>
          </w:p>
        </w:tc>
      </w:tr>
      <w:tr w:rsidR="0071410A" w:rsidRPr="00CD661C" w14:paraId="608A3DB9" w14:textId="77777777" w:rsidTr="004F667F">
        <w:tc>
          <w:tcPr>
            <w:tcW w:w="4538" w:type="dxa"/>
          </w:tcPr>
          <w:p w14:paraId="5BFDD2D9" w14:textId="77777777" w:rsidR="00EC15E5" w:rsidRPr="00927455" w:rsidRDefault="00FA2073" w:rsidP="00EC15E5">
            <w:r>
              <w:t xml:space="preserve">The special requirements on fire brigade routes depend on the protection type of the parking level.</w:t>
            </w:r>
          </w:p>
          <w:p w14:paraId="338EC2D2" w14:textId="77777777" w:rsidR="00FA2073" w:rsidRPr="00927455" w:rsidRDefault="00FA2073" w:rsidP="00EC15E5"/>
        </w:tc>
        <w:tc>
          <w:tcPr>
            <w:tcW w:w="4524" w:type="dxa"/>
          </w:tcPr>
          <w:p w14:paraId="2DB053C3" w14:textId="77777777" w:rsidR="00EC15E5" w:rsidRPr="00927455" w:rsidRDefault="00EC15E5" w:rsidP="00EC15E5">
            <w:pPr>
              <w:jc w:val="both"/>
              <w:rPr>
                <w:bCs/>
                <w:lang w:val="fr-BE"/>
              </w:rPr>
            </w:pPr>
          </w:p>
        </w:tc>
      </w:tr>
      <w:tr w:rsidR="0071410A" w:rsidRPr="00927455" w14:paraId="67854009" w14:textId="77777777" w:rsidTr="004F667F">
        <w:tc>
          <w:tcPr>
            <w:tcW w:w="4538" w:type="dxa"/>
          </w:tcPr>
          <w:p w14:paraId="326ED2E6" w14:textId="77777777" w:rsidR="00EC15E5" w:rsidRPr="00927455" w:rsidRDefault="00FA2073" w:rsidP="00EC15E5">
            <w:r>
              <w:t xml:space="preserve">3.8.1.1 Protection type ‘SHEV’</w:t>
            </w:r>
          </w:p>
          <w:p w14:paraId="609DA296" w14:textId="77777777" w:rsidR="00FA2073" w:rsidRPr="00927455" w:rsidRDefault="00FA2073" w:rsidP="00EC15E5">
            <w:pPr>
              <w:rPr>
                <w:lang w:val="fr-BE"/>
              </w:rPr>
            </w:pPr>
          </w:p>
        </w:tc>
        <w:tc>
          <w:tcPr>
            <w:tcW w:w="4524" w:type="dxa"/>
          </w:tcPr>
          <w:p w14:paraId="510FD5AD" w14:textId="77777777" w:rsidR="00EC15E5" w:rsidRPr="00927455" w:rsidRDefault="00EC15E5" w:rsidP="00EC15E5">
            <w:pPr>
              <w:rPr>
                <w:lang w:val="fr-BE"/>
              </w:rPr>
            </w:pPr>
          </w:p>
        </w:tc>
      </w:tr>
      <w:tr w:rsidR="0071410A" w:rsidRPr="00CD661C" w14:paraId="0D2A7774" w14:textId="77777777" w:rsidTr="004F667F">
        <w:tc>
          <w:tcPr>
            <w:tcW w:w="4538" w:type="dxa"/>
          </w:tcPr>
          <w:p w14:paraId="7DF69293" w14:textId="77777777" w:rsidR="00FA2073" w:rsidRPr="00927455" w:rsidRDefault="00FA2073" w:rsidP="00FA2073">
            <w:r>
              <w:t xml:space="preserve">Fire brigade operations must be possible:</w:t>
            </w:r>
          </w:p>
          <w:p w14:paraId="77621486" w14:textId="77777777" w:rsidR="00FA2073" w:rsidRPr="00927455" w:rsidRDefault="00FA2073" w:rsidP="00FA2073">
            <w:r>
              <w:t xml:space="preserve">- either via a ramp without vehicle parking zones;</w:t>
            </w:r>
          </w:p>
          <w:p w14:paraId="08BA5417" w14:textId="77777777" w:rsidR="00FA2073" w:rsidRPr="00927455" w:rsidRDefault="00FA2073" w:rsidP="00FA2073">
            <w:r>
              <w:t xml:space="preserve">- or directly from the car park entrance intended for fire brigade operations (see also the point 7.2 of the Annex 1).</w:t>
            </w:r>
          </w:p>
          <w:p w14:paraId="6F38B01F" w14:textId="77777777" w:rsidR="00FA2073" w:rsidRPr="00927455" w:rsidRDefault="00FA2073" w:rsidP="00FA2073"/>
          <w:p w14:paraId="6CC9972F" w14:textId="77777777" w:rsidR="00FA2073" w:rsidRPr="00927455" w:rsidRDefault="00FA2073" w:rsidP="00FA2073">
            <w:r>
              <w:t xml:space="preserve">Access to an affected subcompartment from this ramp or the car park entrance intended for fire brigade operations must be:</w:t>
            </w:r>
          </w:p>
          <w:p w14:paraId="0CB9E515" w14:textId="77777777" w:rsidR="00FA2073" w:rsidRPr="00927455" w:rsidRDefault="00FA2073" w:rsidP="00FA2073">
            <w:r>
              <w:t xml:space="preserve">- either direct;</w:t>
            </w:r>
          </w:p>
          <w:p w14:paraId="5296059C" w14:textId="77777777" w:rsidR="00EC15E5" w:rsidRPr="00927455" w:rsidRDefault="00FA2073" w:rsidP="00FA2073">
            <w:r>
              <w:t xml:space="preserve">- or through no more than one other subcompartment.</w:t>
            </w:r>
          </w:p>
          <w:p w14:paraId="6062073D" w14:textId="77777777" w:rsidR="00FA2073" w:rsidRPr="00927455" w:rsidRDefault="00FA2073" w:rsidP="00FA2073"/>
        </w:tc>
        <w:tc>
          <w:tcPr>
            <w:tcW w:w="4524" w:type="dxa"/>
          </w:tcPr>
          <w:p w14:paraId="3CE736B4" w14:textId="77777777" w:rsidR="00EC15E5" w:rsidRPr="00927455" w:rsidRDefault="00EC15E5" w:rsidP="00EC15E5">
            <w:pPr>
              <w:rPr>
                <w:lang w:val="fr-BE"/>
              </w:rPr>
            </w:pPr>
          </w:p>
        </w:tc>
      </w:tr>
      <w:tr w:rsidR="0071410A" w:rsidRPr="00927455" w14:paraId="230FCDDD" w14:textId="77777777" w:rsidTr="004F667F">
        <w:tc>
          <w:tcPr>
            <w:tcW w:w="4538" w:type="dxa"/>
          </w:tcPr>
          <w:p w14:paraId="31354B5F" w14:textId="77777777" w:rsidR="00EC15E5" w:rsidRPr="00927455" w:rsidRDefault="00FA2073" w:rsidP="00EC15E5">
            <w:r>
              <w:t xml:space="preserve">3.8.1.2 Protection type ‘Sprinkler’</w:t>
            </w:r>
          </w:p>
          <w:p w14:paraId="6499581F" w14:textId="77777777" w:rsidR="00FA2073" w:rsidRPr="00927455" w:rsidRDefault="00FA2073" w:rsidP="00EC15E5">
            <w:pPr>
              <w:rPr>
                <w:lang w:val="fr-BE"/>
              </w:rPr>
            </w:pPr>
          </w:p>
        </w:tc>
        <w:tc>
          <w:tcPr>
            <w:tcW w:w="4524" w:type="dxa"/>
          </w:tcPr>
          <w:p w14:paraId="668F507E" w14:textId="77777777" w:rsidR="00EC15E5" w:rsidRPr="00927455" w:rsidRDefault="00EC15E5" w:rsidP="00EC15E5">
            <w:pPr>
              <w:rPr>
                <w:lang w:val="fr-BE"/>
              </w:rPr>
            </w:pPr>
          </w:p>
        </w:tc>
      </w:tr>
      <w:tr w:rsidR="0071410A" w:rsidRPr="00CD661C" w14:paraId="2F1B8625" w14:textId="77777777" w:rsidTr="004F667F">
        <w:tc>
          <w:tcPr>
            <w:tcW w:w="4538" w:type="dxa"/>
          </w:tcPr>
          <w:p w14:paraId="305953D4" w14:textId="77777777" w:rsidR="00FA2073" w:rsidRPr="00927455" w:rsidRDefault="00FA2073" w:rsidP="00FA2073">
            <w:r>
              <w:t xml:space="preserve">Fire brigade operations must be possible:</w:t>
            </w:r>
          </w:p>
          <w:p w14:paraId="6DF1BCDC" w14:textId="77777777" w:rsidR="00FA2073" w:rsidRPr="00927455" w:rsidRDefault="00FA2073" w:rsidP="00FA2073">
            <w:r>
              <w:t xml:space="preserve">- either via a ramp without vehicle parking zones;</w:t>
            </w:r>
          </w:p>
          <w:p w14:paraId="6DE743BF" w14:textId="77777777" w:rsidR="00FA2073" w:rsidRPr="00927455" w:rsidRDefault="00FA2073" w:rsidP="00FA2073">
            <w:r>
              <w:t xml:space="preserve">- or via a car park exit (see also the point 3.7.1);</w:t>
            </w:r>
          </w:p>
          <w:p w14:paraId="5C1EF218" w14:textId="77777777" w:rsidR="00FA2073" w:rsidRPr="00927455" w:rsidRDefault="00FA2073" w:rsidP="00FA2073">
            <w:r>
              <w:t xml:space="preserve">- or directly from the car park entrance intended for fire brigade operations (see also the point 7.2 of the Annex 1).</w:t>
            </w:r>
          </w:p>
          <w:p w14:paraId="2A3A585D" w14:textId="77777777" w:rsidR="00FA2073" w:rsidRPr="00927455" w:rsidRDefault="00FA2073" w:rsidP="00FA2073"/>
          <w:p w14:paraId="1B5CB2DE" w14:textId="77777777" w:rsidR="00EC15E5" w:rsidRPr="00927455" w:rsidRDefault="00FA2073" w:rsidP="00FA2073">
            <w:r>
              <w:t xml:space="preserve">Access to an affected subcompartment from this ramp, the car park exit or the car park entrance intended for fire brigade operations must be direct.</w:t>
            </w:r>
          </w:p>
          <w:p w14:paraId="4E46A246" w14:textId="77777777" w:rsidR="00FA2073" w:rsidRPr="00927455" w:rsidRDefault="00FA2073" w:rsidP="00FA2073"/>
        </w:tc>
        <w:tc>
          <w:tcPr>
            <w:tcW w:w="4524" w:type="dxa"/>
          </w:tcPr>
          <w:p w14:paraId="57E2B3E0" w14:textId="77777777" w:rsidR="00EC15E5" w:rsidRPr="00927455" w:rsidRDefault="00EC15E5" w:rsidP="00EC15E5">
            <w:pPr>
              <w:rPr>
                <w:lang w:val="fr-BE"/>
              </w:rPr>
            </w:pPr>
          </w:p>
        </w:tc>
      </w:tr>
      <w:tr w:rsidR="0071410A" w:rsidRPr="00CD661C" w14:paraId="744E5AC6" w14:textId="77777777" w:rsidTr="004F667F">
        <w:tc>
          <w:tcPr>
            <w:tcW w:w="4538" w:type="dxa"/>
          </w:tcPr>
          <w:p w14:paraId="4DF61740" w14:textId="77777777" w:rsidR="00EC15E5" w:rsidRPr="00927455" w:rsidRDefault="00FA2073" w:rsidP="00EC15E5">
            <w:r>
              <w:t xml:space="preserve">3.8.1.3 Protection type ‘Ventilation opening’</w:t>
            </w:r>
          </w:p>
          <w:p w14:paraId="74E6DBF9" w14:textId="77777777" w:rsidR="00FA2073" w:rsidRPr="00927455" w:rsidRDefault="00FA2073" w:rsidP="00EC15E5">
            <w:pPr>
              <w:rPr>
                <w:lang w:val="fr-BE"/>
              </w:rPr>
            </w:pPr>
          </w:p>
        </w:tc>
        <w:tc>
          <w:tcPr>
            <w:tcW w:w="4524" w:type="dxa"/>
          </w:tcPr>
          <w:p w14:paraId="0E3076E8" w14:textId="77777777" w:rsidR="00EC15E5" w:rsidRPr="00927455" w:rsidRDefault="00EC15E5" w:rsidP="00EC15E5">
            <w:pPr>
              <w:rPr>
                <w:lang w:val="fr-BE"/>
              </w:rPr>
            </w:pPr>
          </w:p>
        </w:tc>
      </w:tr>
      <w:tr w:rsidR="0071410A" w:rsidRPr="00CD661C" w14:paraId="2D4CD65C" w14:textId="77777777" w:rsidTr="004F667F">
        <w:tc>
          <w:tcPr>
            <w:tcW w:w="4538" w:type="dxa"/>
          </w:tcPr>
          <w:p w14:paraId="7CFD5C7B" w14:textId="77777777" w:rsidR="00FA2073" w:rsidRPr="00927455" w:rsidRDefault="00FA2073" w:rsidP="00FA2073">
            <w:r>
              <w:t xml:space="preserve">Fire brigade operations must be possible:</w:t>
            </w:r>
          </w:p>
          <w:p w14:paraId="1ED1D2F2" w14:textId="77777777" w:rsidR="00FA2073" w:rsidRPr="00927455" w:rsidRDefault="00FA2073" w:rsidP="00FA2073">
            <w:r>
              <w:t xml:space="preserve">- either via a ramp without vehicle parking zones;</w:t>
            </w:r>
          </w:p>
          <w:p w14:paraId="729655EB" w14:textId="77777777" w:rsidR="00FA2073" w:rsidRPr="00927455" w:rsidRDefault="00FA2073" w:rsidP="00FA2073">
            <w:r>
              <w:t xml:space="preserve">- or directly from the car park entrance intended for fire brigade operations (see also the point 7.2 of the Annex 1).</w:t>
            </w:r>
          </w:p>
          <w:p w14:paraId="0C6B0791" w14:textId="77777777" w:rsidR="00FA2073" w:rsidRPr="00927455" w:rsidRDefault="00FA2073" w:rsidP="00FA2073"/>
          <w:p w14:paraId="010E0E6F" w14:textId="77777777" w:rsidR="00EC15E5" w:rsidRPr="00927455" w:rsidRDefault="00FA2073" w:rsidP="00FA2073">
            <w:r>
              <w:t xml:space="preserve">Access to an affected subcompartment from this ramp or the car park entrance intended for fire brigade operations must be direct.</w:t>
            </w:r>
          </w:p>
          <w:p w14:paraId="134C7A1D" w14:textId="77777777" w:rsidR="00FA2073" w:rsidRPr="00927455" w:rsidRDefault="00FA2073" w:rsidP="00FA2073"/>
        </w:tc>
        <w:tc>
          <w:tcPr>
            <w:tcW w:w="4524" w:type="dxa"/>
          </w:tcPr>
          <w:p w14:paraId="12F3C803" w14:textId="77777777" w:rsidR="00EC15E5" w:rsidRPr="00927455" w:rsidRDefault="00EC15E5" w:rsidP="00EC15E5">
            <w:pPr>
              <w:rPr>
                <w:lang w:val="fr-BE"/>
              </w:rPr>
            </w:pPr>
          </w:p>
        </w:tc>
      </w:tr>
      <w:tr w:rsidR="0071410A" w:rsidRPr="00CD661C" w14:paraId="44894567" w14:textId="77777777" w:rsidTr="004F667F">
        <w:tc>
          <w:tcPr>
            <w:tcW w:w="4538" w:type="dxa"/>
          </w:tcPr>
          <w:p w14:paraId="77C854E5" w14:textId="77777777" w:rsidR="00EC15E5" w:rsidRPr="00927455" w:rsidRDefault="00FA2073" w:rsidP="00EC15E5">
            <w:r>
              <w:t xml:space="preserve">3.8.1.4 Protection type ‘SHEV &amp; sprinkler’ or ‘Open’</w:t>
            </w:r>
          </w:p>
          <w:p w14:paraId="5B6DCE59" w14:textId="77777777" w:rsidR="00FA2073" w:rsidRPr="00927455" w:rsidRDefault="00FA2073" w:rsidP="00EC15E5">
            <w:pPr>
              <w:rPr>
                <w:lang w:val="fr-BE"/>
              </w:rPr>
            </w:pPr>
          </w:p>
        </w:tc>
        <w:tc>
          <w:tcPr>
            <w:tcW w:w="4524" w:type="dxa"/>
          </w:tcPr>
          <w:p w14:paraId="671FA852" w14:textId="77777777" w:rsidR="00EC15E5" w:rsidRPr="00927455" w:rsidRDefault="00EC15E5" w:rsidP="00EC15E5">
            <w:pPr>
              <w:rPr>
                <w:lang w:val="fr-BE"/>
              </w:rPr>
            </w:pPr>
          </w:p>
        </w:tc>
      </w:tr>
      <w:tr w:rsidR="0071410A" w:rsidRPr="00CD661C" w14:paraId="65F9425D" w14:textId="77777777" w:rsidTr="004F667F">
        <w:tc>
          <w:tcPr>
            <w:tcW w:w="4538" w:type="dxa"/>
          </w:tcPr>
          <w:p w14:paraId="613864AC" w14:textId="77777777" w:rsidR="00FA2073" w:rsidRPr="00927455" w:rsidRDefault="00FA2073" w:rsidP="00FA2073">
            <w:r>
              <w:t xml:space="preserve">Fire brigade operations must be possible:</w:t>
            </w:r>
          </w:p>
          <w:p w14:paraId="4B7AF5AC" w14:textId="77777777" w:rsidR="00FA2073" w:rsidRPr="00927455" w:rsidRDefault="00FA2073" w:rsidP="00FA2073">
            <w:r>
              <w:t xml:space="preserve">- either via a ramp without vehicle parking zones;</w:t>
            </w:r>
          </w:p>
          <w:p w14:paraId="472FA37F" w14:textId="77777777" w:rsidR="00FA2073" w:rsidRPr="00927455" w:rsidRDefault="00FA2073" w:rsidP="00FA2073">
            <w:r>
              <w:t xml:space="preserve">- or via a car park exit (see also the point 3.7.1);</w:t>
            </w:r>
          </w:p>
          <w:p w14:paraId="09A01B14" w14:textId="77777777" w:rsidR="00FA2073" w:rsidRPr="00927455" w:rsidRDefault="00FA2073" w:rsidP="00FA2073">
            <w:r>
              <w:t xml:space="preserve">- or directly from the car park entrance intended for fire brigade operations (see also the point 7.2 of the Annex 1).</w:t>
            </w:r>
          </w:p>
          <w:p w14:paraId="5E3B7CDF" w14:textId="77777777" w:rsidR="00FA2073" w:rsidRPr="00927455" w:rsidRDefault="00FA2073" w:rsidP="00FA2073"/>
          <w:p w14:paraId="2B32501A" w14:textId="77777777" w:rsidR="00EC15E5" w:rsidRPr="00927455" w:rsidRDefault="00FA2073" w:rsidP="00FA2073">
            <w:r>
              <w:t xml:space="preserve">Subcompartmentalisation does not apply to car parks with the protection type ‘SHEV &amp; sprinkler’ or ‘Open’ (see also the point 3.3.5).</w:t>
            </w:r>
          </w:p>
          <w:p w14:paraId="4437CE29" w14:textId="77777777" w:rsidR="00FA2073" w:rsidRPr="00927455" w:rsidRDefault="00FA2073" w:rsidP="00FA2073"/>
        </w:tc>
        <w:tc>
          <w:tcPr>
            <w:tcW w:w="4524" w:type="dxa"/>
          </w:tcPr>
          <w:p w14:paraId="1B10938D" w14:textId="77777777" w:rsidR="00EC15E5" w:rsidRPr="00927455" w:rsidRDefault="00EC15E5" w:rsidP="00EC15E5">
            <w:pPr>
              <w:rPr>
                <w:lang w:val="fr-BE"/>
              </w:rPr>
            </w:pPr>
          </w:p>
        </w:tc>
      </w:tr>
      <w:tr w:rsidR="0071410A" w:rsidRPr="00CD661C" w14:paraId="7F26F064" w14:textId="77777777" w:rsidTr="004F667F">
        <w:tc>
          <w:tcPr>
            <w:tcW w:w="4538" w:type="dxa"/>
          </w:tcPr>
          <w:p w14:paraId="2673E831" w14:textId="77777777" w:rsidR="00EC15E5" w:rsidRPr="00927455" w:rsidRDefault="00AF1C10" w:rsidP="00EC15E5">
            <w:r>
              <w:t xml:space="preserve">3.8.2 Central monitoring and control station</w:t>
            </w:r>
          </w:p>
          <w:p w14:paraId="479F63B0" w14:textId="77777777" w:rsidR="00AF1C10" w:rsidRPr="00927455" w:rsidRDefault="00AF1C10" w:rsidP="00EC15E5">
            <w:pPr>
              <w:rPr>
                <w:lang w:val="fr-BE"/>
              </w:rPr>
            </w:pPr>
          </w:p>
        </w:tc>
        <w:tc>
          <w:tcPr>
            <w:tcW w:w="4524" w:type="dxa"/>
          </w:tcPr>
          <w:p w14:paraId="0D9DF0AE" w14:textId="77777777" w:rsidR="00EC15E5" w:rsidRPr="00927455" w:rsidRDefault="00EC15E5" w:rsidP="00EC15E5">
            <w:pPr>
              <w:rPr>
                <w:lang w:val="fr-BE"/>
              </w:rPr>
            </w:pPr>
          </w:p>
        </w:tc>
      </w:tr>
      <w:tr w:rsidR="0071410A" w:rsidRPr="00CD661C" w14:paraId="52424235" w14:textId="77777777" w:rsidTr="004F667F">
        <w:tc>
          <w:tcPr>
            <w:tcW w:w="4538" w:type="dxa"/>
          </w:tcPr>
          <w:p w14:paraId="13E11A7A" w14:textId="16C56CC3" w:rsidR="00EC15E5" w:rsidRPr="00927455" w:rsidRDefault="00AF1C10" w:rsidP="00EC15E5">
            <w:r>
              <w:t xml:space="preserve">Every car park entrance intended for fire brigade operations must bear signalling that is clearly visible and recognisable for the fire brigade and that indicates whether the car park features a central monitoring and control station and if so, its location in the building.</w:t>
            </w:r>
          </w:p>
          <w:p w14:paraId="3DC16E65" w14:textId="77777777" w:rsidR="00AF1C10" w:rsidRPr="00927455" w:rsidRDefault="00AF1C10" w:rsidP="00EC15E5"/>
        </w:tc>
        <w:tc>
          <w:tcPr>
            <w:tcW w:w="4524" w:type="dxa"/>
          </w:tcPr>
          <w:p w14:paraId="7A2AAD2B" w14:textId="77777777" w:rsidR="00EC15E5" w:rsidRPr="00927455" w:rsidRDefault="00EC15E5" w:rsidP="00EC15E5">
            <w:pPr>
              <w:rPr>
                <w:lang w:val="fr-BE"/>
              </w:rPr>
            </w:pPr>
          </w:p>
        </w:tc>
      </w:tr>
      <w:tr w:rsidR="0071410A" w:rsidRPr="00927455" w14:paraId="1C28201B" w14:textId="77777777" w:rsidTr="004F667F">
        <w:tc>
          <w:tcPr>
            <w:tcW w:w="4538" w:type="dxa"/>
          </w:tcPr>
          <w:p w14:paraId="52F2C132" w14:textId="77777777" w:rsidR="00EC15E5" w:rsidRPr="00927455" w:rsidRDefault="00AF1C10" w:rsidP="00EC15E5">
            <w:r>
              <w:t xml:space="preserve">3.8.3 Car park plans</w:t>
            </w:r>
          </w:p>
          <w:p w14:paraId="45EA821E" w14:textId="77777777" w:rsidR="00AF1C10" w:rsidRPr="00927455" w:rsidRDefault="00AF1C10" w:rsidP="00EC15E5">
            <w:pPr>
              <w:rPr>
                <w:lang w:val="fr-BE"/>
              </w:rPr>
            </w:pPr>
          </w:p>
        </w:tc>
        <w:tc>
          <w:tcPr>
            <w:tcW w:w="4524" w:type="dxa"/>
          </w:tcPr>
          <w:p w14:paraId="062D8A87" w14:textId="77777777" w:rsidR="00EC15E5" w:rsidRPr="00927455" w:rsidRDefault="00EC15E5" w:rsidP="00EC15E5">
            <w:pPr>
              <w:rPr>
                <w:lang w:val="fr-BE"/>
              </w:rPr>
            </w:pPr>
          </w:p>
        </w:tc>
      </w:tr>
      <w:tr w:rsidR="0071410A" w:rsidRPr="00CD661C" w14:paraId="108A8081" w14:textId="77777777" w:rsidTr="004F667F">
        <w:tc>
          <w:tcPr>
            <w:tcW w:w="4538" w:type="dxa"/>
          </w:tcPr>
          <w:p w14:paraId="4A647517" w14:textId="62F7971E" w:rsidR="00AF1C10" w:rsidRPr="00927455" w:rsidRDefault="00AF1C10" w:rsidP="00AF1C10">
            <w:r>
              <w:t xml:space="preserve">Copies of the car park plans (location, plans, sections, etc.) must be available for the fire brigade in the central monitoring and control station, or if the car park lacks a central monitoring and control station, at each car park entrance intended for fire brigade operations.</w:t>
            </w:r>
          </w:p>
          <w:p w14:paraId="0AECBF90" w14:textId="77777777" w:rsidR="00AF1C10" w:rsidRPr="00927455" w:rsidRDefault="00AF1C10" w:rsidP="00AF1C10"/>
          <w:p w14:paraId="377DA060" w14:textId="77777777" w:rsidR="00EC15E5" w:rsidRPr="00927455" w:rsidRDefault="00AF1C10" w:rsidP="00AF1C10">
            <w:r>
              <w:t xml:space="preserve">These plans must indicate the protection facilities, extinguishers and fire brigade routes.</w:t>
            </w:r>
          </w:p>
          <w:p w14:paraId="697E4B07" w14:textId="77777777" w:rsidR="00AF1C10" w:rsidRPr="00927455" w:rsidRDefault="00AF1C10" w:rsidP="00AF1C10"/>
        </w:tc>
        <w:tc>
          <w:tcPr>
            <w:tcW w:w="4524" w:type="dxa"/>
          </w:tcPr>
          <w:p w14:paraId="15E51605" w14:textId="77777777" w:rsidR="00EC15E5" w:rsidRPr="00927455" w:rsidRDefault="00EC15E5" w:rsidP="00EC15E5">
            <w:pPr>
              <w:rPr>
                <w:lang w:val="fr-BE"/>
              </w:rPr>
            </w:pPr>
          </w:p>
        </w:tc>
      </w:tr>
      <w:tr w:rsidR="0071410A" w:rsidRPr="00CD661C" w14:paraId="53B8A33A" w14:textId="77777777" w:rsidTr="004F667F">
        <w:tc>
          <w:tcPr>
            <w:tcW w:w="4538" w:type="dxa"/>
          </w:tcPr>
          <w:p w14:paraId="2C70A1AB" w14:textId="77777777" w:rsidR="00EC15E5" w:rsidRPr="00927455" w:rsidRDefault="00EC15E5" w:rsidP="00EC15E5">
            <w:pPr>
              <w:rPr>
                <w:lang w:val="fr-BE"/>
              </w:rPr>
            </w:pPr>
          </w:p>
        </w:tc>
        <w:tc>
          <w:tcPr>
            <w:tcW w:w="4524" w:type="dxa"/>
          </w:tcPr>
          <w:p w14:paraId="77F6D790" w14:textId="77777777" w:rsidR="00EC15E5" w:rsidRPr="00927455" w:rsidRDefault="00EC15E5" w:rsidP="00EC15E5">
            <w:pPr>
              <w:rPr>
                <w:lang w:val="fr-BE"/>
              </w:rPr>
            </w:pPr>
          </w:p>
        </w:tc>
      </w:tr>
      <w:tr w:rsidR="00A54DA4" w:rsidRPr="00CD661C" w14:paraId="10B221F8" w14:textId="77777777" w:rsidTr="002C47D6">
        <w:tc>
          <w:tcPr>
            <w:tcW w:w="4538" w:type="dxa"/>
          </w:tcPr>
          <w:p w14:paraId="6279E835" w14:textId="2E08D0D2" w:rsidR="00A54DA4" w:rsidRPr="00927455" w:rsidRDefault="00A54DA4" w:rsidP="002C47D6">
            <w:r>
              <w:rPr>
                <w:b/>
              </w:rPr>
              <w:t xml:space="preserve">Article 42.</w:t>
            </w:r>
            <w:r>
              <w:rPr>
                <w:b/>
              </w:rPr>
              <w:t xml:space="preserve"> </w:t>
            </w:r>
            <w:r>
              <w:t xml:space="preserve">In the Annex 7 to the same decree, a point 4 is inserted, containing points 4.1 to 4.9, reading:</w:t>
            </w:r>
          </w:p>
          <w:p w14:paraId="79CE2765" w14:textId="77777777" w:rsidR="00A54DA4" w:rsidRPr="00927455" w:rsidRDefault="00A54DA4" w:rsidP="002C47D6"/>
        </w:tc>
        <w:tc>
          <w:tcPr>
            <w:tcW w:w="4524" w:type="dxa"/>
          </w:tcPr>
          <w:p w14:paraId="102C5B2A" w14:textId="77777777" w:rsidR="00A54DA4" w:rsidRPr="00927455" w:rsidRDefault="00A54DA4" w:rsidP="002C47D6">
            <w:pPr>
              <w:rPr>
                <w:lang w:val="fr-BE"/>
              </w:rPr>
            </w:pPr>
          </w:p>
        </w:tc>
      </w:tr>
      <w:tr w:rsidR="00A54DA4" w:rsidRPr="00CD661C" w14:paraId="60D2F704" w14:textId="77777777" w:rsidTr="002C47D6">
        <w:tc>
          <w:tcPr>
            <w:tcW w:w="4538" w:type="dxa"/>
          </w:tcPr>
          <w:p w14:paraId="1CCDD40E" w14:textId="77777777" w:rsidR="00A54DA4" w:rsidRPr="00927455" w:rsidRDefault="00A54DA4" w:rsidP="002C47D6">
            <w:pPr>
              <w:rPr>
                <w:b/>
                <w:lang w:val="fr-BE"/>
              </w:rPr>
            </w:pPr>
          </w:p>
        </w:tc>
        <w:tc>
          <w:tcPr>
            <w:tcW w:w="4524" w:type="dxa"/>
          </w:tcPr>
          <w:p w14:paraId="1F4CCFF7" w14:textId="77777777" w:rsidR="00A54DA4" w:rsidRPr="00927455" w:rsidRDefault="00A54DA4" w:rsidP="002C47D6">
            <w:pPr>
              <w:rPr>
                <w:b/>
                <w:lang w:val="fr-BE"/>
              </w:rPr>
            </w:pPr>
          </w:p>
        </w:tc>
      </w:tr>
      <w:tr w:rsidR="00A54DA4" w:rsidRPr="00927455" w14:paraId="65F27C13" w14:textId="77777777" w:rsidTr="002C47D6">
        <w:tc>
          <w:tcPr>
            <w:tcW w:w="4538" w:type="dxa"/>
          </w:tcPr>
          <w:p w14:paraId="185B4ED0" w14:textId="298DB871" w:rsidR="00A54DA4" w:rsidRPr="00927455" w:rsidRDefault="00A54DA4" w:rsidP="002C47D6">
            <w:pPr>
              <w:rPr>
                <w:b/>
              </w:rPr>
            </w:pPr>
            <w:r>
              <w:t xml:space="preserve">‘</w:t>
            </w:r>
            <w:r>
              <w:rPr>
                <w:b/>
              </w:rPr>
              <w:t xml:space="preserve">4. BOILER SECTIONS</w:t>
            </w:r>
          </w:p>
          <w:p w14:paraId="01EB4CCB" w14:textId="77777777" w:rsidR="00A54DA4" w:rsidRPr="00927455" w:rsidRDefault="00A54DA4" w:rsidP="002C47D6">
            <w:pPr>
              <w:rPr>
                <w:b/>
              </w:rPr>
            </w:pPr>
          </w:p>
        </w:tc>
        <w:tc>
          <w:tcPr>
            <w:tcW w:w="4524" w:type="dxa"/>
          </w:tcPr>
          <w:p w14:paraId="4F50B311" w14:textId="77777777" w:rsidR="00A54DA4" w:rsidRPr="00927455" w:rsidRDefault="00A54DA4" w:rsidP="002C47D6">
            <w:pPr>
              <w:rPr>
                <w:b/>
              </w:rPr>
            </w:pPr>
          </w:p>
        </w:tc>
      </w:tr>
      <w:tr w:rsidR="004848C7" w:rsidRPr="00927455" w14:paraId="0AA68A8F" w14:textId="77777777" w:rsidTr="002C47D6">
        <w:tc>
          <w:tcPr>
            <w:tcW w:w="4538" w:type="dxa"/>
          </w:tcPr>
          <w:p w14:paraId="6CE13EC2" w14:textId="77777777" w:rsidR="004848C7" w:rsidRPr="00927455" w:rsidRDefault="004848C7" w:rsidP="004848C7">
            <w:pPr>
              <w:rPr>
                <w:b/>
              </w:rPr>
            </w:pPr>
            <w:r>
              <w:rPr>
                <w:b/>
              </w:rPr>
              <w:t xml:space="preserve">4.1 Subject matter</w:t>
            </w:r>
          </w:p>
          <w:p w14:paraId="726F8A01" w14:textId="7AAD7EAA" w:rsidR="004848C7" w:rsidRPr="00927455" w:rsidRDefault="004848C7" w:rsidP="004848C7"/>
        </w:tc>
        <w:tc>
          <w:tcPr>
            <w:tcW w:w="4524" w:type="dxa"/>
          </w:tcPr>
          <w:p w14:paraId="3C0E462A" w14:textId="2769DDA1" w:rsidR="004848C7" w:rsidRPr="00927455" w:rsidRDefault="004848C7" w:rsidP="004848C7">
            <w:pPr>
              <w:rPr>
                <w:lang w:val="fr-BE"/>
              </w:rPr>
            </w:pPr>
          </w:p>
        </w:tc>
      </w:tr>
      <w:tr w:rsidR="004848C7" w:rsidRPr="00CD661C" w14:paraId="40A9B5AC" w14:textId="77777777" w:rsidTr="002C47D6">
        <w:tc>
          <w:tcPr>
            <w:tcW w:w="4538" w:type="dxa"/>
          </w:tcPr>
          <w:p w14:paraId="62F11872" w14:textId="77777777" w:rsidR="004848C7" w:rsidRPr="00927455" w:rsidRDefault="004848C7" w:rsidP="004848C7">
            <w:pPr>
              <w:jc w:val="both"/>
            </w:pPr>
            <w:r>
              <w:t xml:space="preserve">This chapter sets out the conditions that the design, construction and layout of boiler sections must meet in order to:</w:t>
            </w:r>
          </w:p>
          <w:p w14:paraId="5643B530" w14:textId="77777777" w:rsidR="004848C7" w:rsidRPr="00927455" w:rsidRDefault="004848C7" w:rsidP="004848C7">
            <w:pPr>
              <w:jc w:val="both"/>
            </w:pPr>
          </w:p>
          <w:p w14:paraId="7E8AE23A" w14:textId="77777777" w:rsidR="004848C7" w:rsidRPr="00927455" w:rsidRDefault="004848C7" w:rsidP="004848C7">
            <w:pPr>
              <w:numPr>
                <w:ilvl w:val="0"/>
                <w:numId w:val="13"/>
              </w:numPr>
              <w:jc w:val="both"/>
            </w:pPr>
            <w:r>
              <w:t xml:space="preserve">prevent fires from starting, growing and spreading;</w:t>
            </w:r>
          </w:p>
          <w:p w14:paraId="3115CB93" w14:textId="77777777" w:rsidR="004848C7" w:rsidRPr="00927455" w:rsidRDefault="004848C7" w:rsidP="004848C7">
            <w:pPr>
              <w:numPr>
                <w:ilvl w:val="0"/>
                <w:numId w:val="13"/>
              </w:numPr>
              <w:jc w:val="both"/>
            </w:pPr>
            <w:r>
              <w:t xml:space="preserve">guarantee the safety of persons present;</w:t>
            </w:r>
          </w:p>
          <w:p w14:paraId="2C2F8DA9" w14:textId="77777777" w:rsidR="004848C7" w:rsidRPr="00927455" w:rsidRDefault="004848C7" w:rsidP="004848C7">
            <w:pPr>
              <w:numPr>
                <w:ilvl w:val="0"/>
                <w:numId w:val="13"/>
              </w:numPr>
              <w:jc w:val="both"/>
            </w:pPr>
            <w:r>
              <w:t xml:space="preserve">facilitate potential fire brigade operations.</w:t>
            </w:r>
          </w:p>
          <w:p w14:paraId="7F064A50" w14:textId="77777777" w:rsidR="004848C7" w:rsidRPr="00927455" w:rsidRDefault="004848C7" w:rsidP="004848C7"/>
        </w:tc>
        <w:tc>
          <w:tcPr>
            <w:tcW w:w="4524" w:type="dxa"/>
          </w:tcPr>
          <w:p w14:paraId="2F5DE868" w14:textId="77777777" w:rsidR="004848C7" w:rsidRPr="00927455" w:rsidRDefault="004848C7" w:rsidP="004848C7">
            <w:pPr>
              <w:rPr>
                <w:lang w:val="fr-BE"/>
              </w:rPr>
            </w:pPr>
          </w:p>
        </w:tc>
      </w:tr>
      <w:tr w:rsidR="004848C7" w:rsidRPr="00927455" w14:paraId="25BFCFC8" w14:textId="77777777" w:rsidTr="002C47D6">
        <w:tc>
          <w:tcPr>
            <w:tcW w:w="4538" w:type="dxa"/>
          </w:tcPr>
          <w:p w14:paraId="2306E0C7" w14:textId="77777777" w:rsidR="004848C7" w:rsidRPr="00927455" w:rsidRDefault="004848C7" w:rsidP="004848C7">
            <w:pPr>
              <w:rPr>
                <w:b/>
              </w:rPr>
            </w:pPr>
            <w:r>
              <w:rPr>
                <w:b/>
              </w:rPr>
              <w:t xml:space="preserve">4.2 Scope</w:t>
            </w:r>
          </w:p>
          <w:p w14:paraId="499BD9F7" w14:textId="2874C719" w:rsidR="004848C7" w:rsidRPr="00927455" w:rsidRDefault="004848C7" w:rsidP="004848C7"/>
        </w:tc>
        <w:tc>
          <w:tcPr>
            <w:tcW w:w="4524" w:type="dxa"/>
          </w:tcPr>
          <w:p w14:paraId="7B05BA0F" w14:textId="349D0E5C" w:rsidR="004848C7" w:rsidRPr="00927455" w:rsidRDefault="004848C7" w:rsidP="004848C7">
            <w:pPr>
              <w:rPr>
                <w:lang w:val="fr-BE"/>
              </w:rPr>
            </w:pPr>
          </w:p>
        </w:tc>
      </w:tr>
      <w:tr w:rsidR="004848C7" w:rsidRPr="00CD661C" w14:paraId="098ACFD8" w14:textId="77777777" w:rsidTr="002C47D6">
        <w:tc>
          <w:tcPr>
            <w:tcW w:w="4538" w:type="dxa"/>
          </w:tcPr>
          <w:p w14:paraId="096DB800" w14:textId="77777777" w:rsidR="004848C7" w:rsidRPr="00927455" w:rsidRDefault="004848C7" w:rsidP="004848C7">
            <w:r>
              <w:t xml:space="preserve">The provisions of this chapter apply to the boiler sections referred to in the point 5.1.2.2 of the Annexes 2/1, 3/1 and 4/1 to this Decree.</w:t>
            </w:r>
          </w:p>
          <w:p w14:paraId="01308442" w14:textId="6399415F" w:rsidR="004848C7" w:rsidRPr="00927455" w:rsidRDefault="004848C7" w:rsidP="004848C7"/>
        </w:tc>
        <w:tc>
          <w:tcPr>
            <w:tcW w:w="4524" w:type="dxa"/>
          </w:tcPr>
          <w:p w14:paraId="3D4E8D2D" w14:textId="55EFA058" w:rsidR="004848C7" w:rsidRPr="00927455" w:rsidRDefault="004848C7" w:rsidP="004848C7">
            <w:pPr>
              <w:rPr>
                <w:lang w:val="fr-BE"/>
              </w:rPr>
            </w:pPr>
          </w:p>
        </w:tc>
      </w:tr>
      <w:tr w:rsidR="004848C7" w:rsidRPr="00927455" w14:paraId="259E8E2A" w14:textId="77777777" w:rsidTr="002C47D6">
        <w:tc>
          <w:tcPr>
            <w:tcW w:w="4538" w:type="dxa"/>
          </w:tcPr>
          <w:p w14:paraId="69F77F78" w14:textId="77777777" w:rsidR="004848C7" w:rsidRPr="00927455" w:rsidRDefault="004848C7" w:rsidP="004848C7">
            <w:pPr>
              <w:rPr>
                <w:b/>
              </w:rPr>
            </w:pPr>
            <w:r>
              <w:rPr>
                <w:b/>
              </w:rPr>
              <w:t xml:space="preserve">4.3 General</w:t>
            </w:r>
          </w:p>
          <w:p w14:paraId="6DA2B145" w14:textId="404D20FE" w:rsidR="004848C7" w:rsidRPr="00927455" w:rsidRDefault="004848C7" w:rsidP="004848C7"/>
        </w:tc>
        <w:tc>
          <w:tcPr>
            <w:tcW w:w="4524" w:type="dxa"/>
          </w:tcPr>
          <w:p w14:paraId="157787B9" w14:textId="74DAB408" w:rsidR="004848C7" w:rsidRPr="00927455" w:rsidRDefault="004848C7" w:rsidP="004848C7">
            <w:pPr>
              <w:rPr>
                <w:lang w:val="fr-BE"/>
              </w:rPr>
            </w:pPr>
          </w:p>
        </w:tc>
      </w:tr>
      <w:tr w:rsidR="004848C7" w:rsidRPr="00CD661C" w14:paraId="4C2E0C4A" w14:textId="77777777" w:rsidTr="002C47D6">
        <w:tc>
          <w:tcPr>
            <w:tcW w:w="4538" w:type="dxa"/>
          </w:tcPr>
          <w:p w14:paraId="76C64440" w14:textId="77777777" w:rsidR="004848C7" w:rsidRPr="00927455" w:rsidRDefault="004848C7" w:rsidP="004848C7">
            <w:r>
              <w:t xml:space="preserve">Fuel burning appliances cannot be installed in staircases or evacuation routes.</w:t>
            </w:r>
          </w:p>
          <w:p w14:paraId="6A776BEE" w14:textId="4F331C01" w:rsidR="004848C7" w:rsidRPr="00927455" w:rsidRDefault="004848C7" w:rsidP="004848C7"/>
        </w:tc>
        <w:tc>
          <w:tcPr>
            <w:tcW w:w="4524" w:type="dxa"/>
          </w:tcPr>
          <w:p w14:paraId="02748C11" w14:textId="6BD8FE3C" w:rsidR="004848C7" w:rsidRPr="00927455" w:rsidRDefault="004848C7" w:rsidP="004848C7">
            <w:pPr>
              <w:rPr>
                <w:lang w:val="fr-BE"/>
              </w:rPr>
            </w:pPr>
          </w:p>
        </w:tc>
      </w:tr>
      <w:tr w:rsidR="004848C7" w:rsidRPr="00CD661C" w14:paraId="0D3DA33C" w14:textId="77777777" w:rsidTr="002C47D6">
        <w:tc>
          <w:tcPr>
            <w:tcW w:w="4538" w:type="dxa"/>
          </w:tcPr>
          <w:p w14:paraId="3DA6E873" w14:textId="77777777" w:rsidR="004848C7" w:rsidRPr="00927455" w:rsidRDefault="004848C7" w:rsidP="004848C7">
            <w:pPr>
              <w:rPr>
                <w:b/>
              </w:rPr>
            </w:pPr>
            <w:r>
              <w:rPr>
                <w:b/>
              </w:rPr>
              <w:t xml:space="preserve">4.4 Liquefied petroleum gas storage and pressure reduction facilities</w:t>
            </w:r>
          </w:p>
          <w:p w14:paraId="1993B1B4" w14:textId="111A6BD1" w:rsidR="004848C7" w:rsidRPr="00927455" w:rsidRDefault="004848C7" w:rsidP="004848C7"/>
        </w:tc>
        <w:tc>
          <w:tcPr>
            <w:tcW w:w="4524" w:type="dxa"/>
          </w:tcPr>
          <w:p w14:paraId="52151118" w14:textId="4BE3012C" w:rsidR="004848C7" w:rsidRPr="00927455" w:rsidRDefault="004848C7" w:rsidP="004848C7">
            <w:pPr>
              <w:rPr>
                <w:lang w:val="fr-BE"/>
              </w:rPr>
            </w:pPr>
          </w:p>
        </w:tc>
      </w:tr>
      <w:tr w:rsidR="004848C7" w:rsidRPr="00CD661C" w14:paraId="60C862AC" w14:textId="77777777" w:rsidTr="002C47D6">
        <w:tc>
          <w:tcPr>
            <w:tcW w:w="4538" w:type="dxa"/>
          </w:tcPr>
          <w:p w14:paraId="1AC7E7FF" w14:textId="77777777" w:rsidR="004848C7" w:rsidRPr="00927455" w:rsidRDefault="004848C7" w:rsidP="004848C7">
            <w:pPr>
              <w:jc w:val="both"/>
            </w:pPr>
            <w:r>
              <w:t xml:space="preserve">Storage and pressure reduction facilities for liquefied petroleum gas used to heat the building and produce hot water must be located outside the building.</w:t>
            </w:r>
            <w:r>
              <w:t xml:space="preserve"> </w:t>
            </w:r>
          </w:p>
          <w:p w14:paraId="021BEF91" w14:textId="77777777" w:rsidR="004848C7" w:rsidRPr="00927455" w:rsidRDefault="004848C7" w:rsidP="004848C7">
            <w:pPr>
              <w:jc w:val="both"/>
            </w:pPr>
          </w:p>
          <w:p w14:paraId="0015379B" w14:textId="77777777" w:rsidR="004848C7" w:rsidRPr="00927455" w:rsidRDefault="004848C7" w:rsidP="004848C7">
            <w:r>
              <w:t xml:space="preserve">This requirement does not apply to individual second-stage pressure regulator(s) immediately before the fuel burning appliance of a facility with dual decompression that meets the requirements of standard NBN D 51-006.</w:t>
            </w:r>
          </w:p>
          <w:p w14:paraId="1B002AC4" w14:textId="21C0E4C6" w:rsidR="004848C7" w:rsidRPr="00927455" w:rsidRDefault="004848C7" w:rsidP="004848C7"/>
        </w:tc>
        <w:tc>
          <w:tcPr>
            <w:tcW w:w="4524" w:type="dxa"/>
          </w:tcPr>
          <w:p w14:paraId="70755846" w14:textId="56D5FF1B" w:rsidR="004848C7" w:rsidRPr="00927455" w:rsidRDefault="004848C7" w:rsidP="004848C7">
            <w:pPr>
              <w:rPr>
                <w:lang w:val="fr-BE"/>
              </w:rPr>
            </w:pPr>
          </w:p>
        </w:tc>
      </w:tr>
      <w:tr w:rsidR="004848C7" w:rsidRPr="00CD661C" w14:paraId="01FBA3D5" w14:textId="77777777" w:rsidTr="002C47D6">
        <w:tc>
          <w:tcPr>
            <w:tcW w:w="4538" w:type="dxa"/>
          </w:tcPr>
          <w:p w14:paraId="641D5555" w14:textId="77777777" w:rsidR="004848C7" w:rsidRPr="00927455" w:rsidRDefault="004848C7" w:rsidP="004848C7">
            <w:pPr>
              <w:rPr>
                <w:b/>
              </w:rPr>
            </w:pPr>
            <w:r>
              <w:rPr>
                <w:b/>
              </w:rPr>
              <w:t xml:space="preserve">4.5 Boiler rooms with fuel burning appliances with a cumulative combustion rate of greater than or equal to 75 kW</w:t>
            </w:r>
          </w:p>
          <w:p w14:paraId="15F7ED73" w14:textId="366BE42D" w:rsidR="004848C7" w:rsidRPr="00927455" w:rsidRDefault="004848C7" w:rsidP="004848C7"/>
        </w:tc>
        <w:tc>
          <w:tcPr>
            <w:tcW w:w="4524" w:type="dxa"/>
          </w:tcPr>
          <w:p w14:paraId="635D00FC" w14:textId="3E33B219" w:rsidR="004848C7" w:rsidRPr="00927455" w:rsidRDefault="004848C7" w:rsidP="004848C7">
            <w:pPr>
              <w:rPr>
                <w:lang w:val="fr-BE"/>
              </w:rPr>
            </w:pPr>
          </w:p>
        </w:tc>
      </w:tr>
      <w:tr w:rsidR="004848C7" w:rsidRPr="00927455" w14:paraId="6A981538" w14:textId="77777777" w:rsidTr="002C47D6">
        <w:tc>
          <w:tcPr>
            <w:tcW w:w="4538" w:type="dxa"/>
          </w:tcPr>
          <w:p w14:paraId="725A70D6" w14:textId="77777777" w:rsidR="004848C7" w:rsidRPr="00927455" w:rsidRDefault="004848C7" w:rsidP="004848C7">
            <w:pPr>
              <w:rPr>
                <w:b/>
              </w:rPr>
            </w:pPr>
            <w:r>
              <w:rPr>
                <w:b/>
              </w:rPr>
              <w:t xml:space="preserve">4.5.1 Permitted equipment</w:t>
            </w:r>
          </w:p>
          <w:p w14:paraId="76FD8D21" w14:textId="7DB70C29" w:rsidR="004848C7" w:rsidRPr="00927455" w:rsidRDefault="004848C7" w:rsidP="004848C7"/>
        </w:tc>
        <w:tc>
          <w:tcPr>
            <w:tcW w:w="4524" w:type="dxa"/>
          </w:tcPr>
          <w:p w14:paraId="781C23D8" w14:textId="6FE66169" w:rsidR="004848C7" w:rsidRPr="00927455" w:rsidRDefault="004848C7" w:rsidP="004848C7">
            <w:pPr>
              <w:rPr>
                <w:lang w:val="fr-BE"/>
              </w:rPr>
            </w:pPr>
          </w:p>
        </w:tc>
      </w:tr>
      <w:tr w:rsidR="004848C7" w:rsidRPr="00CD661C" w14:paraId="2F740B4A" w14:textId="77777777" w:rsidTr="002C47D6">
        <w:tc>
          <w:tcPr>
            <w:tcW w:w="4538" w:type="dxa"/>
          </w:tcPr>
          <w:p w14:paraId="1D270BF4" w14:textId="77777777" w:rsidR="004848C7" w:rsidRPr="00927455" w:rsidRDefault="004848C7" w:rsidP="004848C7">
            <w:pPr>
              <w:jc w:val="both"/>
            </w:pPr>
            <w:r>
              <w:t xml:space="preserve">Only the following equipment is permitted in boiler rooms with fuel burning appliances with a cumulative combustion rate of greater than or equal to 75 kW:</w:t>
            </w:r>
          </w:p>
          <w:p w14:paraId="7E025A01" w14:textId="77777777" w:rsidR="004848C7" w:rsidRPr="00927455" w:rsidRDefault="004848C7" w:rsidP="004848C7">
            <w:pPr>
              <w:numPr>
                <w:ilvl w:val="0"/>
                <w:numId w:val="14"/>
              </w:numPr>
              <w:jc w:val="both"/>
            </w:pPr>
            <w:r>
              <w:t xml:space="preserve">equipment directly involved in operation of the fuel burning appliances, such as loaders, ash treatment equipment and individual second-stage pressure regulators as referred to in the exception in point 4.4;</w:t>
            </w:r>
          </w:p>
          <w:p w14:paraId="3B43D010" w14:textId="77777777" w:rsidR="004848C7" w:rsidRPr="00927455" w:rsidRDefault="004848C7" w:rsidP="004848C7">
            <w:pPr>
              <w:numPr>
                <w:ilvl w:val="0"/>
                <w:numId w:val="14"/>
              </w:numPr>
              <w:jc w:val="both"/>
            </w:pPr>
            <w:r>
              <w:t xml:space="preserve">electrical equipment intended for central heating or for hot water production, such as electric heat pumps, electric boilers and electric water heaters;</w:t>
            </w:r>
          </w:p>
          <w:p w14:paraId="3391C311" w14:textId="77777777" w:rsidR="004848C7" w:rsidRPr="00927455" w:rsidRDefault="004848C7" w:rsidP="004848C7">
            <w:pPr>
              <w:numPr>
                <w:ilvl w:val="0"/>
                <w:numId w:val="14"/>
              </w:numPr>
              <w:jc w:val="both"/>
            </w:pPr>
            <w:r>
              <w:t xml:space="preserve">equipment that is part of the central heating system or hot water production system such as pumps, circulators, compression pump units, heat exchangers, hot water accumulator tanks, fuel treatment equipment (preheater, filter, pump, etc.), water meters and electrical panels dedicated to the boiler section;</w:t>
            </w:r>
            <w:r>
              <w:t xml:space="preserve"> </w:t>
            </w:r>
          </w:p>
          <w:p w14:paraId="79F52110" w14:textId="77777777" w:rsidR="004848C7" w:rsidRPr="00927455" w:rsidRDefault="004848C7" w:rsidP="004848C7">
            <w:pPr>
              <w:numPr>
                <w:ilvl w:val="0"/>
                <w:numId w:val="14"/>
              </w:numPr>
              <w:jc w:val="both"/>
            </w:pPr>
            <w:r>
              <w:t xml:space="preserve">task-oriented equipment, such as artificial lighting and gas meters, and safety equipment, such as firefighting facilities, dedicated to the boiler section;</w:t>
            </w:r>
            <w:r>
              <w:t xml:space="preserve"> </w:t>
            </w:r>
          </w:p>
          <w:p w14:paraId="4E4494B4" w14:textId="77777777" w:rsidR="004848C7" w:rsidRPr="00927455" w:rsidRDefault="004848C7" w:rsidP="004848C7">
            <w:pPr>
              <w:numPr>
                <w:ilvl w:val="0"/>
                <w:numId w:val="14"/>
              </w:numPr>
              <w:jc w:val="both"/>
            </w:pPr>
            <w:r>
              <w:t xml:space="preserve">ventilation equipment dedicated to the boiler section;</w:t>
            </w:r>
          </w:p>
          <w:p w14:paraId="34B3CF1A" w14:textId="77777777" w:rsidR="004848C7" w:rsidRPr="00927455" w:rsidRDefault="004848C7" w:rsidP="004848C7">
            <w:pPr>
              <w:numPr>
                <w:ilvl w:val="0"/>
                <w:numId w:val="14"/>
              </w:numPr>
              <w:jc w:val="both"/>
            </w:pPr>
            <w:r>
              <w:t xml:space="preserve">water treatment equipment, such as filters and water softeners.</w:t>
            </w:r>
          </w:p>
          <w:p w14:paraId="5CEA016A" w14:textId="7481DACD" w:rsidR="004848C7" w:rsidRPr="00927455" w:rsidRDefault="004848C7" w:rsidP="004848C7">
            <w:pPr>
              <w:jc w:val="both"/>
            </w:pPr>
          </w:p>
        </w:tc>
        <w:tc>
          <w:tcPr>
            <w:tcW w:w="4524" w:type="dxa"/>
          </w:tcPr>
          <w:p w14:paraId="1845239D" w14:textId="0D453785" w:rsidR="004848C7" w:rsidRPr="00927455" w:rsidRDefault="004848C7" w:rsidP="004848C7">
            <w:pPr>
              <w:jc w:val="both"/>
              <w:rPr>
                <w:lang w:val="fr-BE"/>
              </w:rPr>
            </w:pPr>
          </w:p>
        </w:tc>
      </w:tr>
      <w:tr w:rsidR="004848C7" w:rsidRPr="00CD661C" w14:paraId="72A454AA" w14:textId="77777777" w:rsidTr="002C47D6">
        <w:tc>
          <w:tcPr>
            <w:tcW w:w="4538" w:type="dxa"/>
          </w:tcPr>
          <w:p w14:paraId="0ACC10AB" w14:textId="77777777" w:rsidR="004848C7" w:rsidRPr="00927455" w:rsidRDefault="004848C7" w:rsidP="004848C7">
            <w:pPr>
              <w:rPr>
                <w:b/>
              </w:rPr>
            </w:pPr>
            <w:r>
              <w:rPr>
                <w:b/>
              </w:rPr>
              <w:t xml:space="preserve">4.5.2 Boiler rooms fired with gaseous fuel</w:t>
            </w:r>
          </w:p>
          <w:p w14:paraId="7A2E0078" w14:textId="3B536EBD" w:rsidR="004848C7" w:rsidRPr="00927455" w:rsidRDefault="004848C7" w:rsidP="004848C7"/>
        </w:tc>
        <w:tc>
          <w:tcPr>
            <w:tcW w:w="4524" w:type="dxa"/>
          </w:tcPr>
          <w:p w14:paraId="51D4FABF" w14:textId="19D36142" w:rsidR="004848C7" w:rsidRPr="00927455" w:rsidRDefault="004848C7" w:rsidP="004848C7">
            <w:pPr>
              <w:rPr>
                <w:lang w:val="fr-BE"/>
              </w:rPr>
            </w:pPr>
          </w:p>
        </w:tc>
      </w:tr>
      <w:tr w:rsidR="000A1527" w:rsidRPr="00927455" w:rsidDel="00661C4C" w14:paraId="78A4A207" w14:textId="77777777" w:rsidTr="002C47D6">
        <w:tc>
          <w:tcPr>
            <w:tcW w:w="4538" w:type="dxa"/>
          </w:tcPr>
          <w:p w14:paraId="64AC1393" w14:textId="77777777" w:rsidR="000A1527" w:rsidRPr="00927455" w:rsidRDefault="000A1527" w:rsidP="000A1527">
            <w:pPr>
              <w:jc w:val="both"/>
            </w:pPr>
            <w:r>
              <w:t xml:space="preserve">4.5.2.1 The power supply (electricity and fuel) to the boiler room must be fitted with an automatic shut-off device.</w:t>
            </w:r>
          </w:p>
          <w:p w14:paraId="3877DF05" w14:textId="77777777" w:rsidR="000A1527" w:rsidRPr="00927455" w:rsidRDefault="000A1527" w:rsidP="000A1527">
            <w:pPr>
              <w:jc w:val="both"/>
            </w:pPr>
          </w:p>
          <w:p w14:paraId="69B39CE1" w14:textId="77777777" w:rsidR="000A1527" w:rsidRPr="00927455" w:rsidRDefault="000A1527" w:rsidP="000A1527">
            <w:pPr>
              <w:jc w:val="both"/>
            </w:pPr>
            <w:r>
              <w:t xml:space="preserve">The automatic shut-off device of the fuel supply must take the form of a solenoid valve located:</w:t>
            </w:r>
          </w:p>
          <w:p w14:paraId="2A964A51" w14:textId="77777777" w:rsidR="000A1527" w:rsidRPr="00927455" w:rsidRDefault="000A1527" w:rsidP="000A1527">
            <w:pPr>
              <w:pStyle w:val="Paragraphedeliste"/>
              <w:numPr>
                <w:ilvl w:val="0"/>
                <w:numId w:val="32"/>
              </w:numPr>
              <w:jc w:val="both"/>
            </w:pPr>
            <w:r>
              <w:t xml:space="preserve">either where the gas supply line enters the boiler room;</w:t>
            </w:r>
          </w:p>
          <w:p w14:paraId="2BF09C68" w14:textId="77777777" w:rsidR="000A1527" w:rsidRPr="00927455" w:rsidRDefault="000A1527" w:rsidP="000A1527">
            <w:pPr>
              <w:jc w:val="both"/>
            </w:pPr>
            <w:r>
              <w:t xml:space="preserve">or outdoors.</w:t>
            </w:r>
          </w:p>
          <w:p w14:paraId="17EAFB48" w14:textId="249CBC4D" w:rsidR="000A1527" w:rsidRPr="00927455" w:rsidDel="00661C4C" w:rsidRDefault="000A1527" w:rsidP="000A1527">
            <w:pPr>
              <w:jc w:val="both"/>
            </w:pPr>
          </w:p>
        </w:tc>
        <w:tc>
          <w:tcPr>
            <w:tcW w:w="4524" w:type="dxa"/>
          </w:tcPr>
          <w:p w14:paraId="2CB6B759" w14:textId="4344D3F9" w:rsidR="000A1527" w:rsidRPr="00927455" w:rsidDel="00661C4C" w:rsidRDefault="000A1527" w:rsidP="000A1527">
            <w:pPr>
              <w:jc w:val="both"/>
              <w:rPr>
                <w:rFonts w:cs="Times New Roman"/>
                <w:lang w:val="fr-BE" w:eastAsia="nl-NL"/>
              </w:rPr>
            </w:pPr>
          </w:p>
        </w:tc>
      </w:tr>
      <w:tr w:rsidR="000A1527" w:rsidRPr="00CD661C" w:rsidDel="00661C4C" w14:paraId="6E20849A" w14:textId="77777777" w:rsidTr="002C47D6">
        <w:tc>
          <w:tcPr>
            <w:tcW w:w="4538" w:type="dxa"/>
          </w:tcPr>
          <w:p w14:paraId="416F7B7D" w14:textId="77777777" w:rsidR="000A1527" w:rsidRPr="00927455" w:rsidRDefault="000A1527" w:rsidP="000A1527">
            <w:pPr>
              <w:jc w:val="both"/>
            </w:pPr>
            <w:r>
              <w:t xml:space="preserve">4.5.2.2 The boiler room must be fitted with two ventilation openings, one at top and one at bottom, each with a cross-section of at least 4 dm².</w:t>
            </w:r>
            <w:r>
              <w:t xml:space="preserve"> </w:t>
            </w:r>
            <w:r>
              <w:t xml:space="preserve">These ventilation openings must connect the boiler room to the outside, either directly or through a duct system.</w:t>
            </w:r>
            <w:r>
              <w:t xml:space="preserve"> </w:t>
            </w:r>
            <w:r>
              <w:t xml:space="preserve">In addition:</w:t>
            </w:r>
          </w:p>
          <w:p w14:paraId="6CE151F5" w14:textId="77777777" w:rsidR="000A1527" w:rsidRPr="00927455" w:rsidRDefault="000A1527" w:rsidP="000A1527">
            <w:pPr>
              <w:pStyle w:val="Paragraphedeliste"/>
              <w:numPr>
                <w:ilvl w:val="1"/>
                <w:numId w:val="23"/>
              </w:numPr>
              <w:ind w:left="360"/>
              <w:jc w:val="both"/>
            </w:pPr>
            <w:r>
              <w:t xml:space="preserve">if the fuel is lighter than air:</w:t>
            </w:r>
          </w:p>
          <w:p w14:paraId="1B122542" w14:textId="77777777" w:rsidR="000A1527" w:rsidRPr="00927455" w:rsidRDefault="000A1527" w:rsidP="000A1527">
            <w:pPr>
              <w:pStyle w:val="Paragraphedeliste"/>
              <w:numPr>
                <w:ilvl w:val="2"/>
                <w:numId w:val="23"/>
              </w:numPr>
              <w:ind w:left="720"/>
              <w:jc w:val="both"/>
            </w:pPr>
            <w:r>
              <w:t xml:space="preserve">the upper edge of the top ventilation opening must be less than 30 cm from the highest point in the boiler room;</w:t>
            </w:r>
          </w:p>
          <w:p w14:paraId="222C1531" w14:textId="77777777" w:rsidR="000A1527" w:rsidRPr="00927455" w:rsidRDefault="000A1527" w:rsidP="000A1527">
            <w:pPr>
              <w:pStyle w:val="Paragraphedeliste"/>
              <w:numPr>
                <w:ilvl w:val="2"/>
                <w:numId w:val="23"/>
              </w:numPr>
              <w:ind w:left="720"/>
              <w:jc w:val="both"/>
            </w:pPr>
            <w:r>
              <w:t xml:space="preserve">the lower edge of the bottom ventilation opening must be less than 30 cm from the lowest point in the boiler room;</w:t>
            </w:r>
          </w:p>
          <w:p w14:paraId="1035C5D5" w14:textId="77777777" w:rsidR="000A1527" w:rsidRPr="00927455" w:rsidRDefault="000A1527" w:rsidP="000A1527">
            <w:pPr>
              <w:pStyle w:val="Paragraphedeliste"/>
              <w:numPr>
                <w:ilvl w:val="2"/>
                <w:numId w:val="23"/>
              </w:numPr>
              <w:ind w:left="720"/>
              <w:jc w:val="both"/>
            </w:pPr>
            <w:r>
              <w:t xml:space="preserve">the duct or duct system of the top ventilation opening that connects the boiler room to the outside cannot feature any downward slopes.</w:t>
            </w:r>
          </w:p>
          <w:p w14:paraId="79F3255D" w14:textId="77777777" w:rsidR="000A1527" w:rsidRPr="00927455" w:rsidRDefault="000A1527" w:rsidP="000A1527">
            <w:pPr>
              <w:pStyle w:val="Paragraphedeliste"/>
              <w:numPr>
                <w:ilvl w:val="1"/>
                <w:numId w:val="23"/>
              </w:numPr>
              <w:ind w:left="360"/>
              <w:jc w:val="both"/>
            </w:pPr>
            <w:r>
              <w:t xml:space="preserve">if the fuel is heavier than air:</w:t>
            </w:r>
          </w:p>
          <w:p w14:paraId="7FED4855" w14:textId="77777777" w:rsidR="000A1527" w:rsidRPr="00927455" w:rsidRDefault="000A1527" w:rsidP="000A1527">
            <w:pPr>
              <w:pStyle w:val="Paragraphedeliste"/>
              <w:numPr>
                <w:ilvl w:val="2"/>
                <w:numId w:val="23"/>
              </w:numPr>
              <w:ind w:left="720"/>
              <w:jc w:val="both"/>
            </w:pPr>
            <w:r>
              <w:t xml:space="preserve">the upper edge of the top ventilation opening must be less than 30 cm from the highest point in the boiler room;</w:t>
            </w:r>
          </w:p>
          <w:p w14:paraId="4CFCE648" w14:textId="77777777" w:rsidR="000A1527" w:rsidRPr="00927455" w:rsidRDefault="000A1527" w:rsidP="000A1527">
            <w:pPr>
              <w:pStyle w:val="Paragraphedeliste"/>
              <w:numPr>
                <w:ilvl w:val="2"/>
                <w:numId w:val="23"/>
              </w:numPr>
              <w:ind w:left="720"/>
              <w:jc w:val="both"/>
            </w:pPr>
            <w:r>
              <w:t xml:space="preserve">the lower edge of the bottom ventilation opening must be even with the floor of the boiler room;</w:t>
            </w:r>
          </w:p>
          <w:p w14:paraId="1D1B264F" w14:textId="77777777" w:rsidR="000A1527" w:rsidRPr="00927455" w:rsidRDefault="000A1527" w:rsidP="000A1527">
            <w:pPr>
              <w:pStyle w:val="Paragraphedeliste"/>
              <w:numPr>
                <w:ilvl w:val="2"/>
                <w:numId w:val="23"/>
              </w:numPr>
              <w:ind w:left="720"/>
              <w:jc w:val="both"/>
            </w:pPr>
            <w:r>
              <w:t xml:space="preserve">the duct or duct system of the bottom ventilation opening that connects the boiler room to the outside cannot feature any upward slopes;</w:t>
            </w:r>
          </w:p>
          <w:p w14:paraId="3599697C" w14:textId="77777777" w:rsidR="000A1527" w:rsidRPr="00927455" w:rsidRDefault="000A1527" w:rsidP="000A1527">
            <w:pPr>
              <w:pStyle w:val="Paragraphedeliste"/>
              <w:numPr>
                <w:ilvl w:val="2"/>
                <w:numId w:val="23"/>
              </w:numPr>
              <w:ind w:left="720"/>
              <w:jc w:val="both"/>
            </w:pPr>
            <w:r>
              <w:t xml:space="preserve">the floors of rooms adjacent and connected to a boiler room cannot be lower than the floor of the boiler room.</w:t>
            </w:r>
          </w:p>
          <w:p w14:paraId="59708A25" w14:textId="77777777" w:rsidR="000A1527" w:rsidRPr="00927455" w:rsidRDefault="000A1527" w:rsidP="000A1527">
            <w:pPr>
              <w:pStyle w:val="Paragraphedeliste"/>
              <w:ind w:left="0"/>
              <w:jc w:val="both"/>
            </w:pPr>
          </w:p>
          <w:p w14:paraId="7EAFD394" w14:textId="77777777" w:rsidR="000A1527" w:rsidRPr="00927455" w:rsidRDefault="000A1527" w:rsidP="000A1527">
            <w:pPr>
              <w:jc w:val="both"/>
            </w:pPr>
            <w:r>
              <w:t xml:space="preserve">The ventilation openings can be fitted with motorised ventilation dampers.</w:t>
            </w:r>
          </w:p>
          <w:p w14:paraId="1CF1018F" w14:textId="1CCCFA6C" w:rsidR="000A1527" w:rsidRPr="00927455" w:rsidDel="00661C4C" w:rsidRDefault="000A1527" w:rsidP="000A1527">
            <w:pPr>
              <w:jc w:val="both"/>
            </w:pPr>
          </w:p>
        </w:tc>
        <w:tc>
          <w:tcPr>
            <w:tcW w:w="4524" w:type="dxa"/>
          </w:tcPr>
          <w:p w14:paraId="64D58371" w14:textId="2ED2DCF3" w:rsidR="000A1527" w:rsidRPr="00927455" w:rsidDel="00661C4C" w:rsidRDefault="000A1527" w:rsidP="000A1527">
            <w:pPr>
              <w:jc w:val="both"/>
              <w:rPr>
                <w:rFonts w:cs="Times New Roman"/>
                <w:lang w:val="fr-BE" w:eastAsia="nl-NL"/>
              </w:rPr>
            </w:pPr>
          </w:p>
        </w:tc>
      </w:tr>
      <w:tr w:rsidR="000A1527" w:rsidRPr="00CD661C" w:rsidDel="00661C4C" w14:paraId="172310FA" w14:textId="77777777" w:rsidTr="002C47D6">
        <w:tc>
          <w:tcPr>
            <w:tcW w:w="4538" w:type="dxa"/>
          </w:tcPr>
          <w:p w14:paraId="72027B51" w14:textId="77777777" w:rsidR="000A1527" w:rsidRPr="00927455" w:rsidRDefault="000A1527" w:rsidP="000A1527">
            <w:pPr>
              <w:jc w:val="both"/>
            </w:pPr>
            <w:r>
              <w:t xml:space="preserve">4.5.2.3 The automatic shut-off device of the power supply and the opening of any motorised ventilation dampers must be activated as follows:</w:t>
            </w:r>
          </w:p>
          <w:p w14:paraId="6441BCAC" w14:textId="77777777" w:rsidR="000A1527" w:rsidRPr="00927455" w:rsidRDefault="000A1527" w:rsidP="000A1527">
            <w:pPr>
              <w:pStyle w:val="Paragraphedeliste"/>
              <w:numPr>
                <w:ilvl w:val="0"/>
                <w:numId w:val="22"/>
              </w:numPr>
              <w:jc w:val="both"/>
            </w:pPr>
            <w:r>
              <w:t xml:space="preserve">automatically on detection of a gas leak in the boiler room;</w:t>
            </w:r>
          </w:p>
          <w:p w14:paraId="48F00234" w14:textId="77777777" w:rsidR="000A1527" w:rsidRPr="00927455" w:rsidRDefault="000A1527" w:rsidP="000A1527">
            <w:pPr>
              <w:pStyle w:val="Paragraphedeliste"/>
              <w:numPr>
                <w:ilvl w:val="0"/>
                <w:numId w:val="22"/>
              </w:numPr>
              <w:jc w:val="both"/>
            </w:pPr>
            <w:r>
              <w:t xml:space="preserve">automatically on detection of a fire in the boiler room;</w:t>
            </w:r>
          </w:p>
          <w:p w14:paraId="655D266A" w14:textId="77777777" w:rsidR="000A1527" w:rsidRPr="00927455" w:rsidRDefault="000A1527" w:rsidP="000A1527">
            <w:pPr>
              <w:jc w:val="both"/>
            </w:pPr>
            <w:r>
              <w:t xml:space="preserve">automatically in the event of a failure of the energy source, power supply or control system (positive safety device).</w:t>
            </w:r>
          </w:p>
          <w:p w14:paraId="280905AF" w14:textId="6117B3E4" w:rsidR="000A1527" w:rsidRPr="00927455" w:rsidDel="00661C4C" w:rsidRDefault="000A1527" w:rsidP="000A1527">
            <w:pPr>
              <w:jc w:val="both"/>
            </w:pPr>
          </w:p>
        </w:tc>
        <w:tc>
          <w:tcPr>
            <w:tcW w:w="4524" w:type="dxa"/>
          </w:tcPr>
          <w:p w14:paraId="7D2BDF51" w14:textId="326C9885" w:rsidR="000A1527" w:rsidRPr="00927455" w:rsidDel="00661C4C" w:rsidRDefault="000A1527" w:rsidP="000A1527">
            <w:pPr>
              <w:jc w:val="both"/>
              <w:rPr>
                <w:rFonts w:cs="Times New Roman"/>
                <w:lang w:val="fr-BE" w:eastAsia="nl-NL"/>
              </w:rPr>
            </w:pPr>
          </w:p>
        </w:tc>
      </w:tr>
      <w:tr w:rsidR="000A1527" w:rsidRPr="00CD661C" w:rsidDel="00661C4C" w14:paraId="76FAF495" w14:textId="77777777" w:rsidTr="002C47D6">
        <w:tc>
          <w:tcPr>
            <w:tcW w:w="4538" w:type="dxa"/>
          </w:tcPr>
          <w:p w14:paraId="74EC291D" w14:textId="77777777" w:rsidR="000A1527" w:rsidRPr="00927455" w:rsidRDefault="000A1527" w:rsidP="000A1527">
            <w:pPr>
              <w:jc w:val="both"/>
            </w:pPr>
            <w:r>
              <w:t xml:space="preserve">4.5.2.4 Moreover, it must be possible to switch off the power supply manually (electricity and fuel) from controls located outside the boiler room.</w:t>
            </w:r>
          </w:p>
          <w:p w14:paraId="22F22C6E" w14:textId="77777777" w:rsidR="000A1527" w:rsidRPr="00927455" w:rsidRDefault="000A1527" w:rsidP="000A1527">
            <w:pPr>
              <w:jc w:val="both"/>
            </w:pPr>
          </w:p>
          <w:p w14:paraId="3F9F4B35" w14:textId="77777777" w:rsidR="000A1527" w:rsidRPr="00927455" w:rsidRDefault="000A1527" w:rsidP="000A1527">
            <w:pPr>
              <w:jc w:val="both"/>
            </w:pPr>
            <w:r>
              <w:t xml:space="preserve">The manual shut-down device for the fuel supply must be a manually operated section valve installed in the gas supply to the boiler section, enabling emergency operation of the gas supply without tools from outside the boiler section, in an accessible location outside the building or an unlocked space within the building, at a distance of no more than 20 m from the boiler section.</w:t>
            </w:r>
          </w:p>
          <w:p w14:paraId="5D150286" w14:textId="77777777" w:rsidR="000A1527" w:rsidRPr="00927455" w:rsidRDefault="000A1527" w:rsidP="000A1527">
            <w:pPr>
              <w:jc w:val="both"/>
            </w:pPr>
          </w:p>
          <w:p w14:paraId="22F854FB" w14:textId="77777777" w:rsidR="000A1527" w:rsidRPr="00927455" w:rsidRDefault="000A1527" w:rsidP="000A1527">
            <w:pPr>
              <w:jc w:val="both"/>
            </w:pPr>
            <w:r>
              <w:t xml:space="preserve">The shut-off valve of the gas meter or intermediate gas meter can serve as this section valve if the above conditions are met.</w:t>
            </w:r>
          </w:p>
          <w:p w14:paraId="5CEA051D" w14:textId="6A8C49CE" w:rsidR="000A1527" w:rsidRPr="00927455" w:rsidDel="00661C4C" w:rsidRDefault="000A1527" w:rsidP="000A1527">
            <w:pPr>
              <w:jc w:val="both"/>
            </w:pPr>
          </w:p>
        </w:tc>
        <w:tc>
          <w:tcPr>
            <w:tcW w:w="4524" w:type="dxa"/>
          </w:tcPr>
          <w:p w14:paraId="18D32339" w14:textId="6BBCFA53" w:rsidR="000A1527" w:rsidRPr="00927455" w:rsidDel="00661C4C" w:rsidRDefault="000A1527" w:rsidP="000A1527">
            <w:pPr>
              <w:jc w:val="both"/>
              <w:rPr>
                <w:rFonts w:cs="Times New Roman"/>
                <w:lang w:val="fr-BE" w:eastAsia="nl-NL"/>
              </w:rPr>
            </w:pPr>
          </w:p>
        </w:tc>
      </w:tr>
      <w:tr w:rsidR="004848C7" w:rsidRPr="00927455" w14:paraId="24FF62E6" w14:textId="77777777" w:rsidTr="002C47D6">
        <w:tc>
          <w:tcPr>
            <w:tcW w:w="4538" w:type="dxa"/>
          </w:tcPr>
          <w:p w14:paraId="102A0060" w14:textId="77777777" w:rsidR="004848C7" w:rsidRPr="00927455" w:rsidRDefault="004848C7" w:rsidP="004848C7">
            <w:pPr>
              <w:rPr>
                <w:b/>
              </w:rPr>
            </w:pPr>
            <w:r>
              <w:rPr>
                <w:b/>
              </w:rPr>
              <w:t xml:space="preserve">4.6 Fuel storage spaces</w:t>
            </w:r>
          </w:p>
          <w:p w14:paraId="4DFE75F1" w14:textId="5070BDB1" w:rsidR="004848C7" w:rsidRPr="00927455" w:rsidRDefault="004848C7" w:rsidP="004848C7"/>
        </w:tc>
        <w:tc>
          <w:tcPr>
            <w:tcW w:w="4524" w:type="dxa"/>
          </w:tcPr>
          <w:p w14:paraId="35FF7A30" w14:textId="4D5C37F0" w:rsidR="004848C7" w:rsidRPr="00927455" w:rsidRDefault="004848C7" w:rsidP="004848C7">
            <w:pPr>
              <w:rPr>
                <w:lang w:val="fr-BE"/>
              </w:rPr>
            </w:pPr>
          </w:p>
        </w:tc>
      </w:tr>
      <w:tr w:rsidR="004848C7" w:rsidRPr="00927455" w14:paraId="2BB2D88D" w14:textId="77777777" w:rsidTr="002C47D6">
        <w:tc>
          <w:tcPr>
            <w:tcW w:w="4538" w:type="dxa"/>
          </w:tcPr>
          <w:p w14:paraId="02E6C49A" w14:textId="77777777" w:rsidR="004848C7" w:rsidRPr="00927455" w:rsidRDefault="004848C7" w:rsidP="004848C7">
            <w:pPr>
              <w:rPr>
                <w:b/>
              </w:rPr>
            </w:pPr>
            <w:r>
              <w:rPr>
                <w:b/>
              </w:rPr>
              <w:t xml:space="preserve">4.6.1 Permitted equipment</w:t>
            </w:r>
          </w:p>
          <w:p w14:paraId="5F2E5BB1" w14:textId="75F2E922" w:rsidR="004848C7" w:rsidRPr="00927455" w:rsidRDefault="004848C7" w:rsidP="004848C7"/>
        </w:tc>
        <w:tc>
          <w:tcPr>
            <w:tcW w:w="4524" w:type="dxa"/>
          </w:tcPr>
          <w:p w14:paraId="1080791C" w14:textId="4A3286E4" w:rsidR="004848C7" w:rsidRPr="00927455" w:rsidRDefault="004848C7" w:rsidP="004848C7">
            <w:pPr>
              <w:rPr>
                <w:lang w:val="fr-BE"/>
              </w:rPr>
            </w:pPr>
          </w:p>
        </w:tc>
      </w:tr>
      <w:tr w:rsidR="004848C7" w:rsidRPr="00CD661C" w14:paraId="1D6BF0E4" w14:textId="77777777" w:rsidTr="002C47D6">
        <w:tc>
          <w:tcPr>
            <w:tcW w:w="4538" w:type="dxa"/>
          </w:tcPr>
          <w:p w14:paraId="2F90F764" w14:textId="77777777" w:rsidR="004848C7" w:rsidRPr="00927455" w:rsidRDefault="004848C7" w:rsidP="004848C7">
            <w:pPr>
              <w:jc w:val="both"/>
            </w:pPr>
            <w:r>
              <w:t xml:space="preserve">Only the following equipment is permitted in fuel storage spaces:</w:t>
            </w:r>
            <w:r>
              <w:t xml:space="preserve"> </w:t>
            </w:r>
          </w:p>
          <w:p w14:paraId="676F815B" w14:textId="77777777" w:rsidR="004848C7" w:rsidRPr="00927455" w:rsidRDefault="004848C7" w:rsidP="004848C7">
            <w:pPr>
              <w:pStyle w:val="Paragraphedeliste"/>
              <w:numPr>
                <w:ilvl w:val="0"/>
                <w:numId w:val="24"/>
              </w:numPr>
              <w:jc w:val="both"/>
            </w:pPr>
            <w:r>
              <w:t xml:space="preserve">equipment for fuel storage or transport;</w:t>
            </w:r>
          </w:p>
          <w:p w14:paraId="1B8573D0" w14:textId="77777777" w:rsidR="004848C7" w:rsidRPr="00927455" w:rsidRDefault="004848C7" w:rsidP="004848C7">
            <w:pPr>
              <w:pStyle w:val="Paragraphedeliste"/>
              <w:numPr>
                <w:ilvl w:val="0"/>
                <w:numId w:val="24"/>
              </w:numPr>
              <w:jc w:val="both"/>
            </w:pPr>
            <w:r>
              <w:t xml:space="preserve">task-oriented equipment, such as artificial lighting and gas meters, and safety equipment, such as firefighting facilities, dedicated to the boiler section;</w:t>
            </w:r>
          </w:p>
          <w:p w14:paraId="6D47A46E" w14:textId="71170771" w:rsidR="004848C7" w:rsidRPr="00927455" w:rsidRDefault="004848C7" w:rsidP="004848C7">
            <w:pPr>
              <w:pStyle w:val="Paragraphedeliste"/>
              <w:numPr>
                <w:ilvl w:val="0"/>
                <w:numId w:val="24"/>
              </w:numPr>
              <w:jc w:val="both"/>
            </w:pPr>
            <w:r>
              <w:t xml:space="preserve">ventilation equipment dedicated to the boiler section.</w:t>
            </w:r>
          </w:p>
          <w:p w14:paraId="22C7436A" w14:textId="2624CFE1" w:rsidR="004848C7" w:rsidRPr="00927455" w:rsidRDefault="004848C7" w:rsidP="004848C7"/>
        </w:tc>
        <w:tc>
          <w:tcPr>
            <w:tcW w:w="4524" w:type="dxa"/>
          </w:tcPr>
          <w:p w14:paraId="5171FFB7" w14:textId="7CC7497B" w:rsidR="004848C7" w:rsidRPr="00927455" w:rsidRDefault="004848C7" w:rsidP="004848C7">
            <w:pPr>
              <w:rPr>
                <w:lang w:val="fr-BE"/>
              </w:rPr>
            </w:pPr>
          </w:p>
        </w:tc>
      </w:tr>
      <w:tr w:rsidR="004848C7" w:rsidRPr="00927455" w14:paraId="40B2841E" w14:textId="77777777" w:rsidTr="002C47D6">
        <w:tc>
          <w:tcPr>
            <w:tcW w:w="4538" w:type="dxa"/>
          </w:tcPr>
          <w:p w14:paraId="56DB3064" w14:textId="77777777" w:rsidR="004848C7" w:rsidRPr="00927455" w:rsidRDefault="004848C7" w:rsidP="004848C7">
            <w:pPr>
              <w:rPr>
                <w:b/>
              </w:rPr>
            </w:pPr>
            <w:r>
              <w:rPr>
                <w:b/>
              </w:rPr>
              <w:t xml:space="preserve">4.6.2 Storage spaces for liquid fuel</w:t>
            </w:r>
          </w:p>
          <w:p w14:paraId="5B3E8754" w14:textId="287620F5" w:rsidR="004848C7" w:rsidRPr="00927455" w:rsidRDefault="004848C7" w:rsidP="004848C7"/>
        </w:tc>
        <w:tc>
          <w:tcPr>
            <w:tcW w:w="4524" w:type="dxa"/>
          </w:tcPr>
          <w:p w14:paraId="08DA7B22" w14:textId="14A32C07" w:rsidR="004848C7" w:rsidRPr="00927455" w:rsidRDefault="004848C7" w:rsidP="004848C7">
            <w:pPr>
              <w:rPr>
                <w:lang w:val="fr-BE"/>
              </w:rPr>
            </w:pPr>
          </w:p>
        </w:tc>
      </w:tr>
      <w:tr w:rsidR="004848C7" w:rsidRPr="00CD661C" w14:paraId="103DB688" w14:textId="77777777" w:rsidTr="002C47D6">
        <w:tc>
          <w:tcPr>
            <w:tcW w:w="4538" w:type="dxa"/>
          </w:tcPr>
          <w:p w14:paraId="42209CF2" w14:textId="77777777" w:rsidR="004848C7" w:rsidRPr="00927455" w:rsidRDefault="004848C7" w:rsidP="004848C7">
            <w:pPr>
              <w:jc w:val="both"/>
            </w:pPr>
            <w:r>
              <w:t xml:space="preserve">Fuel storage spaces must meet the requirements of Title 5 ‘Storage sites for flammable liquids’ of Book III of the Occupational Health and Safety Code [Codex over het welzijn op het werk].</w:t>
            </w:r>
          </w:p>
          <w:p w14:paraId="7831C88D" w14:textId="77777777" w:rsidR="004848C7" w:rsidRPr="00927455" w:rsidRDefault="004848C7" w:rsidP="004848C7">
            <w:pPr>
              <w:jc w:val="both"/>
            </w:pPr>
          </w:p>
          <w:p w14:paraId="28E7C4DB" w14:textId="77777777" w:rsidR="004848C7" w:rsidRPr="00927455" w:rsidRDefault="004848C7" w:rsidP="004848C7">
            <w:pPr>
              <w:jc w:val="both"/>
            </w:pPr>
            <w:r>
              <w:t xml:space="preserve">These requirements also apply to fuel storage spaces in buildings without workplaces, with the following amendments:</w:t>
            </w:r>
          </w:p>
          <w:p w14:paraId="376D49DF" w14:textId="77777777" w:rsidR="004848C7" w:rsidRPr="00927455" w:rsidRDefault="004848C7" w:rsidP="004848C7">
            <w:pPr>
              <w:pStyle w:val="Paragraphedeliste"/>
              <w:numPr>
                <w:ilvl w:val="0"/>
                <w:numId w:val="25"/>
              </w:numPr>
              <w:jc w:val="both"/>
            </w:pPr>
            <w:r>
              <w:t xml:space="preserve">Article III.5-8 and point 2.1 of Annex III.5-1, referring to the provisions of the Article 52 of the General Occupational Health and Safety Regulation [ARAB], do not apply;</w:t>
            </w:r>
          </w:p>
          <w:p w14:paraId="46D0E7F9" w14:textId="4AD70F28" w:rsidR="004848C7" w:rsidRPr="00927455" w:rsidRDefault="004848C7" w:rsidP="004848C7">
            <w:pPr>
              <w:pStyle w:val="Paragraphedeliste"/>
              <w:numPr>
                <w:ilvl w:val="0"/>
                <w:numId w:val="25"/>
              </w:numPr>
              <w:jc w:val="both"/>
            </w:pPr>
            <w:r>
              <w:t xml:space="preserve">the building manager must keep the reports from tests and airtightness checks available for the supervisory officials.</w:t>
            </w:r>
          </w:p>
          <w:p w14:paraId="46C8C28E" w14:textId="227392BC" w:rsidR="004848C7" w:rsidRPr="00927455" w:rsidRDefault="004848C7" w:rsidP="004848C7"/>
        </w:tc>
        <w:tc>
          <w:tcPr>
            <w:tcW w:w="4524" w:type="dxa"/>
          </w:tcPr>
          <w:p w14:paraId="1EDC9B47" w14:textId="1B824EF0" w:rsidR="004848C7" w:rsidRPr="00927455" w:rsidRDefault="004848C7" w:rsidP="004848C7">
            <w:pPr>
              <w:rPr>
                <w:lang w:val="fr-BE"/>
              </w:rPr>
            </w:pPr>
          </w:p>
        </w:tc>
      </w:tr>
      <w:tr w:rsidR="004848C7" w:rsidRPr="00927455" w14:paraId="6F24809A" w14:textId="77777777" w:rsidTr="002C47D6">
        <w:tc>
          <w:tcPr>
            <w:tcW w:w="4538" w:type="dxa"/>
          </w:tcPr>
          <w:p w14:paraId="0F6D17EF" w14:textId="77777777" w:rsidR="004848C7" w:rsidRPr="00927455" w:rsidRDefault="004848C7" w:rsidP="004848C7">
            <w:pPr>
              <w:rPr>
                <w:b/>
              </w:rPr>
            </w:pPr>
            <w:r>
              <w:rPr>
                <w:b/>
              </w:rPr>
              <w:t xml:space="preserve">4.6.3 Storage spaces for solid fuel</w:t>
            </w:r>
          </w:p>
          <w:p w14:paraId="17DC76F8" w14:textId="5964E9E0" w:rsidR="004848C7" w:rsidRPr="00927455" w:rsidRDefault="004848C7" w:rsidP="004848C7"/>
        </w:tc>
        <w:tc>
          <w:tcPr>
            <w:tcW w:w="4524" w:type="dxa"/>
          </w:tcPr>
          <w:p w14:paraId="7FCCCEBF" w14:textId="57E88566" w:rsidR="004848C7" w:rsidRPr="00927455" w:rsidRDefault="004848C7" w:rsidP="004848C7">
            <w:pPr>
              <w:rPr>
                <w:lang w:val="fr-BE"/>
              </w:rPr>
            </w:pPr>
          </w:p>
        </w:tc>
      </w:tr>
      <w:tr w:rsidR="004848C7" w:rsidRPr="00CD661C" w14:paraId="5916F6F8" w14:textId="77777777" w:rsidTr="002C47D6">
        <w:tc>
          <w:tcPr>
            <w:tcW w:w="4538" w:type="dxa"/>
          </w:tcPr>
          <w:p w14:paraId="3D961DB8" w14:textId="77777777" w:rsidR="004848C7" w:rsidRPr="00927455" w:rsidRDefault="004848C7" w:rsidP="004848C7">
            <w:pPr>
              <w:rPr>
                <w:b/>
              </w:rPr>
            </w:pPr>
            <w:r>
              <w:rPr>
                <w:b/>
              </w:rPr>
              <w:t xml:space="preserve">4.6.3.1 Flashback protection</w:t>
            </w:r>
          </w:p>
          <w:p w14:paraId="02DACA9E" w14:textId="0F68ABDE" w:rsidR="004848C7" w:rsidRPr="00927455" w:rsidRDefault="004848C7" w:rsidP="004848C7"/>
        </w:tc>
        <w:tc>
          <w:tcPr>
            <w:tcW w:w="4524" w:type="dxa"/>
          </w:tcPr>
          <w:p w14:paraId="1E9BC666" w14:textId="0CEABD10" w:rsidR="004848C7" w:rsidRPr="00927455" w:rsidRDefault="004848C7" w:rsidP="004848C7">
            <w:pPr>
              <w:rPr>
                <w:lang w:val="fr-BE"/>
              </w:rPr>
            </w:pPr>
          </w:p>
        </w:tc>
      </w:tr>
      <w:tr w:rsidR="004848C7" w:rsidRPr="00CD661C" w14:paraId="763EC1A3" w14:textId="77777777" w:rsidTr="002C47D6">
        <w:tc>
          <w:tcPr>
            <w:tcW w:w="4538" w:type="dxa"/>
          </w:tcPr>
          <w:p w14:paraId="5A2355B9" w14:textId="5DC60583" w:rsidR="004848C7" w:rsidRPr="00927455" w:rsidRDefault="004848C7" w:rsidP="004848C7">
            <w:r>
              <w:t xml:space="preserve">The supply system between the boiler room and the fuel storage space must be fitted with suitable equipment to prevent flashback, and thus also the spread of fire.</w:t>
            </w:r>
          </w:p>
          <w:p w14:paraId="1869E261" w14:textId="76B35DD3" w:rsidR="004848C7" w:rsidRPr="00927455" w:rsidRDefault="004848C7" w:rsidP="004848C7"/>
        </w:tc>
        <w:tc>
          <w:tcPr>
            <w:tcW w:w="4524" w:type="dxa"/>
          </w:tcPr>
          <w:p w14:paraId="311E6613" w14:textId="2517601B" w:rsidR="004848C7" w:rsidRPr="00927455" w:rsidRDefault="004848C7" w:rsidP="004848C7">
            <w:pPr>
              <w:rPr>
                <w:lang w:val="fr-BE"/>
              </w:rPr>
            </w:pPr>
          </w:p>
        </w:tc>
      </w:tr>
      <w:tr w:rsidR="004848C7" w:rsidRPr="00CD661C" w14:paraId="026EC2D4" w14:textId="77777777" w:rsidTr="002C47D6">
        <w:tc>
          <w:tcPr>
            <w:tcW w:w="4538" w:type="dxa"/>
          </w:tcPr>
          <w:p w14:paraId="047F4FE4" w14:textId="77777777" w:rsidR="004848C7" w:rsidRPr="00927455" w:rsidRDefault="004848C7" w:rsidP="004848C7">
            <w:pPr>
              <w:rPr>
                <w:b/>
              </w:rPr>
            </w:pPr>
            <w:r>
              <w:rPr>
                <w:b/>
              </w:rPr>
              <w:t xml:space="preserve">4.6.3.2 Storage space for large quantities of fuel</w:t>
            </w:r>
          </w:p>
          <w:p w14:paraId="29EA2D24" w14:textId="42F9CECC" w:rsidR="004848C7" w:rsidRPr="00927455" w:rsidRDefault="004848C7" w:rsidP="004848C7"/>
        </w:tc>
        <w:tc>
          <w:tcPr>
            <w:tcW w:w="4524" w:type="dxa"/>
          </w:tcPr>
          <w:p w14:paraId="17D28616" w14:textId="70DB58AF" w:rsidR="004848C7" w:rsidRPr="00927455" w:rsidRDefault="004848C7" w:rsidP="004848C7">
            <w:pPr>
              <w:rPr>
                <w:lang w:val="fr-BE"/>
              </w:rPr>
            </w:pPr>
          </w:p>
        </w:tc>
      </w:tr>
      <w:tr w:rsidR="004848C7" w:rsidRPr="00CD661C" w14:paraId="0B2AFAA0" w14:textId="77777777" w:rsidTr="002C47D6">
        <w:tc>
          <w:tcPr>
            <w:tcW w:w="4538" w:type="dxa"/>
          </w:tcPr>
          <w:p w14:paraId="7B09A258" w14:textId="7BDE6A68" w:rsidR="004848C7" w:rsidRPr="00927455" w:rsidRDefault="004848C7" w:rsidP="004848C7">
            <w:pPr>
              <w:jc w:val="both"/>
            </w:pPr>
            <w:r>
              <w:t xml:space="preserve">In fuel storage spaces with a capacity so large that the total fire load of the fuel storage space exceeds 187.5 GJ:</w:t>
            </w:r>
          </w:p>
          <w:p w14:paraId="7FFBA63C" w14:textId="3B6E34B6" w:rsidR="004848C7" w:rsidRPr="00927455" w:rsidRDefault="00A31C60" w:rsidP="004848C7">
            <w:pPr>
              <w:pStyle w:val="Paragraphedeliste"/>
              <w:numPr>
                <w:ilvl w:val="0"/>
                <w:numId w:val="26"/>
              </w:numPr>
              <w:jc w:val="both"/>
            </w:pPr>
            <w:r>
              <w:t xml:space="preserve">the equipment must be at least category 3 (equipment designed to provide a normal level of protection in an environment with an explosion risk that is low and of short duration) in accordance with the ATEX regulations;</w:t>
            </w:r>
          </w:p>
          <w:p w14:paraId="66143176" w14:textId="3CA05E54" w:rsidR="004848C7" w:rsidRPr="00927455" w:rsidRDefault="00A31C60" w:rsidP="004848C7">
            <w:pPr>
              <w:pStyle w:val="Paragraphedeliste"/>
              <w:numPr>
                <w:ilvl w:val="0"/>
                <w:numId w:val="26"/>
              </w:numPr>
              <w:jc w:val="both"/>
            </w:pPr>
            <w:r>
              <w:t xml:space="preserve">the electrical equipment must be at least IP 54.</w:t>
            </w:r>
          </w:p>
          <w:p w14:paraId="2F8587E0" w14:textId="77777777" w:rsidR="004848C7" w:rsidRPr="00927455" w:rsidRDefault="004848C7" w:rsidP="004848C7"/>
          <w:p w14:paraId="5C892937" w14:textId="77777777" w:rsidR="000A1527" w:rsidRPr="00927455" w:rsidRDefault="000A1527" w:rsidP="004848C7">
            <w:r>
              <w:t xml:space="preserve">In addition, these fuel storage spaces must be accessible to enable the fire brigade to operate and to remove the fuel once the fire is extinguished.</w:t>
            </w:r>
          </w:p>
          <w:p w14:paraId="3BBFFB92" w14:textId="0F98307F" w:rsidR="000A1527" w:rsidRPr="00927455" w:rsidRDefault="000A1527" w:rsidP="004848C7"/>
        </w:tc>
        <w:tc>
          <w:tcPr>
            <w:tcW w:w="4524" w:type="dxa"/>
          </w:tcPr>
          <w:p w14:paraId="4F22F557" w14:textId="03600BA9" w:rsidR="000A1527" w:rsidRPr="00927455" w:rsidRDefault="000A1527" w:rsidP="004848C7">
            <w:pPr>
              <w:jc w:val="both"/>
              <w:rPr>
                <w:lang w:val="fr-BE"/>
              </w:rPr>
            </w:pPr>
          </w:p>
        </w:tc>
      </w:tr>
      <w:tr w:rsidR="004848C7" w:rsidRPr="00CD661C" w14:paraId="4A01DB67" w14:textId="77777777" w:rsidTr="002C47D6">
        <w:tc>
          <w:tcPr>
            <w:tcW w:w="4538" w:type="dxa"/>
          </w:tcPr>
          <w:p w14:paraId="60FA164F" w14:textId="77777777" w:rsidR="004848C7" w:rsidRPr="00927455" w:rsidRDefault="004848C7" w:rsidP="004848C7">
            <w:pPr>
              <w:rPr>
                <w:b/>
              </w:rPr>
            </w:pPr>
            <w:r>
              <w:rPr>
                <w:b/>
              </w:rPr>
              <w:t xml:space="preserve">4.6.3.3 Special provisions on pellet silos</w:t>
            </w:r>
          </w:p>
          <w:p w14:paraId="78855C78" w14:textId="383EEC40" w:rsidR="004848C7" w:rsidRPr="00927455" w:rsidRDefault="004848C7" w:rsidP="004848C7"/>
        </w:tc>
        <w:tc>
          <w:tcPr>
            <w:tcW w:w="4524" w:type="dxa"/>
          </w:tcPr>
          <w:p w14:paraId="2F39731D" w14:textId="31EE7312" w:rsidR="004848C7" w:rsidRPr="00927455" w:rsidRDefault="004848C7" w:rsidP="004848C7">
            <w:pPr>
              <w:rPr>
                <w:lang w:val="fr-BE"/>
              </w:rPr>
            </w:pPr>
          </w:p>
        </w:tc>
      </w:tr>
      <w:tr w:rsidR="004848C7" w:rsidRPr="00CD661C" w14:paraId="4B6C7F02" w14:textId="77777777" w:rsidTr="002C47D6">
        <w:tc>
          <w:tcPr>
            <w:tcW w:w="4538" w:type="dxa"/>
          </w:tcPr>
          <w:p w14:paraId="52C2FF60" w14:textId="77777777" w:rsidR="004848C7" w:rsidRPr="00927455" w:rsidRDefault="004848C7" w:rsidP="004848C7">
            <w:r>
              <w:t xml:space="preserve">Pellets must be stored in silos.</w:t>
            </w:r>
            <w:r>
              <w:t xml:space="preserve"> </w:t>
            </w:r>
            <w:r>
              <w:t xml:space="preserve">In the building, these silos must be installed in a fuel storage space.</w:t>
            </w:r>
            <w:r>
              <w:t xml:space="preserve"> </w:t>
            </w:r>
            <w:r>
              <w:t xml:space="preserve">The fuel storage space can also be used directly as a silo (custom silo).</w:t>
            </w:r>
          </w:p>
          <w:p w14:paraId="0EB5CA86" w14:textId="27DC8ABB" w:rsidR="004848C7" w:rsidRPr="00927455" w:rsidRDefault="004848C7" w:rsidP="004848C7"/>
        </w:tc>
        <w:tc>
          <w:tcPr>
            <w:tcW w:w="4524" w:type="dxa"/>
          </w:tcPr>
          <w:p w14:paraId="6F2722BC" w14:textId="1D83D209" w:rsidR="004848C7" w:rsidRPr="00927455" w:rsidRDefault="004848C7" w:rsidP="004848C7">
            <w:pPr>
              <w:rPr>
                <w:lang w:val="fr-BE"/>
              </w:rPr>
            </w:pPr>
          </w:p>
        </w:tc>
      </w:tr>
      <w:tr w:rsidR="004848C7" w:rsidRPr="00927455" w14:paraId="69D381E5" w14:textId="77777777" w:rsidTr="002C47D6">
        <w:tc>
          <w:tcPr>
            <w:tcW w:w="4538" w:type="dxa"/>
          </w:tcPr>
          <w:p w14:paraId="36982B04" w14:textId="77777777" w:rsidR="004848C7" w:rsidRPr="00927455" w:rsidRDefault="00B1457B" w:rsidP="004848C7">
            <w:pPr>
              <w:rPr>
                <w:b/>
              </w:rPr>
            </w:pPr>
            <w:r>
              <w:rPr>
                <w:b/>
              </w:rPr>
              <w:t xml:space="preserve">4.6.3.3.1 Silo loading</w:t>
            </w:r>
          </w:p>
          <w:p w14:paraId="751CFBAF" w14:textId="25EE008F" w:rsidR="00B1457B" w:rsidRPr="00927455" w:rsidRDefault="00B1457B" w:rsidP="004848C7"/>
        </w:tc>
        <w:tc>
          <w:tcPr>
            <w:tcW w:w="4524" w:type="dxa"/>
          </w:tcPr>
          <w:p w14:paraId="73F06EB1" w14:textId="3DE1E4BA" w:rsidR="00B1457B" w:rsidRPr="00927455" w:rsidRDefault="00B1457B" w:rsidP="004848C7">
            <w:pPr>
              <w:rPr>
                <w:lang w:val="fr-BE"/>
              </w:rPr>
            </w:pPr>
          </w:p>
        </w:tc>
      </w:tr>
      <w:tr w:rsidR="004848C7" w:rsidRPr="00CD661C" w14:paraId="2A99DB15" w14:textId="77777777" w:rsidTr="002C47D6">
        <w:tc>
          <w:tcPr>
            <w:tcW w:w="4538" w:type="dxa"/>
          </w:tcPr>
          <w:p w14:paraId="58B5B8C0" w14:textId="77777777" w:rsidR="004848C7" w:rsidRPr="00927455" w:rsidRDefault="004848C7" w:rsidP="004848C7">
            <w:pPr>
              <w:jc w:val="both"/>
            </w:pPr>
            <w:r>
              <w:t xml:space="preserve">Pneumatic filling cannot result in an overpressure or underpressure in a silo.</w:t>
            </w:r>
            <w:r>
              <w:t xml:space="preserve"> </w:t>
            </w:r>
            <w:r>
              <w:t xml:space="preserve">The silo must be fitted with at least one connection to blow the pellets in and one connection to extract them.</w:t>
            </w:r>
          </w:p>
          <w:p w14:paraId="4E7D7604" w14:textId="77777777" w:rsidR="004848C7" w:rsidRPr="00927455" w:rsidRDefault="004848C7" w:rsidP="004848C7">
            <w:pPr>
              <w:jc w:val="both"/>
            </w:pPr>
          </w:p>
          <w:p w14:paraId="0847E377" w14:textId="77777777" w:rsidR="004848C7" w:rsidRPr="00927455" w:rsidRDefault="004848C7" w:rsidP="004848C7">
            <w:r>
              <w:t xml:space="preserve">The supply lines and their mountings must be made of steel and must be connected to the main earth terminal by a main equipotential conductor in accordance with the General Regulation on Electrical Installations [AREI].</w:t>
            </w:r>
          </w:p>
          <w:p w14:paraId="7DCB59B2" w14:textId="638BE11C" w:rsidR="00B1457B" w:rsidRPr="00927455" w:rsidRDefault="00B1457B" w:rsidP="004848C7"/>
        </w:tc>
        <w:tc>
          <w:tcPr>
            <w:tcW w:w="4524" w:type="dxa"/>
          </w:tcPr>
          <w:p w14:paraId="7D3D0FF3" w14:textId="30D31F2C" w:rsidR="00B1457B" w:rsidRPr="00927455" w:rsidRDefault="00B1457B" w:rsidP="004848C7">
            <w:pPr>
              <w:rPr>
                <w:lang w:val="fr-BE"/>
              </w:rPr>
            </w:pPr>
          </w:p>
        </w:tc>
      </w:tr>
      <w:tr w:rsidR="004848C7" w:rsidRPr="00927455" w14:paraId="5E469BE3" w14:textId="77777777" w:rsidTr="002C47D6">
        <w:tc>
          <w:tcPr>
            <w:tcW w:w="4538" w:type="dxa"/>
          </w:tcPr>
          <w:p w14:paraId="3E61D0CF" w14:textId="77777777" w:rsidR="004848C7" w:rsidRPr="00927455" w:rsidRDefault="00B1457B" w:rsidP="004848C7">
            <w:pPr>
              <w:rPr>
                <w:b/>
              </w:rPr>
            </w:pPr>
            <w:r>
              <w:rPr>
                <w:b/>
              </w:rPr>
              <w:t xml:space="preserve">4.6.3.3.2 Protection from toxic gases</w:t>
            </w:r>
          </w:p>
          <w:p w14:paraId="337E42B9" w14:textId="10C3B0C9" w:rsidR="00B1457B" w:rsidRPr="00927455" w:rsidRDefault="00B1457B" w:rsidP="004848C7"/>
        </w:tc>
        <w:tc>
          <w:tcPr>
            <w:tcW w:w="4524" w:type="dxa"/>
          </w:tcPr>
          <w:p w14:paraId="0DD277B2" w14:textId="68514E34" w:rsidR="00B1457B" w:rsidRPr="00927455" w:rsidRDefault="00B1457B" w:rsidP="004848C7">
            <w:pPr>
              <w:rPr>
                <w:lang w:val="fr-BE"/>
              </w:rPr>
            </w:pPr>
          </w:p>
        </w:tc>
      </w:tr>
      <w:tr w:rsidR="004848C7" w:rsidRPr="00CD661C" w14:paraId="37BA90B9" w14:textId="77777777" w:rsidTr="002C47D6">
        <w:tc>
          <w:tcPr>
            <w:tcW w:w="4538" w:type="dxa"/>
          </w:tcPr>
          <w:p w14:paraId="4440F54B" w14:textId="77777777" w:rsidR="004848C7" w:rsidRPr="00927455" w:rsidRDefault="004848C7" w:rsidP="004848C7">
            <w:pPr>
              <w:jc w:val="both"/>
            </w:pPr>
            <w:r>
              <w:t xml:space="preserve">Pellet degassing and fuel burning appliance faults may release toxic gases, such as carbon monoxide, into the silo.</w:t>
            </w:r>
            <w:r>
              <w:t xml:space="preserve"> </w:t>
            </w:r>
            <w:r>
              <w:t xml:space="preserve">Therefore one of the following two provisions must be applied:</w:t>
            </w:r>
          </w:p>
          <w:p w14:paraId="0B0F073B" w14:textId="77777777" w:rsidR="004848C7" w:rsidRPr="00927455" w:rsidRDefault="004848C7" w:rsidP="004848C7">
            <w:pPr>
              <w:pStyle w:val="Paragraphedeliste"/>
              <w:numPr>
                <w:ilvl w:val="0"/>
                <w:numId w:val="28"/>
              </w:numPr>
              <w:jc w:val="both"/>
            </w:pPr>
            <w:r>
              <w:t xml:space="preserve">either the silo must be airtight;</w:t>
            </w:r>
          </w:p>
          <w:p w14:paraId="5A9512C3" w14:textId="21250075" w:rsidR="004848C7" w:rsidRPr="00927455" w:rsidRDefault="004848C7" w:rsidP="004848C7">
            <w:pPr>
              <w:pStyle w:val="Paragraphedeliste"/>
              <w:numPr>
                <w:ilvl w:val="0"/>
                <w:numId w:val="28"/>
              </w:numPr>
              <w:jc w:val="both"/>
            </w:pPr>
            <w:r>
              <w:t xml:space="preserve">or the fuel storage space must be airtight with respect to the rest of the building and vented to the outside, either directly or through a duct system, to prevent the accumulation of toxic gases.</w:t>
            </w:r>
          </w:p>
          <w:p w14:paraId="23FDA2C0" w14:textId="77777777" w:rsidR="004848C7" w:rsidRPr="00927455" w:rsidRDefault="004848C7" w:rsidP="004848C7">
            <w:pPr>
              <w:jc w:val="both"/>
            </w:pPr>
          </w:p>
          <w:p w14:paraId="54596668" w14:textId="77777777" w:rsidR="004848C7" w:rsidRPr="00927455" w:rsidRDefault="004848C7" w:rsidP="004848C7">
            <w:pPr>
              <w:jc w:val="both"/>
            </w:pPr>
            <w:r>
              <w:t xml:space="preserve">At the entrance to the fuel storage space, special signalling must indicate the safety precautions:</w:t>
            </w:r>
          </w:p>
          <w:p w14:paraId="4190A745" w14:textId="77777777" w:rsidR="00B1457B" w:rsidRPr="00927455" w:rsidRDefault="004848C7" w:rsidP="00B1457B">
            <w:pPr>
              <w:pStyle w:val="Paragraphedeliste"/>
              <w:numPr>
                <w:ilvl w:val="0"/>
                <w:numId w:val="27"/>
              </w:numPr>
              <w:jc w:val="both"/>
            </w:pPr>
            <w:r>
              <w:t xml:space="preserve">only authorised persons are permitted to access fuel storage space;</w:t>
            </w:r>
          </w:p>
          <w:p w14:paraId="261955FF" w14:textId="223760FE" w:rsidR="004848C7" w:rsidRPr="00927455" w:rsidRDefault="004848C7" w:rsidP="00B1457B">
            <w:pPr>
              <w:pStyle w:val="Paragraphedeliste"/>
              <w:numPr>
                <w:ilvl w:val="0"/>
                <w:numId w:val="27"/>
              </w:numPr>
              <w:jc w:val="both"/>
            </w:pPr>
            <w:r>
              <w:t xml:space="preserve">before any person enters the fuel storage space, it must be vented to prevent dangerous concentrations of toxic gases.</w:t>
            </w:r>
          </w:p>
          <w:p w14:paraId="393FC9EF" w14:textId="56CD894E" w:rsidR="00B1457B" w:rsidRPr="00927455" w:rsidRDefault="00B1457B" w:rsidP="004848C7"/>
        </w:tc>
        <w:tc>
          <w:tcPr>
            <w:tcW w:w="4524" w:type="dxa"/>
          </w:tcPr>
          <w:p w14:paraId="5F32B79B" w14:textId="0BDE1CE5" w:rsidR="00B1457B" w:rsidRPr="00927455" w:rsidRDefault="00B1457B" w:rsidP="004848C7">
            <w:pPr>
              <w:rPr>
                <w:lang w:val="fr-BE"/>
              </w:rPr>
            </w:pPr>
          </w:p>
        </w:tc>
      </w:tr>
      <w:tr w:rsidR="004848C7" w:rsidRPr="00CD661C" w14:paraId="3445135B" w14:textId="77777777" w:rsidTr="002C47D6">
        <w:tc>
          <w:tcPr>
            <w:tcW w:w="4538" w:type="dxa"/>
          </w:tcPr>
          <w:p w14:paraId="69A6244B" w14:textId="77777777" w:rsidR="004848C7" w:rsidRPr="00927455" w:rsidRDefault="00B1457B" w:rsidP="004848C7">
            <w:pPr>
              <w:rPr>
                <w:b/>
              </w:rPr>
            </w:pPr>
            <w:r>
              <w:rPr>
                <w:b/>
              </w:rPr>
              <w:t xml:space="preserve">4.7 Pipes, lines and ducts in boiler rooms with fuel burning appliances with an cumulative combustion rate of greater than or equal to 75 kW and fuel storage spaces</w:t>
            </w:r>
          </w:p>
          <w:p w14:paraId="500A3D2A" w14:textId="23255121" w:rsidR="00B1457B" w:rsidRPr="00927455" w:rsidRDefault="00B1457B" w:rsidP="004848C7"/>
        </w:tc>
        <w:tc>
          <w:tcPr>
            <w:tcW w:w="4524" w:type="dxa"/>
          </w:tcPr>
          <w:p w14:paraId="33D95956" w14:textId="109BDC0D" w:rsidR="00B1457B" w:rsidRPr="00927455" w:rsidRDefault="00B1457B" w:rsidP="004848C7">
            <w:pPr>
              <w:rPr>
                <w:lang w:val="fr-BE"/>
              </w:rPr>
            </w:pPr>
          </w:p>
        </w:tc>
      </w:tr>
      <w:tr w:rsidR="004848C7" w:rsidRPr="00CD661C" w14:paraId="4861E697" w14:textId="77777777" w:rsidTr="002C47D6">
        <w:tc>
          <w:tcPr>
            <w:tcW w:w="4538" w:type="dxa"/>
          </w:tcPr>
          <w:p w14:paraId="02D4F585" w14:textId="77777777" w:rsidR="004848C7" w:rsidRPr="00927455" w:rsidRDefault="004848C7" w:rsidP="004848C7">
            <w:pPr>
              <w:widowControl w:val="0"/>
              <w:tabs>
                <w:tab w:val="left" w:pos="-549"/>
                <w:tab w:val="left" w:pos="317"/>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 xml:space="preserve">Pipes and lines for gases, liquids, solids, electricity or electromagnetic waves, as well as flues and ventilation and combustion air supply ducts, are only permitted if they exclusively serve for operation of the equipment installed in these boiler sections.</w:t>
            </w:r>
          </w:p>
          <w:p w14:paraId="3EDB98C1" w14:textId="77777777" w:rsidR="004848C7" w:rsidRPr="00927455" w:rsidRDefault="004848C7" w:rsidP="004848C7">
            <w:pPr>
              <w:jc w:val="both"/>
            </w:pPr>
          </w:p>
          <w:p w14:paraId="097FE8C1" w14:textId="77777777" w:rsidR="004848C7" w:rsidRPr="00927455" w:rsidRDefault="004848C7" w:rsidP="004848C7">
            <w:pPr>
              <w:jc w:val="both"/>
            </w:pPr>
            <w:r>
              <w:t xml:space="preserve">Water supply pipes and drains are permitted in these boiler sections.</w:t>
            </w:r>
            <w:r>
              <w:t xml:space="preserve"> </w:t>
            </w:r>
          </w:p>
          <w:p w14:paraId="0B10E6EB" w14:textId="77777777" w:rsidR="004848C7" w:rsidRPr="00927455" w:rsidRDefault="004848C7" w:rsidP="004848C7">
            <w:pPr>
              <w:jc w:val="both"/>
            </w:pPr>
          </w:p>
          <w:p w14:paraId="1F87ED89" w14:textId="77777777" w:rsidR="004848C7" w:rsidRPr="00927455" w:rsidRDefault="004848C7" w:rsidP="004848C7">
            <w:r>
              <w:t xml:space="preserve">All other lines and pipes are prohibited in these boiler sections.</w:t>
            </w:r>
          </w:p>
          <w:p w14:paraId="3AB5CE6C" w14:textId="683049B1" w:rsidR="00B1457B" w:rsidRPr="00927455" w:rsidRDefault="00B1457B" w:rsidP="004848C7"/>
        </w:tc>
        <w:tc>
          <w:tcPr>
            <w:tcW w:w="4524" w:type="dxa"/>
          </w:tcPr>
          <w:p w14:paraId="6BBCE31E" w14:textId="10172F07" w:rsidR="00B1457B" w:rsidRPr="00927455" w:rsidRDefault="00B1457B" w:rsidP="004848C7">
            <w:pPr>
              <w:rPr>
                <w:lang w:val="fr-BE"/>
              </w:rPr>
            </w:pPr>
          </w:p>
        </w:tc>
      </w:tr>
      <w:tr w:rsidR="004848C7" w:rsidRPr="00CD661C" w14:paraId="3CC141A7" w14:textId="77777777" w:rsidTr="002C47D6">
        <w:tc>
          <w:tcPr>
            <w:tcW w:w="4538" w:type="dxa"/>
          </w:tcPr>
          <w:p w14:paraId="7E7C1EF9" w14:textId="77777777" w:rsidR="004848C7" w:rsidRPr="00927455" w:rsidRDefault="00B1457B" w:rsidP="004848C7">
            <w:pPr>
              <w:rPr>
                <w:b/>
              </w:rPr>
            </w:pPr>
            <w:r>
              <w:rPr>
                <w:b/>
              </w:rPr>
              <w:t xml:space="preserve">4.8 Flues and combustion air supply ducts</w:t>
            </w:r>
          </w:p>
          <w:p w14:paraId="69E980C1" w14:textId="07771563" w:rsidR="00B1457B" w:rsidRPr="00927455" w:rsidRDefault="00B1457B" w:rsidP="004848C7"/>
        </w:tc>
        <w:tc>
          <w:tcPr>
            <w:tcW w:w="4524" w:type="dxa"/>
          </w:tcPr>
          <w:p w14:paraId="3DFD62BA" w14:textId="3A0002EE" w:rsidR="00B1457B" w:rsidRPr="00927455" w:rsidRDefault="00B1457B" w:rsidP="004848C7">
            <w:pPr>
              <w:rPr>
                <w:lang w:val="fr-BE"/>
              </w:rPr>
            </w:pPr>
          </w:p>
        </w:tc>
      </w:tr>
      <w:tr w:rsidR="004848C7" w:rsidRPr="00CD661C" w14:paraId="02C8A887" w14:textId="77777777" w:rsidTr="002C47D6">
        <w:tc>
          <w:tcPr>
            <w:tcW w:w="4538" w:type="dxa"/>
          </w:tcPr>
          <w:p w14:paraId="1A35E7BA" w14:textId="77777777" w:rsidR="004848C7" w:rsidRPr="00927455" w:rsidRDefault="004848C7" w:rsidP="004848C7">
            <w:pPr>
              <w:jc w:val="both"/>
            </w:pPr>
            <w:r>
              <w:t xml:space="preserve">Flues must either:</w:t>
            </w:r>
          </w:p>
          <w:p w14:paraId="21078FA8" w14:textId="77777777" w:rsidR="004848C7" w:rsidRPr="00927455" w:rsidRDefault="004848C7" w:rsidP="004848C7">
            <w:pPr>
              <w:pStyle w:val="Paragraphedeliste"/>
              <w:numPr>
                <w:ilvl w:val="0"/>
                <w:numId w:val="29"/>
              </w:numPr>
              <w:jc w:val="both"/>
            </w:pPr>
            <w:r>
              <w:t xml:space="preserve">offer the same fire resistance as required for service ducts; or</w:t>
            </w:r>
          </w:p>
          <w:p w14:paraId="3A1EE5A4" w14:textId="77777777" w:rsidR="004848C7" w:rsidRPr="00927455" w:rsidRDefault="004848C7" w:rsidP="004848C7">
            <w:pPr>
              <w:pStyle w:val="Paragraphedeliste"/>
              <w:numPr>
                <w:ilvl w:val="0"/>
                <w:numId w:val="29"/>
              </w:numPr>
              <w:jc w:val="both"/>
            </w:pPr>
            <w:r>
              <w:t xml:space="preserve">be installed in their own service duct; or</w:t>
            </w:r>
          </w:p>
          <w:p w14:paraId="4E5C949A" w14:textId="77777777" w:rsidR="004848C7" w:rsidRPr="00927455" w:rsidRDefault="004848C7" w:rsidP="004848C7">
            <w:pPr>
              <w:pStyle w:val="Paragraphedeliste"/>
              <w:numPr>
                <w:ilvl w:val="0"/>
                <w:numId w:val="29"/>
              </w:numPr>
              <w:jc w:val="both"/>
            </w:pPr>
            <w:r>
              <w:t xml:space="preserve">be installed in a service duct that is shared with other pipes, lines and ducts, but separated from these by a wall rated EI 30.</w:t>
            </w:r>
          </w:p>
          <w:p w14:paraId="50BDB17C" w14:textId="77777777" w:rsidR="004848C7" w:rsidRPr="00927455" w:rsidRDefault="004848C7" w:rsidP="004848C7">
            <w:pPr>
              <w:jc w:val="both"/>
            </w:pPr>
          </w:p>
          <w:p w14:paraId="184EBE36" w14:textId="77777777" w:rsidR="004848C7" w:rsidRPr="00927455" w:rsidRDefault="004848C7" w:rsidP="004848C7">
            <w:pPr>
              <w:jc w:val="both"/>
            </w:pPr>
            <w:r>
              <w:t xml:space="preserve">In cases 2 and 3, the combustion air supply ducts can be installed in the same service duct, or part thereof, as the flues.</w:t>
            </w:r>
          </w:p>
          <w:p w14:paraId="1FE3E121" w14:textId="77777777" w:rsidR="004848C7" w:rsidRPr="00927455" w:rsidRDefault="004848C7" w:rsidP="004848C7">
            <w:pPr>
              <w:jc w:val="both"/>
            </w:pPr>
          </w:p>
          <w:p w14:paraId="04407BB8" w14:textId="77777777" w:rsidR="004848C7" w:rsidRPr="00927455" w:rsidRDefault="004848C7" w:rsidP="004848C7">
            <w:pPr>
              <w:jc w:val="both"/>
            </w:pPr>
            <w:r>
              <w:t xml:space="preserve">The design, installation and implementation of the flues and combustion air supply ducts must meet good engineering practices and the applicable standards.</w:t>
            </w:r>
          </w:p>
          <w:p w14:paraId="38D6F552" w14:textId="77777777" w:rsidR="004848C7" w:rsidRPr="00927455" w:rsidRDefault="004848C7" w:rsidP="004848C7">
            <w:pPr>
              <w:jc w:val="both"/>
            </w:pPr>
          </w:p>
          <w:p w14:paraId="29966557" w14:textId="77777777" w:rsidR="004848C7" w:rsidRPr="00927455" w:rsidRDefault="004848C7" w:rsidP="004848C7">
            <w:r>
              <w:t xml:space="preserve">Penetrations through firewalls for flues and combustion air supply ducts designed and implemented in accordance with good engineering practices and the applicable standards are assumed to meet the requirements of the point 3.1 of the Annexes 2/1, 3/1 and 4/1.</w:t>
            </w:r>
          </w:p>
          <w:p w14:paraId="5FC7E8A8" w14:textId="27FCD57A" w:rsidR="00B1457B" w:rsidRPr="00927455" w:rsidRDefault="00B1457B" w:rsidP="004848C7"/>
        </w:tc>
        <w:tc>
          <w:tcPr>
            <w:tcW w:w="4524" w:type="dxa"/>
          </w:tcPr>
          <w:p w14:paraId="1335674D" w14:textId="1D0A0679" w:rsidR="00B1457B" w:rsidRPr="00927455" w:rsidRDefault="00B1457B" w:rsidP="004848C7">
            <w:pPr>
              <w:rPr>
                <w:lang w:val="fr-BE"/>
              </w:rPr>
            </w:pPr>
          </w:p>
        </w:tc>
      </w:tr>
      <w:tr w:rsidR="004848C7" w:rsidRPr="00927455" w14:paraId="08D36F08" w14:textId="77777777" w:rsidTr="002C47D6">
        <w:tc>
          <w:tcPr>
            <w:tcW w:w="4538" w:type="dxa"/>
          </w:tcPr>
          <w:p w14:paraId="38DAC254" w14:textId="77777777" w:rsidR="004848C7" w:rsidRPr="00927455" w:rsidRDefault="00B1457B" w:rsidP="004848C7">
            <w:pPr>
              <w:rPr>
                <w:b/>
              </w:rPr>
            </w:pPr>
            <w:r>
              <w:rPr>
                <w:b/>
              </w:rPr>
              <w:t xml:space="preserve">4.9 Deviating provisions</w:t>
            </w:r>
          </w:p>
          <w:p w14:paraId="0D86F8DB" w14:textId="62462A89" w:rsidR="00B1457B" w:rsidRPr="00927455" w:rsidRDefault="00B1457B" w:rsidP="004848C7"/>
        </w:tc>
        <w:tc>
          <w:tcPr>
            <w:tcW w:w="4524" w:type="dxa"/>
          </w:tcPr>
          <w:p w14:paraId="0E059FE3" w14:textId="3534396A" w:rsidR="00B1457B" w:rsidRPr="00927455" w:rsidRDefault="00B1457B" w:rsidP="004848C7">
            <w:pPr>
              <w:rPr>
                <w:lang w:val="fr-BE"/>
              </w:rPr>
            </w:pPr>
          </w:p>
        </w:tc>
      </w:tr>
      <w:tr w:rsidR="004848C7" w:rsidRPr="00927455" w14:paraId="1625DA46" w14:textId="77777777" w:rsidTr="002C47D6">
        <w:tc>
          <w:tcPr>
            <w:tcW w:w="4538" w:type="dxa"/>
          </w:tcPr>
          <w:p w14:paraId="6C9E1633" w14:textId="77777777" w:rsidR="004848C7" w:rsidRPr="00927455" w:rsidRDefault="004848C7" w:rsidP="004848C7">
            <w:pPr>
              <w:jc w:val="both"/>
            </w:pPr>
            <w:r>
              <w:t xml:space="preserve">The following deviating provisions apply for buildings whose building permit application is submitted before 1 July 2022:</w:t>
            </w:r>
          </w:p>
          <w:p w14:paraId="07C694A6" w14:textId="77777777" w:rsidR="004848C7" w:rsidRPr="00927455" w:rsidRDefault="004848C7" w:rsidP="004848C7">
            <w:pPr>
              <w:jc w:val="both"/>
            </w:pPr>
          </w:p>
          <w:p w14:paraId="684149FE" w14:textId="77777777" w:rsidR="004848C7" w:rsidRPr="00927455" w:rsidRDefault="004848C7" w:rsidP="004848C7">
            <w:pPr>
              <w:pStyle w:val="Paragraphedeliste"/>
              <w:numPr>
                <w:ilvl w:val="0"/>
                <w:numId w:val="30"/>
              </w:numPr>
              <w:jc w:val="both"/>
            </w:pPr>
            <w:r>
              <w:t xml:space="preserve">Point 4.3:</w:t>
            </w:r>
            <w:r>
              <w:t xml:space="preserve"> </w:t>
            </w:r>
            <w:r>
              <w:t xml:space="preserve">Not applicable to fuel burning appliances installed before 1 July 2022;</w:t>
            </w:r>
          </w:p>
          <w:p w14:paraId="2BC07D20" w14:textId="77777777" w:rsidR="004848C7" w:rsidRPr="00927455" w:rsidRDefault="004848C7" w:rsidP="004848C7">
            <w:pPr>
              <w:pStyle w:val="Paragraphedeliste"/>
              <w:numPr>
                <w:ilvl w:val="0"/>
                <w:numId w:val="30"/>
              </w:numPr>
              <w:jc w:val="both"/>
            </w:pPr>
            <w:r>
              <w:t xml:space="preserve">Points 4.5.1 and 4.6.1:</w:t>
            </w:r>
            <w:r>
              <w:t xml:space="preserve"> </w:t>
            </w:r>
            <w:r>
              <w:t xml:space="preserve">Not applicable to equipment installed before 1 July 2022;</w:t>
            </w:r>
          </w:p>
          <w:p w14:paraId="171AAE9D" w14:textId="208FF57C" w:rsidR="004848C7" w:rsidRPr="00927455" w:rsidRDefault="004848C7" w:rsidP="005B5D65">
            <w:pPr>
              <w:pStyle w:val="Paragraphedeliste"/>
              <w:numPr>
                <w:ilvl w:val="0"/>
                <w:numId w:val="30"/>
              </w:numPr>
              <w:jc w:val="both"/>
            </w:pPr>
            <w:r>
              <w:t xml:space="preserve">Points 4.5.2.1, 4.5.2.3 and 4.5.2.4:</w:t>
            </w:r>
            <w:r>
              <w:t xml:space="preserve"> </w:t>
            </w:r>
            <w:r>
              <w:t xml:space="preserve">Only applicable to boiler rooms where one or more fuel burning appliances were installed or modernised on or after 1 July 2022;</w:t>
            </w:r>
          </w:p>
          <w:p w14:paraId="2E4DE152" w14:textId="6CCD073A" w:rsidR="004848C7" w:rsidRPr="00927455" w:rsidRDefault="004848C7" w:rsidP="004848C7">
            <w:pPr>
              <w:pStyle w:val="Paragraphedeliste"/>
              <w:numPr>
                <w:ilvl w:val="0"/>
                <w:numId w:val="30"/>
              </w:numPr>
              <w:jc w:val="both"/>
            </w:pPr>
            <w:r>
              <w:t xml:space="preserve">Points 4.5.2.2, 4.6.2, 4.6.3 and 4.7:</w:t>
            </w:r>
            <w:r>
              <w:t xml:space="preserve"> </w:t>
            </w:r>
            <w:r>
              <w:t xml:space="preserve">Not applicable.</w:t>
            </w:r>
          </w:p>
          <w:p w14:paraId="434008E8" w14:textId="4E04EEE7" w:rsidR="00B1457B" w:rsidRPr="00927455" w:rsidRDefault="00B1457B" w:rsidP="00B1457B">
            <w:pPr>
              <w:jc w:val="both"/>
            </w:pPr>
          </w:p>
        </w:tc>
        <w:tc>
          <w:tcPr>
            <w:tcW w:w="4524" w:type="dxa"/>
          </w:tcPr>
          <w:p w14:paraId="0AA279C3" w14:textId="19CDA86C" w:rsidR="00B1457B" w:rsidRPr="00927455" w:rsidRDefault="00B1457B" w:rsidP="00B1457B">
            <w:pPr>
              <w:jc w:val="both"/>
              <w:rPr>
                <w:lang w:val="fr-BE"/>
              </w:rPr>
            </w:pPr>
          </w:p>
        </w:tc>
      </w:tr>
      <w:tr w:rsidR="004848C7" w:rsidRPr="00927455" w14:paraId="3CC4F5DC" w14:textId="77777777" w:rsidTr="002A0E41">
        <w:tc>
          <w:tcPr>
            <w:tcW w:w="4538" w:type="dxa"/>
          </w:tcPr>
          <w:p w14:paraId="1F81CCE5" w14:textId="77777777" w:rsidR="004848C7" w:rsidRPr="00927455" w:rsidRDefault="004848C7" w:rsidP="004848C7">
            <w:pPr>
              <w:rPr>
                <w:b/>
                <w:lang w:val="fr-BE"/>
              </w:rPr>
            </w:pPr>
          </w:p>
        </w:tc>
        <w:tc>
          <w:tcPr>
            <w:tcW w:w="4524" w:type="dxa"/>
          </w:tcPr>
          <w:p w14:paraId="519E30DA" w14:textId="77777777" w:rsidR="004848C7" w:rsidRPr="00927455" w:rsidRDefault="004848C7" w:rsidP="004848C7">
            <w:pPr>
              <w:rPr>
                <w:b/>
                <w:lang w:val="fr-FR"/>
              </w:rPr>
            </w:pPr>
          </w:p>
        </w:tc>
      </w:tr>
      <w:tr w:rsidR="004848C7" w:rsidRPr="00927455" w14:paraId="35284A75" w14:textId="77777777" w:rsidTr="002A0E41">
        <w:tc>
          <w:tcPr>
            <w:tcW w:w="4538" w:type="dxa"/>
          </w:tcPr>
          <w:p w14:paraId="6B18CA84" w14:textId="77777777" w:rsidR="004848C7" w:rsidRPr="00927455" w:rsidRDefault="004848C7" w:rsidP="004848C7">
            <w:pPr>
              <w:rPr>
                <w:b/>
              </w:rPr>
            </w:pPr>
            <w:r>
              <w:rPr>
                <w:b/>
              </w:rPr>
              <w:t xml:space="preserve">Chapter 9.</w:t>
            </w:r>
            <w:r>
              <w:rPr>
                <w:b/>
              </w:rPr>
              <w:t xml:space="preserve"> </w:t>
            </w:r>
            <w:r>
              <w:rPr>
                <w:b/>
              </w:rPr>
              <w:t xml:space="preserve">Final provisions</w:t>
            </w:r>
          </w:p>
          <w:p w14:paraId="311E22BD" w14:textId="77777777" w:rsidR="004848C7" w:rsidRPr="00927455" w:rsidRDefault="004848C7" w:rsidP="004848C7">
            <w:pPr>
              <w:rPr>
                <w:b/>
              </w:rPr>
            </w:pPr>
          </w:p>
        </w:tc>
        <w:tc>
          <w:tcPr>
            <w:tcW w:w="4524" w:type="dxa"/>
          </w:tcPr>
          <w:p w14:paraId="42403B1B" w14:textId="77777777" w:rsidR="004848C7" w:rsidRPr="00927455" w:rsidRDefault="004848C7" w:rsidP="004848C7">
            <w:pPr>
              <w:rPr>
                <w:b/>
                <w:lang w:val="fr-FR"/>
              </w:rPr>
            </w:pPr>
          </w:p>
        </w:tc>
      </w:tr>
      <w:tr w:rsidR="004848C7" w:rsidRPr="00CD661C" w14:paraId="6A5CAF68" w14:textId="77777777" w:rsidTr="002A0E41">
        <w:tc>
          <w:tcPr>
            <w:tcW w:w="4538" w:type="dxa"/>
          </w:tcPr>
          <w:p w14:paraId="65BD4790" w14:textId="4CBA12CA" w:rsidR="004848C7" w:rsidRPr="00927455" w:rsidRDefault="004848C7" w:rsidP="004848C7">
            <w:r>
              <w:rPr>
                <w:b/>
              </w:rPr>
              <w:t xml:space="preserve">Article 43.</w:t>
            </w:r>
            <w:r>
              <w:t xml:space="preserve"> </w:t>
            </w:r>
            <w:r>
              <w:t xml:space="preserve">This Decree shall come into force on 1 July 2022.</w:t>
            </w:r>
          </w:p>
          <w:p w14:paraId="296F5015" w14:textId="77777777" w:rsidR="004848C7" w:rsidRPr="00927455" w:rsidRDefault="004848C7" w:rsidP="004848C7"/>
        </w:tc>
        <w:tc>
          <w:tcPr>
            <w:tcW w:w="4524" w:type="dxa"/>
          </w:tcPr>
          <w:p w14:paraId="329DCA0A" w14:textId="77777777" w:rsidR="004848C7" w:rsidRPr="00927455" w:rsidRDefault="004848C7" w:rsidP="004848C7">
            <w:pPr>
              <w:rPr>
                <w:lang w:val="fr-BE"/>
              </w:rPr>
            </w:pPr>
          </w:p>
        </w:tc>
      </w:tr>
      <w:tr w:rsidR="004848C7" w:rsidRPr="00CD661C" w14:paraId="1DEFA494" w14:textId="77777777" w:rsidTr="002A0E41">
        <w:tc>
          <w:tcPr>
            <w:tcW w:w="4538" w:type="dxa"/>
          </w:tcPr>
          <w:p w14:paraId="00C21774" w14:textId="6D7E697D" w:rsidR="004848C7" w:rsidRPr="00927455" w:rsidRDefault="004848C7" w:rsidP="004848C7">
            <w:r>
              <w:rPr>
                <w:b/>
              </w:rPr>
              <w:t xml:space="preserve">Article 44.</w:t>
            </w:r>
            <w:r>
              <w:t xml:space="preserve"> </w:t>
            </w:r>
            <w:r>
              <w:t xml:space="preserve">The competent minister for internal affairs is hereby tasked with implementation of this Decree.</w:t>
            </w:r>
          </w:p>
          <w:p w14:paraId="310A7B7B" w14:textId="77777777" w:rsidR="004848C7" w:rsidRPr="00927455" w:rsidRDefault="004848C7" w:rsidP="004848C7"/>
        </w:tc>
        <w:tc>
          <w:tcPr>
            <w:tcW w:w="4524" w:type="dxa"/>
          </w:tcPr>
          <w:p w14:paraId="7A2FFC51" w14:textId="70F33ABB" w:rsidR="004848C7" w:rsidRPr="00927455" w:rsidRDefault="004848C7" w:rsidP="004848C7">
            <w:pPr>
              <w:rPr>
                <w:lang w:val="fr-FR"/>
              </w:rPr>
            </w:pPr>
          </w:p>
        </w:tc>
      </w:tr>
      <w:tr w:rsidR="004848C7" w:rsidRPr="00927455" w14:paraId="4D468963" w14:textId="77777777" w:rsidTr="002A0E41">
        <w:tc>
          <w:tcPr>
            <w:tcW w:w="4538" w:type="dxa"/>
          </w:tcPr>
          <w:p w14:paraId="0D898847" w14:textId="77777777" w:rsidR="004848C7" w:rsidRPr="00927455" w:rsidRDefault="004848C7" w:rsidP="004848C7">
            <w:r>
              <w:t xml:space="preserve">Brussels,</w:t>
            </w:r>
            <w:r>
              <w:t xml:space="preserve"> </w:t>
            </w:r>
          </w:p>
        </w:tc>
        <w:tc>
          <w:tcPr>
            <w:tcW w:w="4524" w:type="dxa"/>
          </w:tcPr>
          <w:p w14:paraId="0B6F70C9" w14:textId="77777777" w:rsidR="004848C7" w:rsidRPr="00927455" w:rsidRDefault="004848C7" w:rsidP="004848C7">
            <w:pPr>
              <w:rPr>
                <w:lang w:val="fr-FR"/>
              </w:rPr>
            </w:pPr>
          </w:p>
        </w:tc>
      </w:tr>
      <w:tr w:rsidR="004848C7" w:rsidRPr="00927455" w14:paraId="0997D389" w14:textId="77777777" w:rsidTr="002A0E41">
        <w:trPr>
          <w:cantSplit/>
          <w:trHeight w:val="2835"/>
        </w:trPr>
        <w:tc>
          <w:tcPr>
            <w:tcW w:w="9062" w:type="dxa"/>
            <w:gridSpan w:val="2"/>
          </w:tcPr>
          <w:p w14:paraId="261187EA" w14:textId="77777777" w:rsidR="004848C7" w:rsidRPr="00927455" w:rsidRDefault="004848C7" w:rsidP="004848C7">
            <w:pPr>
              <w:jc w:val="center"/>
              <w:rPr>
                <w:strike/>
                <w:sz w:val="18"/>
                <w:lang w:val="fr-FR"/>
              </w:rPr>
            </w:pPr>
          </w:p>
        </w:tc>
      </w:tr>
      <w:tr w:rsidR="004848C7" w:rsidRPr="00927455" w14:paraId="0325F77F" w14:textId="77777777" w:rsidTr="002A0E41">
        <w:tc>
          <w:tcPr>
            <w:tcW w:w="4538" w:type="dxa"/>
          </w:tcPr>
          <w:p w14:paraId="209AD2BD" w14:textId="77777777" w:rsidR="004848C7" w:rsidRPr="00927455" w:rsidRDefault="004848C7" w:rsidP="004848C7">
            <w:r>
              <w:t xml:space="preserve">On behalf of the King:</w:t>
            </w:r>
          </w:p>
          <w:p w14:paraId="6E935754" w14:textId="77777777" w:rsidR="004848C7" w:rsidRPr="00927455" w:rsidRDefault="004848C7" w:rsidP="004848C7"/>
        </w:tc>
        <w:tc>
          <w:tcPr>
            <w:tcW w:w="4524" w:type="dxa"/>
          </w:tcPr>
          <w:p w14:paraId="3D2D0502" w14:textId="77777777" w:rsidR="004848C7" w:rsidRPr="00927455" w:rsidRDefault="004848C7" w:rsidP="004848C7">
            <w:pPr>
              <w:rPr>
                <w:lang w:val="fr-FR"/>
              </w:rPr>
            </w:pPr>
          </w:p>
        </w:tc>
      </w:tr>
      <w:tr w:rsidR="004848C7" w:rsidRPr="00927455" w14:paraId="48606428" w14:textId="77777777" w:rsidTr="002A0E41">
        <w:tc>
          <w:tcPr>
            <w:tcW w:w="4538" w:type="dxa"/>
          </w:tcPr>
          <w:p w14:paraId="6294677A" w14:textId="77777777" w:rsidR="004848C7" w:rsidRPr="00927455" w:rsidRDefault="004848C7" w:rsidP="004848C7">
            <w:r>
              <w:t xml:space="preserve">The competent minister for internal affairs,</w:t>
            </w:r>
          </w:p>
          <w:p w14:paraId="725290D5" w14:textId="77777777" w:rsidR="004848C7" w:rsidRPr="00927455" w:rsidRDefault="004848C7" w:rsidP="004848C7"/>
        </w:tc>
        <w:tc>
          <w:tcPr>
            <w:tcW w:w="4524" w:type="dxa"/>
          </w:tcPr>
          <w:p w14:paraId="648B203B" w14:textId="53054A18" w:rsidR="004848C7" w:rsidRPr="00927455" w:rsidRDefault="004848C7" w:rsidP="004848C7">
            <w:pPr>
              <w:rPr>
                <w:lang w:val="fr-FR"/>
              </w:rPr>
            </w:pPr>
          </w:p>
        </w:tc>
      </w:tr>
      <w:tr w:rsidR="004848C7" w:rsidRPr="00927455" w14:paraId="53FF4748" w14:textId="77777777" w:rsidTr="002A0E41">
        <w:trPr>
          <w:cantSplit/>
          <w:trHeight w:val="2835"/>
        </w:trPr>
        <w:tc>
          <w:tcPr>
            <w:tcW w:w="9062" w:type="dxa"/>
            <w:gridSpan w:val="2"/>
          </w:tcPr>
          <w:p w14:paraId="34EF1B83" w14:textId="77777777" w:rsidR="004848C7" w:rsidRPr="00927455" w:rsidRDefault="004848C7" w:rsidP="004848C7">
            <w:pPr>
              <w:jc w:val="center"/>
              <w:rPr>
                <w:strike/>
                <w:sz w:val="18"/>
                <w:lang w:val="fr-FR"/>
              </w:rPr>
            </w:pPr>
          </w:p>
        </w:tc>
      </w:tr>
      <w:tr w:rsidR="004848C7" w:rsidRPr="00927455" w14:paraId="6274773B" w14:textId="77777777" w:rsidTr="002A0E41">
        <w:tc>
          <w:tcPr>
            <w:tcW w:w="9062" w:type="dxa"/>
            <w:gridSpan w:val="2"/>
          </w:tcPr>
          <w:p w14:paraId="035E7512" w14:textId="77777777" w:rsidR="004848C7" w:rsidRPr="00927455" w:rsidRDefault="004848C7" w:rsidP="004848C7">
            <w:pPr>
              <w:jc w:val="center"/>
            </w:pPr>
            <w:r>
              <w:t xml:space="preserve">Annelies Verlinden</w:t>
            </w:r>
          </w:p>
          <w:p w14:paraId="59BDD3D5" w14:textId="77777777" w:rsidR="004848C7" w:rsidRPr="00927455" w:rsidRDefault="004848C7" w:rsidP="004848C7">
            <w:pPr>
              <w:jc w:val="center"/>
            </w:pPr>
          </w:p>
        </w:tc>
      </w:tr>
    </w:tbl>
    <w:p w14:paraId="290EFF02" w14:textId="77777777" w:rsidR="00C10CD5" w:rsidRPr="00927455" w:rsidRDefault="00C10CD5">
      <w:pPr>
        <w:rPr>
          <w:lang w:val="fr-FR"/>
        </w:rPr>
      </w:pPr>
    </w:p>
    <w:p w14:paraId="3F59AAC5" w14:textId="77777777" w:rsidR="00C10CD5" w:rsidRPr="00927455" w:rsidRDefault="00C10CD5">
      <w:r>
        <w:br w:type="page"/>
      </w:r>
    </w:p>
    <w:tbl>
      <w:tblPr>
        <w:tblStyle w:val="Grilledutableau"/>
        <w:tblW w:w="0" w:type="auto"/>
        <w:tblLook w:val="04A0" w:firstRow="1" w:lastRow="0" w:firstColumn="1" w:lastColumn="0" w:noHBand="0" w:noVBand="1"/>
      </w:tblPr>
      <w:tblGrid>
        <w:gridCol w:w="4531"/>
      </w:tblGrid>
      <w:tr w:rsidR="00CD661C" w:rsidRPr="00CD661C" w14:paraId="67273029" w14:textId="77777777" w:rsidTr="00C10CD5">
        <w:tc>
          <w:tcPr>
            <w:tcW w:w="4531" w:type="dxa"/>
          </w:tcPr>
          <w:p w14:paraId="6DF92680" w14:textId="579D29D0" w:rsidR="00CD661C" w:rsidRPr="00927455" w:rsidRDefault="00CD661C" w:rsidP="00C10CD5">
            <w:pPr>
              <w:rPr>
                <w:b/>
              </w:rPr>
            </w:pPr>
            <w:r>
              <w:rPr>
                <w:b/>
              </w:rPr>
              <w:t xml:space="preserve">The annex 1 to the Royal Decree of [date] 2022 amending the Royal Decree of 7 July 1994 laying down the basic fire and explosion prevention standards with which buildings must comply</w:t>
            </w:r>
            <w:r>
              <w:rPr>
                <w:b/>
              </w:rPr>
              <w:t xml:space="preserve"> </w:t>
            </w:r>
          </w:p>
          <w:p w14:paraId="0A46DBAA" w14:textId="77777777" w:rsidR="00CD661C" w:rsidRPr="00927455" w:rsidRDefault="00CD661C">
            <w:pPr>
              <w:rPr>
                <w:b/>
              </w:rPr>
            </w:pPr>
          </w:p>
        </w:tc>
      </w:tr>
      <w:tr w:rsidR="00CD661C" w:rsidRPr="00CD661C" w14:paraId="1DA57799" w14:textId="77777777" w:rsidTr="00C10CD5">
        <w:tc>
          <w:tcPr>
            <w:tcW w:w="4531" w:type="dxa"/>
          </w:tcPr>
          <w:p w14:paraId="656F757A" w14:textId="6D8A8BAE" w:rsidR="00CD661C" w:rsidRPr="00927455" w:rsidRDefault="00CD661C" w:rsidP="00C10CD5">
            <w:pPr>
              <w:rPr>
                <w:b/>
              </w:rPr>
            </w:pPr>
            <w:r>
              <w:rPr>
                <w:b/>
              </w:rPr>
              <w:t xml:space="preserve">The annex 2/1 to the Royal Decree of 7 July 1994 laying down the basic fire and explosion prevention standards with which buildings must comply</w:t>
            </w:r>
            <w:r>
              <w:rPr>
                <w:b/>
              </w:rPr>
              <w:t xml:space="preserve"> </w:t>
            </w:r>
          </w:p>
          <w:p w14:paraId="7FFAA853" w14:textId="77777777" w:rsidR="00CD661C" w:rsidRPr="00927455" w:rsidRDefault="00CD661C" w:rsidP="00C10CD5">
            <w:pPr>
              <w:rPr>
                <w:b/>
              </w:rPr>
            </w:pPr>
          </w:p>
        </w:tc>
      </w:tr>
      <w:tr w:rsidR="00CD661C" w:rsidRPr="00927455" w14:paraId="7366C938" w14:textId="77777777" w:rsidTr="00C10CD5">
        <w:tc>
          <w:tcPr>
            <w:tcW w:w="4531" w:type="dxa"/>
          </w:tcPr>
          <w:p w14:paraId="6FE9F143" w14:textId="77777777" w:rsidR="00CD661C" w:rsidRPr="00927455" w:rsidRDefault="00CD661C" w:rsidP="00C10CD5">
            <w:pPr>
              <w:rPr>
                <w:b/>
              </w:rPr>
            </w:pPr>
            <w:r>
              <w:rPr>
                <w:b/>
              </w:rPr>
              <w:t xml:space="preserve">Annex 2/1 LOW-RISE BUILDINGS</w:t>
            </w:r>
          </w:p>
          <w:p w14:paraId="7CD97885" w14:textId="77777777" w:rsidR="00CD661C" w:rsidRPr="00927455" w:rsidRDefault="00CD661C">
            <w:pPr>
              <w:rPr>
                <w:b/>
              </w:rPr>
            </w:pPr>
          </w:p>
        </w:tc>
      </w:tr>
      <w:tr w:rsidR="00CD661C" w:rsidRPr="00927455" w14:paraId="6AE31F26" w14:textId="77777777" w:rsidTr="00C10CD5">
        <w:tc>
          <w:tcPr>
            <w:tcW w:w="4531" w:type="dxa"/>
          </w:tcPr>
          <w:p w14:paraId="49425F21" w14:textId="77777777" w:rsidR="00CD661C" w:rsidRPr="00927455" w:rsidRDefault="00CD661C" w:rsidP="00C10CD5">
            <w:pPr>
              <w:rPr>
                <w:i/>
              </w:rPr>
            </w:pPr>
            <w:r>
              <w:rPr>
                <w:i/>
              </w:rPr>
              <w:t xml:space="preserve">See other document</w:t>
            </w:r>
          </w:p>
          <w:p w14:paraId="12486383" w14:textId="77777777" w:rsidR="00CD661C" w:rsidRPr="00927455" w:rsidRDefault="00CD661C" w:rsidP="00C10CD5"/>
        </w:tc>
      </w:tr>
      <w:tr w:rsidR="00CD661C" w:rsidRPr="00927455" w14:paraId="48D20B36" w14:textId="77777777" w:rsidTr="00C10CD5">
        <w:tc>
          <w:tcPr>
            <w:tcW w:w="4531" w:type="dxa"/>
          </w:tcPr>
          <w:p w14:paraId="262EDDC8" w14:textId="77777777" w:rsidR="00CD661C" w:rsidRPr="00927455" w:rsidRDefault="00CD661C" w:rsidP="00C10CD5"/>
        </w:tc>
      </w:tr>
    </w:tbl>
    <w:p w14:paraId="3D04DFAC" w14:textId="77777777" w:rsidR="004D353D" w:rsidRPr="00927455" w:rsidRDefault="004D353D"/>
    <w:tbl>
      <w:tblPr>
        <w:tblStyle w:val="Grilledutableau"/>
        <w:tblW w:w="0" w:type="auto"/>
        <w:tblLook w:val="04A0" w:firstRow="1" w:lastRow="0" w:firstColumn="1" w:lastColumn="0" w:noHBand="0" w:noVBand="1"/>
      </w:tblPr>
      <w:tblGrid>
        <w:gridCol w:w="4531"/>
      </w:tblGrid>
      <w:tr w:rsidR="00CD661C" w:rsidRPr="00CD661C" w14:paraId="62821E6E" w14:textId="77777777" w:rsidTr="001E3710">
        <w:tc>
          <w:tcPr>
            <w:tcW w:w="4531" w:type="dxa"/>
          </w:tcPr>
          <w:p w14:paraId="7F05A724" w14:textId="41E8FC76" w:rsidR="00CD661C" w:rsidRPr="00927455" w:rsidRDefault="00CD661C" w:rsidP="001E3710">
            <w:pPr>
              <w:rPr>
                <w:b/>
              </w:rPr>
            </w:pPr>
            <w:r>
              <w:rPr>
                <w:b/>
              </w:rPr>
              <w:t xml:space="preserve">The annex 2 to the Royal Decree of [date] 2022 amending the Royal Decree of 7 July 1994 laying down the basic fire and explosion prevention standards with which buildings must comply</w:t>
            </w:r>
            <w:r>
              <w:rPr>
                <w:b/>
              </w:rPr>
              <w:t xml:space="preserve"> </w:t>
            </w:r>
          </w:p>
          <w:p w14:paraId="16EA123B" w14:textId="77777777" w:rsidR="00CD661C" w:rsidRPr="00927455" w:rsidRDefault="00CD661C" w:rsidP="001E3710">
            <w:pPr>
              <w:rPr>
                <w:b/>
              </w:rPr>
            </w:pPr>
          </w:p>
        </w:tc>
      </w:tr>
      <w:tr w:rsidR="00CD661C" w:rsidRPr="00CD661C" w14:paraId="33D2E633" w14:textId="77777777" w:rsidTr="001E3710">
        <w:tc>
          <w:tcPr>
            <w:tcW w:w="4531" w:type="dxa"/>
          </w:tcPr>
          <w:p w14:paraId="34D65C2C" w14:textId="459C9C14" w:rsidR="00CD661C" w:rsidRPr="00927455" w:rsidRDefault="00CD661C" w:rsidP="001E3710">
            <w:pPr>
              <w:rPr>
                <w:b/>
              </w:rPr>
            </w:pPr>
            <w:r>
              <w:rPr>
                <w:b/>
              </w:rPr>
              <w:t xml:space="preserve">The annex 3/1 to the Royal Decree of 7 July 1994 laying down the basic fire and explosion prevention standards with which buildings must comply</w:t>
            </w:r>
            <w:r>
              <w:rPr>
                <w:b/>
              </w:rPr>
              <w:t xml:space="preserve"> </w:t>
            </w:r>
          </w:p>
          <w:p w14:paraId="1E9AC147" w14:textId="77777777" w:rsidR="00CD661C" w:rsidRPr="00927455" w:rsidRDefault="00CD661C" w:rsidP="001E3710">
            <w:pPr>
              <w:rPr>
                <w:b/>
              </w:rPr>
            </w:pPr>
          </w:p>
        </w:tc>
      </w:tr>
      <w:tr w:rsidR="00CD661C" w:rsidRPr="00927455" w14:paraId="31EB2714" w14:textId="77777777" w:rsidTr="001E3710">
        <w:tc>
          <w:tcPr>
            <w:tcW w:w="4531" w:type="dxa"/>
          </w:tcPr>
          <w:p w14:paraId="3CD60B78" w14:textId="77777777" w:rsidR="00CD661C" w:rsidRPr="00927455" w:rsidRDefault="00CD661C" w:rsidP="001E3710">
            <w:pPr>
              <w:rPr>
                <w:b/>
              </w:rPr>
            </w:pPr>
            <w:r>
              <w:rPr>
                <w:b/>
              </w:rPr>
              <w:t xml:space="preserve">Annex 3/1 MID-RISE BUILDINGS</w:t>
            </w:r>
          </w:p>
          <w:p w14:paraId="7A82C55E" w14:textId="77777777" w:rsidR="00CD661C" w:rsidRPr="00927455" w:rsidRDefault="00CD661C" w:rsidP="001E3710">
            <w:pPr>
              <w:rPr>
                <w:b/>
              </w:rPr>
            </w:pPr>
          </w:p>
        </w:tc>
      </w:tr>
      <w:tr w:rsidR="00CD661C" w:rsidRPr="00927455" w14:paraId="2434EF69" w14:textId="77777777" w:rsidTr="001E3710">
        <w:tc>
          <w:tcPr>
            <w:tcW w:w="4531" w:type="dxa"/>
          </w:tcPr>
          <w:p w14:paraId="254700E2" w14:textId="77777777" w:rsidR="00CD661C" w:rsidRPr="00927455" w:rsidRDefault="00CD661C" w:rsidP="001E3710">
            <w:pPr>
              <w:rPr>
                <w:i/>
              </w:rPr>
            </w:pPr>
            <w:r>
              <w:rPr>
                <w:i/>
              </w:rPr>
              <w:t xml:space="preserve">See other document</w:t>
            </w:r>
          </w:p>
          <w:p w14:paraId="2FF9B70B" w14:textId="77777777" w:rsidR="00CD661C" w:rsidRPr="00927455" w:rsidRDefault="00CD661C" w:rsidP="001E3710"/>
        </w:tc>
      </w:tr>
      <w:tr w:rsidR="00CD661C" w:rsidRPr="00927455" w14:paraId="7CA3183D" w14:textId="77777777" w:rsidTr="001E3710">
        <w:tc>
          <w:tcPr>
            <w:tcW w:w="4531" w:type="dxa"/>
          </w:tcPr>
          <w:p w14:paraId="1DD158E0" w14:textId="77777777" w:rsidR="00CD661C" w:rsidRPr="00927455" w:rsidRDefault="00CD661C" w:rsidP="001E3710"/>
        </w:tc>
      </w:tr>
      <w:tr w:rsidR="00CD661C" w:rsidRPr="00927455" w14:paraId="4E2B7DB7" w14:textId="77777777" w:rsidTr="001E3710">
        <w:tc>
          <w:tcPr>
            <w:tcW w:w="4531" w:type="dxa"/>
          </w:tcPr>
          <w:p w14:paraId="17E5CCEF" w14:textId="77777777" w:rsidR="00CD661C" w:rsidRPr="00927455" w:rsidRDefault="00CD661C" w:rsidP="001E3710"/>
        </w:tc>
      </w:tr>
    </w:tbl>
    <w:p w14:paraId="7582A414" w14:textId="77777777" w:rsidR="000678EE" w:rsidRPr="00927455" w:rsidRDefault="000678EE"/>
    <w:tbl>
      <w:tblPr>
        <w:tblStyle w:val="Grilledutableau"/>
        <w:tblW w:w="0" w:type="auto"/>
        <w:tblLook w:val="04A0" w:firstRow="1" w:lastRow="0" w:firstColumn="1" w:lastColumn="0" w:noHBand="0" w:noVBand="1"/>
      </w:tblPr>
      <w:tblGrid>
        <w:gridCol w:w="4531"/>
      </w:tblGrid>
      <w:tr w:rsidR="00CD661C" w:rsidRPr="00252095" w14:paraId="05913D4C" w14:textId="77777777" w:rsidTr="001E3710">
        <w:tc>
          <w:tcPr>
            <w:tcW w:w="4531" w:type="dxa"/>
          </w:tcPr>
          <w:p w14:paraId="2FDD81DC" w14:textId="74C972E0" w:rsidR="00CD661C" w:rsidRPr="00927455" w:rsidRDefault="00CD661C" w:rsidP="001E3710">
            <w:pPr>
              <w:rPr>
                <w:b/>
              </w:rPr>
            </w:pPr>
            <w:r>
              <w:rPr>
                <w:b/>
              </w:rPr>
              <w:t xml:space="preserve">The annex 3 to the Royal Decree of [date] 2022 amending the Royal Decree of 7 July 1994 laying down the basic fire and explosion prevention standards with which buildings must comply</w:t>
            </w:r>
            <w:r>
              <w:rPr>
                <w:b/>
              </w:rPr>
              <w:t xml:space="preserve"> </w:t>
            </w:r>
          </w:p>
          <w:p w14:paraId="5FCBB2A8" w14:textId="77777777" w:rsidR="00CD661C" w:rsidRPr="00927455" w:rsidRDefault="00CD661C" w:rsidP="001E3710">
            <w:pPr>
              <w:rPr>
                <w:b/>
              </w:rPr>
            </w:pPr>
          </w:p>
        </w:tc>
      </w:tr>
      <w:tr w:rsidR="00CD661C" w:rsidRPr="00CD661C" w14:paraId="343B9152" w14:textId="77777777" w:rsidTr="001E3710">
        <w:tc>
          <w:tcPr>
            <w:tcW w:w="4531" w:type="dxa"/>
          </w:tcPr>
          <w:p w14:paraId="2FE947F4" w14:textId="5BD7464F" w:rsidR="00CD661C" w:rsidRPr="00927455" w:rsidRDefault="00CD661C" w:rsidP="001E3710">
            <w:pPr>
              <w:rPr>
                <w:b/>
              </w:rPr>
            </w:pPr>
            <w:r>
              <w:rPr>
                <w:b/>
              </w:rPr>
              <w:t xml:space="preserve">The annex 4/1 to the Royal Decree of 7 July 1994 laying down the basic fire and explosion prevention standards with which buildings must comply</w:t>
            </w:r>
            <w:r>
              <w:rPr>
                <w:b/>
              </w:rPr>
              <w:t xml:space="preserve"> </w:t>
            </w:r>
          </w:p>
          <w:p w14:paraId="237A3016" w14:textId="77777777" w:rsidR="00CD661C" w:rsidRPr="00927455" w:rsidRDefault="00CD661C" w:rsidP="001E3710">
            <w:pPr>
              <w:rPr>
                <w:b/>
              </w:rPr>
            </w:pPr>
          </w:p>
        </w:tc>
      </w:tr>
      <w:tr w:rsidR="00CD661C" w:rsidRPr="00927455" w14:paraId="1D4A0602" w14:textId="77777777" w:rsidTr="001E3710">
        <w:tc>
          <w:tcPr>
            <w:tcW w:w="4531" w:type="dxa"/>
          </w:tcPr>
          <w:p w14:paraId="6C42D067" w14:textId="77777777" w:rsidR="00CD661C" w:rsidRPr="00927455" w:rsidRDefault="00CD661C" w:rsidP="001E3710">
            <w:pPr>
              <w:rPr>
                <w:b/>
              </w:rPr>
            </w:pPr>
            <w:r>
              <w:rPr>
                <w:b/>
              </w:rPr>
              <w:t xml:space="preserve">Annex 4/1 High-rise buildings</w:t>
            </w:r>
          </w:p>
          <w:p w14:paraId="5A41E28C" w14:textId="77777777" w:rsidR="00CD661C" w:rsidRPr="00927455" w:rsidRDefault="00CD661C" w:rsidP="001E3710">
            <w:pPr>
              <w:rPr>
                <w:b/>
              </w:rPr>
            </w:pPr>
          </w:p>
        </w:tc>
      </w:tr>
      <w:tr w:rsidR="00CD661C" w:rsidRPr="00927455" w14:paraId="5A8435C0" w14:textId="77777777" w:rsidTr="001E3710">
        <w:tc>
          <w:tcPr>
            <w:tcW w:w="4531" w:type="dxa"/>
          </w:tcPr>
          <w:p w14:paraId="3BD54CEC" w14:textId="77777777" w:rsidR="00CD661C" w:rsidRPr="00927455" w:rsidRDefault="00CD661C" w:rsidP="001E3710">
            <w:pPr>
              <w:rPr>
                <w:i/>
              </w:rPr>
            </w:pPr>
            <w:r>
              <w:rPr>
                <w:i/>
              </w:rPr>
              <w:t xml:space="preserve">See other document</w:t>
            </w:r>
          </w:p>
          <w:p w14:paraId="00F4DD8B" w14:textId="77777777" w:rsidR="00CD661C" w:rsidRPr="00927455" w:rsidRDefault="00CD661C" w:rsidP="001E3710"/>
        </w:tc>
      </w:tr>
      <w:tr w:rsidR="00CD661C" w:rsidRPr="00927455" w14:paraId="3183D3EC" w14:textId="77777777" w:rsidTr="001E3710">
        <w:tc>
          <w:tcPr>
            <w:tcW w:w="4531" w:type="dxa"/>
          </w:tcPr>
          <w:p w14:paraId="1D0EEBE8" w14:textId="77777777" w:rsidR="00CD661C" w:rsidRPr="00927455" w:rsidRDefault="00CD661C" w:rsidP="001E3710"/>
        </w:tc>
      </w:tr>
      <w:tr w:rsidR="00CD661C" w:rsidRPr="00927455" w14:paraId="63043BAB" w14:textId="77777777" w:rsidTr="001E3710">
        <w:tc>
          <w:tcPr>
            <w:tcW w:w="4531" w:type="dxa"/>
          </w:tcPr>
          <w:p w14:paraId="2965E52B" w14:textId="77777777" w:rsidR="00CD661C" w:rsidRPr="00927455" w:rsidRDefault="00CD661C" w:rsidP="001E3710"/>
        </w:tc>
      </w:tr>
    </w:tbl>
    <w:p w14:paraId="3471FE51" w14:textId="77777777" w:rsidR="000678EE" w:rsidRPr="00927455" w:rsidRDefault="000678EE"/>
    <w:p w14:paraId="1436322F" w14:textId="77777777" w:rsidR="000678EE" w:rsidRPr="00927455" w:rsidRDefault="000678EE"/>
    <w:p w14:paraId="7E2FF6DC" w14:textId="77777777" w:rsidR="000678EE" w:rsidRPr="00927455" w:rsidRDefault="000678EE"/>
    <w:p w14:paraId="111E4232" w14:textId="77777777" w:rsidR="00435175" w:rsidRPr="0071410A" w:rsidRDefault="00435175">
      <w:r>
        <w:t xml:space="preserve">(Signature of Minister)</w:t>
      </w:r>
    </w:p>
    <w:p w14:paraId="50DE3DC6" w14:textId="77777777" w:rsidR="00435175" w:rsidRPr="0071410A" w:rsidRDefault="00435175"/>
    <w:sectPr w:rsidR="00435175" w:rsidRPr="0071410A" w:rsidSect="00A623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3E818" w14:textId="77777777" w:rsidR="00B37648" w:rsidRDefault="00B37648" w:rsidP="005109FB">
      <w:pPr>
        <w:spacing w:after="0" w:line="240" w:lineRule="auto"/>
      </w:pPr>
      <w:r>
        <w:separator/>
      </w:r>
    </w:p>
  </w:endnote>
  <w:endnote w:type="continuationSeparator" w:id="0">
    <w:p w14:paraId="2D215427" w14:textId="77777777" w:rsidR="00B37648" w:rsidRDefault="00B37648" w:rsidP="005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CA871" w14:textId="77777777" w:rsidR="00B37648" w:rsidRDefault="00B37648" w:rsidP="005109FB">
      <w:pPr>
        <w:spacing w:after="0" w:line="240" w:lineRule="auto"/>
      </w:pPr>
      <w:r>
        <w:separator/>
      </w:r>
    </w:p>
  </w:footnote>
  <w:footnote w:type="continuationSeparator" w:id="0">
    <w:p w14:paraId="7B31E8CE" w14:textId="77777777" w:rsidR="00B37648" w:rsidRDefault="00B37648" w:rsidP="0051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6153"/>
    <w:multiLevelType w:val="multilevel"/>
    <w:tmpl w:val="80F6EFB2"/>
    <w:lvl w:ilvl="0">
      <w:start w:val="5"/>
      <w:numFmt w:val="bullet"/>
      <w:lvlText w:val="-"/>
      <w:lvlJc w:val="left"/>
      <w:pPr>
        <w:ind w:left="360" w:hanging="360"/>
      </w:pPr>
      <w:rPr>
        <w:rFonts w:ascii="Arial" w:eastAsia="Times New Roman" w:hAnsi="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8E73C0A"/>
    <w:multiLevelType w:val="hybridMultilevel"/>
    <w:tmpl w:val="4A3EAA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2F1679"/>
    <w:multiLevelType w:val="multilevel"/>
    <w:tmpl w:val="6576E9F0"/>
    <w:lvl w:ilvl="0">
      <w:start w:val="1"/>
      <w:numFmt w:val="lowerLetter"/>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F04286"/>
    <w:multiLevelType w:val="multilevel"/>
    <w:tmpl w:val="6576E9F0"/>
    <w:lvl w:ilvl="0">
      <w:start w:val="1"/>
      <w:numFmt w:val="lowerLetter"/>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6BE2359"/>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B582BD3"/>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2456D3A"/>
    <w:multiLevelType w:val="multilevel"/>
    <w:tmpl w:val="335CDB3C"/>
    <w:lvl w:ilvl="0">
      <w:start w:val="1"/>
      <w:numFmt w:val="decimal"/>
      <w:lvlText w:val="(%1)"/>
      <w:lvlJc w:val="left"/>
      <w:pPr>
        <w:ind w:left="454" w:hanging="454"/>
      </w:pPr>
      <w:rPr>
        <w:rFonts w:hint="default"/>
        <w:vertAlign w:val="superscript"/>
      </w:rPr>
    </w:lvl>
    <w:lvl w:ilvl="1">
      <w:start w:val="1"/>
      <w:numFmt w:val="none"/>
      <w:lvlText w:val="-"/>
      <w:lvlJc w:val="left"/>
      <w:pPr>
        <w:ind w:left="720" w:hanging="266"/>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2706525"/>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4055942"/>
    <w:multiLevelType w:val="multilevel"/>
    <w:tmpl w:val="80F6EFB2"/>
    <w:lvl w:ilvl="0">
      <w:start w:val="5"/>
      <w:numFmt w:val="bullet"/>
      <w:lvlText w:val="-"/>
      <w:lvlJc w:val="left"/>
      <w:pPr>
        <w:ind w:left="360" w:hanging="360"/>
      </w:pPr>
      <w:rPr>
        <w:rFonts w:ascii="Arial" w:eastAsia="Times New Roman" w:hAnsi="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5857990"/>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8D741DC"/>
    <w:multiLevelType w:val="multilevel"/>
    <w:tmpl w:val="892E1F24"/>
    <w:lvl w:ilvl="0">
      <w:start w:val="5"/>
      <w:numFmt w:val="bullet"/>
      <w:lvlText w:val="-"/>
      <w:lvlJc w:val="left"/>
      <w:pPr>
        <w:ind w:left="360" w:hanging="360"/>
      </w:pPr>
      <w:rPr>
        <w:rFonts w:ascii="Arial" w:eastAsia="Times New Roman" w:hAnsi="Arial" w:cs="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A504D3B"/>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4AC317A"/>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78B5E88"/>
    <w:multiLevelType w:val="multilevel"/>
    <w:tmpl w:val="6F663A66"/>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ED1794E"/>
    <w:multiLevelType w:val="multilevel"/>
    <w:tmpl w:val="146E104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F7A3989"/>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4482396"/>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4FC1C07"/>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5561120"/>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7731C88"/>
    <w:multiLevelType w:val="multilevel"/>
    <w:tmpl w:val="EF7E660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79A72B5"/>
    <w:multiLevelType w:val="multilevel"/>
    <w:tmpl w:val="AF08794A"/>
    <w:lvl w:ilvl="0">
      <w:start w:val="5"/>
      <w:numFmt w:val="bullet"/>
      <w:lvlText w:val="-"/>
      <w:lvlJc w:val="left"/>
      <w:pPr>
        <w:ind w:left="357" w:hanging="357"/>
      </w:pPr>
      <w:rPr>
        <w:rFonts w:ascii="Arial" w:eastAsia="Times New Roman" w:hAnsi="Arial" w:cs="Arial" w:hint="default"/>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15:restartNumberingAfterBreak="0">
    <w:nsid w:val="59090A4B"/>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94B62E1"/>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BC61202"/>
    <w:multiLevelType w:val="hybridMultilevel"/>
    <w:tmpl w:val="ED86DDA8"/>
    <w:lvl w:ilvl="0" w:tplc="D526C88A">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4" w15:restartNumberingAfterBreak="0">
    <w:nsid w:val="5D0A06B1"/>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EA1196A"/>
    <w:multiLevelType w:val="hybridMultilevel"/>
    <w:tmpl w:val="ED86DDA8"/>
    <w:lvl w:ilvl="0" w:tplc="D526C88A">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66551BD3"/>
    <w:multiLevelType w:val="hybridMultilevel"/>
    <w:tmpl w:val="0D969FB6"/>
    <w:lvl w:ilvl="0" w:tplc="A5D20526">
      <w:start w:val="1"/>
      <w:numFmt w:val="lowerLetter"/>
      <w:pStyle w:val="Listenumros"/>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7" w15:restartNumberingAfterBreak="0">
    <w:nsid w:val="6CB76D54"/>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FB1178E"/>
    <w:multiLevelType w:val="hybridMultilevel"/>
    <w:tmpl w:val="46546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3844D07"/>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4430515"/>
    <w:multiLevelType w:val="multilevel"/>
    <w:tmpl w:val="EF7E660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BEE1AEE"/>
    <w:multiLevelType w:val="multilevel"/>
    <w:tmpl w:val="335CDB3C"/>
    <w:lvl w:ilvl="0">
      <w:start w:val="1"/>
      <w:numFmt w:val="decimal"/>
      <w:lvlText w:val="(%1)"/>
      <w:lvlJc w:val="left"/>
      <w:pPr>
        <w:ind w:left="454" w:hanging="454"/>
      </w:pPr>
      <w:rPr>
        <w:rFonts w:hint="default"/>
        <w:vertAlign w:val="superscript"/>
      </w:rPr>
    </w:lvl>
    <w:lvl w:ilvl="1">
      <w:start w:val="1"/>
      <w:numFmt w:val="none"/>
      <w:lvlText w:val="-"/>
      <w:lvlJc w:val="left"/>
      <w:pPr>
        <w:ind w:left="720" w:hanging="266"/>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6"/>
  </w:num>
  <w:num w:numId="2">
    <w:abstractNumId w:val="7"/>
  </w:num>
  <w:num w:numId="3">
    <w:abstractNumId w:val="11"/>
  </w:num>
  <w:num w:numId="4">
    <w:abstractNumId w:val="31"/>
  </w:num>
  <w:num w:numId="5">
    <w:abstractNumId w:val="20"/>
  </w:num>
  <w:num w:numId="6">
    <w:abstractNumId w:val="10"/>
  </w:num>
  <w:num w:numId="7">
    <w:abstractNumId w:val="28"/>
  </w:num>
  <w:num w:numId="8">
    <w:abstractNumId w:val="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6"/>
  </w:num>
  <w:num w:numId="13">
    <w:abstractNumId w:val="3"/>
  </w:num>
  <w:num w:numId="14">
    <w:abstractNumId w:val="27"/>
  </w:num>
  <w:num w:numId="15">
    <w:abstractNumId w:val="21"/>
  </w:num>
  <w:num w:numId="16">
    <w:abstractNumId w:val="13"/>
  </w:num>
  <w:num w:numId="17">
    <w:abstractNumId w:val="22"/>
  </w:num>
  <w:num w:numId="18">
    <w:abstractNumId w:val="0"/>
  </w:num>
  <w:num w:numId="19">
    <w:abstractNumId w:val="17"/>
  </w:num>
  <w:num w:numId="20">
    <w:abstractNumId w:val="14"/>
  </w:num>
  <w:num w:numId="21">
    <w:abstractNumId w:val="18"/>
  </w:num>
  <w:num w:numId="22">
    <w:abstractNumId w:val="12"/>
  </w:num>
  <w:num w:numId="23">
    <w:abstractNumId w:val="30"/>
  </w:num>
  <w:num w:numId="24">
    <w:abstractNumId w:val="29"/>
  </w:num>
  <w:num w:numId="25">
    <w:abstractNumId w:val="16"/>
  </w:num>
  <w:num w:numId="26">
    <w:abstractNumId w:val="5"/>
  </w:num>
  <w:num w:numId="27">
    <w:abstractNumId w:val="24"/>
  </w:num>
  <w:num w:numId="28">
    <w:abstractNumId w:val="15"/>
  </w:num>
  <w:num w:numId="29">
    <w:abstractNumId w:val="19"/>
  </w:num>
  <w:num w:numId="30">
    <w:abstractNumId w:val="8"/>
  </w:num>
  <w:num w:numId="31">
    <w:abstractNumId w:val="2"/>
  </w:num>
  <w:num w:numId="32">
    <w:abstractNumId w:val="4"/>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0F"/>
    <w:rsid w:val="00000031"/>
    <w:rsid w:val="00002AC9"/>
    <w:rsid w:val="0000405A"/>
    <w:rsid w:val="000111A8"/>
    <w:rsid w:val="000159E4"/>
    <w:rsid w:val="00017B87"/>
    <w:rsid w:val="00020EC8"/>
    <w:rsid w:val="00022573"/>
    <w:rsid w:val="00022898"/>
    <w:rsid w:val="0002316F"/>
    <w:rsid w:val="00023DC7"/>
    <w:rsid w:val="00025A75"/>
    <w:rsid w:val="0002655D"/>
    <w:rsid w:val="00026AF0"/>
    <w:rsid w:val="0003320D"/>
    <w:rsid w:val="00035ACB"/>
    <w:rsid w:val="00036C6F"/>
    <w:rsid w:val="0003767B"/>
    <w:rsid w:val="000442B1"/>
    <w:rsid w:val="00045696"/>
    <w:rsid w:val="000456D8"/>
    <w:rsid w:val="00045EBC"/>
    <w:rsid w:val="00045F7A"/>
    <w:rsid w:val="00046768"/>
    <w:rsid w:val="000518C5"/>
    <w:rsid w:val="0006281B"/>
    <w:rsid w:val="00063AB0"/>
    <w:rsid w:val="000676C0"/>
    <w:rsid w:val="000678EE"/>
    <w:rsid w:val="00071179"/>
    <w:rsid w:val="00071719"/>
    <w:rsid w:val="00075AB6"/>
    <w:rsid w:val="00082D16"/>
    <w:rsid w:val="00083F2E"/>
    <w:rsid w:val="00091E40"/>
    <w:rsid w:val="000937D6"/>
    <w:rsid w:val="000943E0"/>
    <w:rsid w:val="00096991"/>
    <w:rsid w:val="00096DDB"/>
    <w:rsid w:val="000A1527"/>
    <w:rsid w:val="000A7422"/>
    <w:rsid w:val="000A7562"/>
    <w:rsid w:val="000B0C25"/>
    <w:rsid w:val="000B1EC1"/>
    <w:rsid w:val="000B2E5F"/>
    <w:rsid w:val="000B514A"/>
    <w:rsid w:val="000B6E28"/>
    <w:rsid w:val="000C2B29"/>
    <w:rsid w:val="000C3097"/>
    <w:rsid w:val="000D2FE1"/>
    <w:rsid w:val="000E202E"/>
    <w:rsid w:val="000E742F"/>
    <w:rsid w:val="000E7B1F"/>
    <w:rsid w:val="000F3184"/>
    <w:rsid w:val="000F5554"/>
    <w:rsid w:val="000F57EC"/>
    <w:rsid w:val="00107DD3"/>
    <w:rsid w:val="001124CF"/>
    <w:rsid w:val="00116259"/>
    <w:rsid w:val="0011737B"/>
    <w:rsid w:val="00120A34"/>
    <w:rsid w:val="00123631"/>
    <w:rsid w:val="00123960"/>
    <w:rsid w:val="00127334"/>
    <w:rsid w:val="001302A1"/>
    <w:rsid w:val="00132D3C"/>
    <w:rsid w:val="00132FDE"/>
    <w:rsid w:val="00136807"/>
    <w:rsid w:val="00142FB5"/>
    <w:rsid w:val="00143666"/>
    <w:rsid w:val="001442F7"/>
    <w:rsid w:val="001469AB"/>
    <w:rsid w:val="00146B7D"/>
    <w:rsid w:val="0014763D"/>
    <w:rsid w:val="001512AC"/>
    <w:rsid w:val="001527CC"/>
    <w:rsid w:val="001532E5"/>
    <w:rsid w:val="001544FF"/>
    <w:rsid w:val="0015497D"/>
    <w:rsid w:val="00155CF5"/>
    <w:rsid w:val="0016028F"/>
    <w:rsid w:val="00160F29"/>
    <w:rsid w:val="00161B09"/>
    <w:rsid w:val="00167C12"/>
    <w:rsid w:val="00173ABD"/>
    <w:rsid w:val="00175E7B"/>
    <w:rsid w:val="00176296"/>
    <w:rsid w:val="00177D3B"/>
    <w:rsid w:val="00185ED0"/>
    <w:rsid w:val="00194A84"/>
    <w:rsid w:val="00195C6B"/>
    <w:rsid w:val="00196A6A"/>
    <w:rsid w:val="0019765E"/>
    <w:rsid w:val="00197676"/>
    <w:rsid w:val="001A056F"/>
    <w:rsid w:val="001A0702"/>
    <w:rsid w:val="001A0E27"/>
    <w:rsid w:val="001A0EDA"/>
    <w:rsid w:val="001A1AE0"/>
    <w:rsid w:val="001A31F8"/>
    <w:rsid w:val="001A7051"/>
    <w:rsid w:val="001B28A5"/>
    <w:rsid w:val="001B4554"/>
    <w:rsid w:val="001B4886"/>
    <w:rsid w:val="001B7B19"/>
    <w:rsid w:val="001C13D6"/>
    <w:rsid w:val="001C1C49"/>
    <w:rsid w:val="001C389A"/>
    <w:rsid w:val="001D1C64"/>
    <w:rsid w:val="001D2B0A"/>
    <w:rsid w:val="001D40B1"/>
    <w:rsid w:val="001D4E84"/>
    <w:rsid w:val="001D572C"/>
    <w:rsid w:val="001D6796"/>
    <w:rsid w:val="001E2CC5"/>
    <w:rsid w:val="001E3710"/>
    <w:rsid w:val="001F1192"/>
    <w:rsid w:val="001F2AF2"/>
    <w:rsid w:val="00201128"/>
    <w:rsid w:val="0020246B"/>
    <w:rsid w:val="002036FB"/>
    <w:rsid w:val="00210C37"/>
    <w:rsid w:val="00210F70"/>
    <w:rsid w:val="002111D5"/>
    <w:rsid w:val="00213749"/>
    <w:rsid w:val="00213A5C"/>
    <w:rsid w:val="00217C74"/>
    <w:rsid w:val="002205F2"/>
    <w:rsid w:val="002241A0"/>
    <w:rsid w:val="00225846"/>
    <w:rsid w:val="00225A18"/>
    <w:rsid w:val="0022676F"/>
    <w:rsid w:val="00227359"/>
    <w:rsid w:val="002311FE"/>
    <w:rsid w:val="00231CB6"/>
    <w:rsid w:val="00232538"/>
    <w:rsid w:val="00235901"/>
    <w:rsid w:val="002439DF"/>
    <w:rsid w:val="002467CF"/>
    <w:rsid w:val="00247D32"/>
    <w:rsid w:val="00252095"/>
    <w:rsid w:val="0025321E"/>
    <w:rsid w:val="0025355B"/>
    <w:rsid w:val="00255392"/>
    <w:rsid w:val="00272F15"/>
    <w:rsid w:val="002735E2"/>
    <w:rsid w:val="002757C3"/>
    <w:rsid w:val="00276835"/>
    <w:rsid w:val="00276D60"/>
    <w:rsid w:val="0028130C"/>
    <w:rsid w:val="00281B9A"/>
    <w:rsid w:val="00283669"/>
    <w:rsid w:val="002860BD"/>
    <w:rsid w:val="0028645E"/>
    <w:rsid w:val="00287E7E"/>
    <w:rsid w:val="00291C0B"/>
    <w:rsid w:val="00291E9B"/>
    <w:rsid w:val="002A0E41"/>
    <w:rsid w:val="002A272E"/>
    <w:rsid w:val="002A4531"/>
    <w:rsid w:val="002B2645"/>
    <w:rsid w:val="002B6A7C"/>
    <w:rsid w:val="002B74F0"/>
    <w:rsid w:val="002C0C2F"/>
    <w:rsid w:val="002C275A"/>
    <w:rsid w:val="002C3CA0"/>
    <w:rsid w:val="002C47D6"/>
    <w:rsid w:val="002C6D29"/>
    <w:rsid w:val="002C717D"/>
    <w:rsid w:val="002D047B"/>
    <w:rsid w:val="002D3A90"/>
    <w:rsid w:val="002D4DD5"/>
    <w:rsid w:val="002D5A97"/>
    <w:rsid w:val="002E05D6"/>
    <w:rsid w:val="002E0C5E"/>
    <w:rsid w:val="002E10BD"/>
    <w:rsid w:val="002F19B4"/>
    <w:rsid w:val="00302479"/>
    <w:rsid w:val="00303053"/>
    <w:rsid w:val="003040A4"/>
    <w:rsid w:val="003130B6"/>
    <w:rsid w:val="00314E76"/>
    <w:rsid w:val="00316B97"/>
    <w:rsid w:val="00317AAE"/>
    <w:rsid w:val="003201DD"/>
    <w:rsid w:val="00320C85"/>
    <w:rsid w:val="003225FD"/>
    <w:rsid w:val="00327E95"/>
    <w:rsid w:val="00330C33"/>
    <w:rsid w:val="00331259"/>
    <w:rsid w:val="00331816"/>
    <w:rsid w:val="00331FA2"/>
    <w:rsid w:val="00335137"/>
    <w:rsid w:val="00336FC7"/>
    <w:rsid w:val="003430F9"/>
    <w:rsid w:val="00344B62"/>
    <w:rsid w:val="0034626D"/>
    <w:rsid w:val="003522A9"/>
    <w:rsid w:val="00360253"/>
    <w:rsid w:val="00360266"/>
    <w:rsid w:val="003630C9"/>
    <w:rsid w:val="00364324"/>
    <w:rsid w:val="00365A88"/>
    <w:rsid w:val="00365D88"/>
    <w:rsid w:val="0036720F"/>
    <w:rsid w:val="00367AB7"/>
    <w:rsid w:val="00370EB5"/>
    <w:rsid w:val="00374CBE"/>
    <w:rsid w:val="00375FA1"/>
    <w:rsid w:val="003774D1"/>
    <w:rsid w:val="00377F7F"/>
    <w:rsid w:val="003856CD"/>
    <w:rsid w:val="003856FB"/>
    <w:rsid w:val="003903F1"/>
    <w:rsid w:val="00397CBD"/>
    <w:rsid w:val="003A0038"/>
    <w:rsid w:val="003A0532"/>
    <w:rsid w:val="003A50D2"/>
    <w:rsid w:val="003A7A20"/>
    <w:rsid w:val="003B1602"/>
    <w:rsid w:val="003B2E65"/>
    <w:rsid w:val="003B3925"/>
    <w:rsid w:val="003B51AF"/>
    <w:rsid w:val="003B58FD"/>
    <w:rsid w:val="003B6C33"/>
    <w:rsid w:val="003B703E"/>
    <w:rsid w:val="003C45E0"/>
    <w:rsid w:val="003C6C7E"/>
    <w:rsid w:val="003D0ADC"/>
    <w:rsid w:val="003D0E20"/>
    <w:rsid w:val="003D11C3"/>
    <w:rsid w:val="003D19E4"/>
    <w:rsid w:val="003D3D9F"/>
    <w:rsid w:val="003E70EC"/>
    <w:rsid w:val="003F0CAD"/>
    <w:rsid w:val="003F7E72"/>
    <w:rsid w:val="00400AEB"/>
    <w:rsid w:val="00400FAE"/>
    <w:rsid w:val="0040174A"/>
    <w:rsid w:val="004028B7"/>
    <w:rsid w:val="00403F7C"/>
    <w:rsid w:val="00410780"/>
    <w:rsid w:val="004142AA"/>
    <w:rsid w:val="004153F4"/>
    <w:rsid w:val="00417670"/>
    <w:rsid w:val="004223F4"/>
    <w:rsid w:val="00423137"/>
    <w:rsid w:val="004253AD"/>
    <w:rsid w:val="004260D4"/>
    <w:rsid w:val="00426B1C"/>
    <w:rsid w:val="004274DE"/>
    <w:rsid w:val="004342D7"/>
    <w:rsid w:val="00435175"/>
    <w:rsid w:val="00436151"/>
    <w:rsid w:val="00436EC9"/>
    <w:rsid w:val="004419B4"/>
    <w:rsid w:val="0044394A"/>
    <w:rsid w:val="00444B53"/>
    <w:rsid w:val="00451667"/>
    <w:rsid w:val="004536A4"/>
    <w:rsid w:val="004538DD"/>
    <w:rsid w:val="0045471F"/>
    <w:rsid w:val="00455D60"/>
    <w:rsid w:val="00457BFF"/>
    <w:rsid w:val="00460AA5"/>
    <w:rsid w:val="004626EB"/>
    <w:rsid w:val="00463C9D"/>
    <w:rsid w:val="00465165"/>
    <w:rsid w:val="00466087"/>
    <w:rsid w:val="00466A3C"/>
    <w:rsid w:val="0047175C"/>
    <w:rsid w:val="0048054A"/>
    <w:rsid w:val="00481C67"/>
    <w:rsid w:val="00482BE5"/>
    <w:rsid w:val="00483BDB"/>
    <w:rsid w:val="00484803"/>
    <w:rsid w:val="004848C7"/>
    <w:rsid w:val="00484A49"/>
    <w:rsid w:val="004861F3"/>
    <w:rsid w:val="0049381C"/>
    <w:rsid w:val="00493C92"/>
    <w:rsid w:val="004947FA"/>
    <w:rsid w:val="00496530"/>
    <w:rsid w:val="00496822"/>
    <w:rsid w:val="004A06B7"/>
    <w:rsid w:val="004A247E"/>
    <w:rsid w:val="004A3D01"/>
    <w:rsid w:val="004A3E59"/>
    <w:rsid w:val="004A437B"/>
    <w:rsid w:val="004A69A0"/>
    <w:rsid w:val="004A7BE9"/>
    <w:rsid w:val="004B0CA5"/>
    <w:rsid w:val="004B2E7A"/>
    <w:rsid w:val="004B5F96"/>
    <w:rsid w:val="004C0FB6"/>
    <w:rsid w:val="004C1003"/>
    <w:rsid w:val="004C26D8"/>
    <w:rsid w:val="004D0840"/>
    <w:rsid w:val="004D2392"/>
    <w:rsid w:val="004D2827"/>
    <w:rsid w:val="004D353D"/>
    <w:rsid w:val="004D4AFD"/>
    <w:rsid w:val="004D5F1B"/>
    <w:rsid w:val="004E0A55"/>
    <w:rsid w:val="004E302B"/>
    <w:rsid w:val="004E3F90"/>
    <w:rsid w:val="004F1096"/>
    <w:rsid w:val="004F137E"/>
    <w:rsid w:val="004F28D4"/>
    <w:rsid w:val="004F32AE"/>
    <w:rsid w:val="004F3A88"/>
    <w:rsid w:val="004F5840"/>
    <w:rsid w:val="004F667F"/>
    <w:rsid w:val="004F70C8"/>
    <w:rsid w:val="00501256"/>
    <w:rsid w:val="0050277C"/>
    <w:rsid w:val="00504C98"/>
    <w:rsid w:val="00505B8D"/>
    <w:rsid w:val="005062BC"/>
    <w:rsid w:val="00507A78"/>
    <w:rsid w:val="005109FB"/>
    <w:rsid w:val="00512140"/>
    <w:rsid w:val="005136F2"/>
    <w:rsid w:val="00513C0B"/>
    <w:rsid w:val="00513C3D"/>
    <w:rsid w:val="00514079"/>
    <w:rsid w:val="0051437A"/>
    <w:rsid w:val="00516408"/>
    <w:rsid w:val="00516FA3"/>
    <w:rsid w:val="00523E07"/>
    <w:rsid w:val="0052788B"/>
    <w:rsid w:val="00530A50"/>
    <w:rsid w:val="00531224"/>
    <w:rsid w:val="00531816"/>
    <w:rsid w:val="00531ABC"/>
    <w:rsid w:val="00536578"/>
    <w:rsid w:val="00542850"/>
    <w:rsid w:val="00542D6A"/>
    <w:rsid w:val="005460D8"/>
    <w:rsid w:val="00547538"/>
    <w:rsid w:val="00555049"/>
    <w:rsid w:val="0056030C"/>
    <w:rsid w:val="005639F4"/>
    <w:rsid w:val="00565D3B"/>
    <w:rsid w:val="005717D3"/>
    <w:rsid w:val="00571A3C"/>
    <w:rsid w:val="00573F80"/>
    <w:rsid w:val="005770E2"/>
    <w:rsid w:val="0058734E"/>
    <w:rsid w:val="0059011F"/>
    <w:rsid w:val="00590356"/>
    <w:rsid w:val="00590AFC"/>
    <w:rsid w:val="00594C5A"/>
    <w:rsid w:val="005A07C8"/>
    <w:rsid w:val="005A144E"/>
    <w:rsid w:val="005B0801"/>
    <w:rsid w:val="005B2F63"/>
    <w:rsid w:val="005B3A8C"/>
    <w:rsid w:val="005B5D65"/>
    <w:rsid w:val="005B6457"/>
    <w:rsid w:val="005C026D"/>
    <w:rsid w:val="005C22B9"/>
    <w:rsid w:val="005C36BE"/>
    <w:rsid w:val="005C5B33"/>
    <w:rsid w:val="005D336C"/>
    <w:rsid w:val="005D4FC6"/>
    <w:rsid w:val="005D674E"/>
    <w:rsid w:val="005E25DA"/>
    <w:rsid w:val="005F0066"/>
    <w:rsid w:val="005F5B93"/>
    <w:rsid w:val="005F65D3"/>
    <w:rsid w:val="0060258A"/>
    <w:rsid w:val="006068A9"/>
    <w:rsid w:val="0061103E"/>
    <w:rsid w:val="00615A5B"/>
    <w:rsid w:val="0061605C"/>
    <w:rsid w:val="0062187B"/>
    <w:rsid w:val="006222E6"/>
    <w:rsid w:val="006238B9"/>
    <w:rsid w:val="00623CB3"/>
    <w:rsid w:val="00623D57"/>
    <w:rsid w:val="006317FD"/>
    <w:rsid w:val="006321DC"/>
    <w:rsid w:val="00633C3D"/>
    <w:rsid w:val="00635AAC"/>
    <w:rsid w:val="00636F86"/>
    <w:rsid w:val="00637478"/>
    <w:rsid w:val="006438E0"/>
    <w:rsid w:val="00643F28"/>
    <w:rsid w:val="00644CBD"/>
    <w:rsid w:val="006476BC"/>
    <w:rsid w:val="00650407"/>
    <w:rsid w:val="00653D6E"/>
    <w:rsid w:val="00654A32"/>
    <w:rsid w:val="0065601B"/>
    <w:rsid w:val="006579C7"/>
    <w:rsid w:val="00661C4C"/>
    <w:rsid w:val="006635B1"/>
    <w:rsid w:val="0066730E"/>
    <w:rsid w:val="0067069E"/>
    <w:rsid w:val="00672752"/>
    <w:rsid w:val="00673ABF"/>
    <w:rsid w:val="006776FC"/>
    <w:rsid w:val="0068206E"/>
    <w:rsid w:val="00684814"/>
    <w:rsid w:val="00691A3A"/>
    <w:rsid w:val="00692A02"/>
    <w:rsid w:val="00693075"/>
    <w:rsid w:val="00693E17"/>
    <w:rsid w:val="006A4067"/>
    <w:rsid w:val="006A5222"/>
    <w:rsid w:val="006A59C6"/>
    <w:rsid w:val="006A5BEB"/>
    <w:rsid w:val="006A5C3E"/>
    <w:rsid w:val="006A6F48"/>
    <w:rsid w:val="006B2569"/>
    <w:rsid w:val="006B3CCF"/>
    <w:rsid w:val="006C0A3D"/>
    <w:rsid w:val="006C0FC8"/>
    <w:rsid w:val="006C4E3C"/>
    <w:rsid w:val="006C744D"/>
    <w:rsid w:val="006C7FD8"/>
    <w:rsid w:val="006D0751"/>
    <w:rsid w:val="006D3E17"/>
    <w:rsid w:val="006E3AE7"/>
    <w:rsid w:val="006E57D9"/>
    <w:rsid w:val="006F0C59"/>
    <w:rsid w:val="006F14B9"/>
    <w:rsid w:val="006F64AD"/>
    <w:rsid w:val="007038EE"/>
    <w:rsid w:val="00705E34"/>
    <w:rsid w:val="00706827"/>
    <w:rsid w:val="00710E46"/>
    <w:rsid w:val="007128AC"/>
    <w:rsid w:val="00713A9D"/>
    <w:rsid w:val="0071410A"/>
    <w:rsid w:val="00717FC9"/>
    <w:rsid w:val="00721FE2"/>
    <w:rsid w:val="00723CE5"/>
    <w:rsid w:val="007262A6"/>
    <w:rsid w:val="00727AB3"/>
    <w:rsid w:val="007348F4"/>
    <w:rsid w:val="0073589D"/>
    <w:rsid w:val="007358D5"/>
    <w:rsid w:val="0073662E"/>
    <w:rsid w:val="00742F4A"/>
    <w:rsid w:val="00743848"/>
    <w:rsid w:val="00743E4A"/>
    <w:rsid w:val="00750CF5"/>
    <w:rsid w:val="007529EE"/>
    <w:rsid w:val="007567AD"/>
    <w:rsid w:val="00756A9E"/>
    <w:rsid w:val="007603FC"/>
    <w:rsid w:val="00760A68"/>
    <w:rsid w:val="00763E71"/>
    <w:rsid w:val="007738B2"/>
    <w:rsid w:val="0077668D"/>
    <w:rsid w:val="007822E9"/>
    <w:rsid w:val="007828FA"/>
    <w:rsid w:val="00783D6D"/>
    <w:rsid w:val="00785AEB"/>
    <w:rsid w:val="00786363"/>
    <w:rsid w:val="00791FC9"/>
    <w:rsid w:val="0079277B"/>
    <w:rsid w:val="00794000"/>
    <w:rsid w:val="00794EE0"/>
    <w:rsid w:val="00795CBB"/>
    <w:rsid w:val="007A1239"/>
    <w:rsid w:val="007B0DDE"/>
    <w:rsid w:val="007B2888"/>
    <w:rsid w:val="007C001C"/>
    <w:rsid w:val="007C243D"/>
    <w:rsid w:val="007C46F4"/>
    <w:rsid w:val="007D193C"/>
    <w:rsid w:val="007D1B7C"/>
    <w:rsid w:val="007D22C0"/>
    <w:rsid w:val="007D3CA6"/>
    <w:rsid w:val="007D77F0"/>
    <w:rsid w:val="007E1CFC"/>
    <w:rsid w:val="007E2BBB"/>
    <w:rsid w:val="007E5F18"/>
    <w:rsid w:val="007E6ABD"/>
    <w:rsid w:val="007E79A6"/>
    <w:rsid w:val="007E7FDA"/>
    <w:rsid w:val="007F26A7"/>
    <w:rsid w:val="007F28FF"/>
    <w:rsid w:val="007F3181"/>
    <w:rsid w:val="007F534E"/>
    <w:rsid w:val="007F61EA"/>
    <w:rsid w:val="008021E2"/>
    <w:rsid w:val="00802317"/>
    <w:rsid w:val="00804522"/>
    <w:rsid w:val="00804BB9"/>
    <w:rsid w:val="00807090"/>
    <w:rsid w:val="0081025F"/>
    <w:rsid w:val="008125F2"/>
    <w:rsid w:val="00812A1E"/>
    <w:rsid w:val="00822EDC"/>
    <w:rsid w:val="0082616B"/>
    <w:rsid w:val="00827A64"/>
    <w:rsid w:val="00830440"/>
    <w:rsid w:val="00833884"/>
    <w:rsid w:val="00834C45"/>
    <w:rsid w:val="00836DCD"/>
    <w:rsid w:val="00837926"/>
    <w:rsid w:val="00841DBB"/>
    <w:rsid w:val="008423E6"/>
    <w:rsid w:val="00843C72"/>
    <w:rsid w:val="008442A8"/>
    <w:rsid w:val="008458F8"/>
    <w:rsid w:val="0085100A"/>
    <w:rsid w:val="00851476"/>
    <w:rsid w:val="008514A0"/>
    <w:rsid w:val="008517C3"/>
    <w:rsid w:val="00853D0D"/>
    <w:rsid w:val="00854BE3"/>
    <w:rsid w:val="00855551"/>
    <w:rsid w:val="00857CF3"/>
    <w:rsid w:val="00857DA7"/>
    <w:rsid w:val="00860CE1"/>
    <w:rsid w:val="008645F9"/>
    <w:rsid w:val="00865C3A"/>
    <w:rsid w:val="0086624D"/>
    <w:rsid w:val="00867479"/>
    <w:rsid w:val="00870773"/>
    <w:rsid w:val="00871C62"/>
    <w:rsid w:val="008734C8"/>
    <w:rsid w:val="008749CC"/>
    <w:rsid w:val="00876E9E"/>
    <w:rsid w:val="00877F9D"/>
    <w:rsid w:val="00882C7F"/>
    <w:rsid w:val="00883F52"/>
    <w:rsid w:val="008842A8"/>
    <w:rsid w:val="008855B0"/>
    <w:rsid w:val="00886DBE"/>
    <w:rsid w:val="00887406"/>
    <w:rsid w:val="00891B58"/>
    <w:rsid w:val="00893619"/>
    <w:rsid w:val="00895704"/>
    <w:rsid w:val="008A0843"/>
    <w:rsid w:val="008A30B5"/>
    <w:rsid w:val="008A3181"/>
    <w:rsid w:val="008A5B71"/>
    <w:rsid w:val="008A5C17"/>
    <w:rsid w:val="008A6451"/>
    <w:rsid w:val="008B0126"/>
    <w:rsid w:val="008B191F"/>
    <w:rsid w:val="008B653D"/>
    <w:rsid w:val="008B7AAC"/>
    <w:rsid w:val="008B7BE8"/>
    <w:rsid w:val="008C4039"/>
    <w:rsid w:val="008D03E6"/>
    <w:rsid w:val="008D076E"/>
    <w:rsid w:val="008D2504"/>
    <w:rsid w:val="008D2E58"/>
    <w:rsid w:val="008D3CF9"/>
    <w:rsid w:val="008D5587"/>
    <w:rsid w:val="008E0FEC"/>
    <w:rsid w:val="008E1EDD"/>
    <w:rsid w:val="008E2B77"/>
    <w:rsid w:val="008E3201"/>
    <w:rsid w:val="008E6AEB"/>
    <w:rsid w:val="008E7235"/>
    <w:rsid w:val="008F6338"/>
    <w:rsid w:val="008F6E5C"/>
    <w:rsid w:val="008F73E7"/>
    <w:rsid w:val="009009C4"/>
    <w:rsid w:val="00904247"/>
    <w:rsid w:val="0090472D"/>
    <w:rsid w:val="00904ABB"/>
    <w:rsid w:val="0090646D"/>
    <w:rsid w:val="009111D9"/>
    <w:rsid w:val="009117A7"/>
    <w:rsid w:val="00912FAD"/>
    <w:rsid w:val="00914C95"/>
    <w:rsid w:val="0092080E"/>
    <w:rsid w:val="00922542"/>
    <w:rsid w:val="00923926"/>
    <w:rsid w:val="00924C32"/>
    <w:rsid w:val="00924E26"/>
    <w:rsid w:val="00927455"/>
    <w:rsid w:val="0093518F"/>
    <w:rsid w:val="00935FDA"/>
    <w:rsid w:val="009362F6"/>
    <w:rsid w:val="00936826"/>
    <w:rsid w:val="009368C5"/>
    <w:rsid w:val="009371D1"/>
    <w:rsid w:val="009405BF"/>
    <w:rsid w:val="00941691"/>
    <w:rsid w:val="00950C93"/>
    <w:rsid w:val="0095137E"/>
    <w:rsid w:val="009534F4"/>
    <w:rsid w:val="00953F4F"/>
    <w:rsid w:val="009550FD"/>
    <w:rsid w:val="009573B4"/>
    <w:rsid w:val="00960CFF"/>
    <w:rsid w:val="009611AC"/>
    <w:rsid w:val="009634D5"/>
    <w:rsid w:val="00965040"/>
    <w:rsid w:val="00967E6D"/>
    <w:rsid w:val="00970556"/>
    <w:rsid w:val="00970DB4"/>
    <w:rsid w:val="00973677"/>
    <w:rsid w:val="00983928"/>
    <w:rsid w:val="00983F73"/>
    <w:rsid w:val="0098772C"/>
    <w:rsid w:val="00996A78"/>
    <w:rsid w:val="00996AA8"/>
    <w:rsid w:val="009976D9"/>
    <w:rsid w:val="009A0962"/>
    <w:rsid w:val="009A0C00"/>
    <w:rsid w:val="009A2919"/>
    <w:rsid w:val="009A7C13"/>
    <w:rsid w:val="009B3EE7"/>
    <w:rsid w:val="009B43D4"/>
    <w:rsid w:val="009B7905"/>
    <w:rsid w:val="009C00D2"/>
    <w:rsid w:val="009C0284"/>
    <w:rsid w:val="009C2225"/>
    <w:rsid w:val="009C264A"/>
    <w:rsid w:val="009C30B7"/>
    <w:rsid w:val="009C4DF8"/>
    <w:rsid w:val="009C640D"/>
    <w:rsid w:val="009C6BB4"/>
    <w:rsid w:val="009D10B7"/>
    <w:rsid w:val="009D182A"/>
    <w:rsid w:val="009D257F"/>
    <w:rsid w:val="009D2D80"/>
    <w:rsid w:val="009D669C"/>
    <w:rsid w:val="009D721C"/>
    <w:rsid w:val="009D7A02"/>
    <w:rsid w:val="009E07B6"/>
    <w:rsid w:val="009E3ED7"/>
    <w:rsid w:val="009F78DE"/>
    <w:rsid w:val="00A002FA"/>
    <w:rsid w:val="00A0368F"/>
    <w:rsid w:val="00A03882"/>
    <w:rsid w:val="00A05230"/>
    <w:rsid w:val="00A05B35"/>
    <w:rsid w:val="00A05B48"/>
    <w:rsid w:val="00A075E9"/>
    <w:rsid w:val="00A0760A"/>
    <w:rsid w:val="00A10CE5"/>
    <w:rsid w:val="00A131F9"/>
    <w:rsid w:val="00A13ED8"/>
    <w:rsid w:val="00A2769C"/>
    <w:rsid w:val="00A30B17"/>
    <w:rsid w:val="00A30CD7"/>
    <w:rsid w:val="00A312E3"/>
    <w:rsid w:val="00A31C60"/>
    <w:rsid w:val="00A4142B"/>
    <w:rsid w:val="00A422E6"/>
    <w:rsid w:val="00A46521"/>
    <w:rsid w:val="00A50F1A"/>
    <w:rsid w:val="00A53A2A"/>
    <w:rsid w:val="00A54DA4"/>
    <w:rsid w:val="00A54F2E"/>
    <w:rsid w:val="00A61736"/>
    <w:rsid w:val="00A619E2"/>
    <w:rsid w:val="00A62359"/>
    <w:rsid w:val="00A62618"/>
    <w:rsid w:val="00A64FD3"/>
    <w:rsid w:val="00A65079"/>
    <w:rsid w:val="00A66A2A"/>
    <w:rsid w:val="00A7030D"/>
    <w:rsid w:val="00A73414"/>
    <w:rsid w:val="00A759F1"/>
    <w:rsid w:val="00A75E4D"/>
    <w:rsid w:val="00A80553"/>
    <w:rsid w:val="00A80914"/>
    <w:rsid w:val="00A85265"/>
    <w:rsid w:val="00A8567D"/>
    <w:rsid w:val="00A87183"/>
    <w:rsid w:val="00A90B11"/>
    <w:rsid w:val="00A90DCF"/>
    <w:rsid w:val="00A91430"/>
    <w:rsid w:val="00A940A9"/>
    <w:rsid w:val="00A94566"/>
    <w:rsid w:val="00A94AEE"/>
    <w:rsid w:val="00A95AB6"/>
    <w:rsid w:val="00AA0F98"/>
    <w:rsid w:val="00AA1614"/>
    <w:rsid w:val="00AA34C2"/>
    <w:rsid w:val="00AA47B5"/>
    <w:rsid w:val="00AA5566"/>
    <w:rsid w:val="00AA6859"/>
    <w:rsid w:val="00AA7F5E"/>
    <w:rsid w:val="00AB0581"/>
    <w:rsid w:val="00AB0CD0"/>
    <w:rsid w:val="00AB45D1"/>
    <w:rsid w:val="00AB52A5"/>
    <w:rsid w:val="00AB56B4"/>
    <w:rsid w:val="00AB6F2E"/>
    <w:rsid w:val="00AB7022"/>
    <w:rsid w:val="00AC4260"/>
    <w:rsid w:val="00AC4494"/>
    <w:rsid w:val="00AC74D3"/>
    <w:rsid w:val="00AD17DC"/>
    <w:rsid w:val="00AD1FF0"/>
    <w:rsid w:val="00AD3A56"/>
    <w:rsid w:val="00AD4737"/>
    <w:rsid w:val="00AD4DC8"/>
    <w:rsid w:val="00AD6061"/>
    <w:rsid w:val="00AE07FE"/>
    <w:rsid w:val="00AE0CF5"/>
    <w:rsid w:val="00AE0E6D"/>
    <w:rsid w:val="00AF039A"/>
    <w:rsid w:val="00AF1C10"/>
    <w:rsid w:val="00AF4897"/>
    <w:rsid w:val="00AF534A"/>
    <w:rsid w:val="00AF6906"/>
    <w:rsid w:val="00AF7FD1"/>
    <w:rsid w:val="00B0077F"/>
    <w:rsid w:val="00B017D3"/>
    <w:rsid w:val="00B02B39"/>
    <w:rsid w:val="00B10397"/>
    <w:rsid w:val="00B10A26"/>
    <w:rsid w:val="00B1457B"/>
    <w:rsid w:val="00B20DAC"/>
    <w:rsid w:val="00B2648B"/>
    <w:rsid w:val="00B33953"/>
    <w:rsid w:val="00B37648"/>
    <w:rsid w:val="00B405E7"/>
    <w:rsid w:val="00B44854"/>
    <w:rsid w:val="00B46F87"/>
    <w:rsid w:val="00B47352"/>
    <w:rsid w:val="00B47DA2"/>
    <w:rsid w:val="00B529E2"/>
    <w:rsid w:val="00B5685F"/>
    <w:rsid w:val="00B57375"/>
    <w:rsid w:val="00B61E05"/>
    <w:rsid w:val="00B653D7"/>
    <w:rsid w:val="00B67D44"/>
    <w:rsid w:val="00B707EC"/>
    <w:rsid w:val="00B70EC6"/>
    <w:rsid w:val="00B71115"/>
    <w:rsid w:val="00B75FB5"/>
    <w:rsid w:val="00B81D4A"/>
    <w:rsid w:val="00B8605F"/>
    <w:rsid w:val="00B902EC"/>
    <w:rsid w:val="00B94A0E"/>
    <w:rsid w:val="00B97382"/>
    <w:rsid w:val="00BA2939"/>
    <w:rsid w:val="00BA772A"/>
    <w:rsid w:val="00BB0E9E"/>
    <w:rsid w:val="00BB545F"/>
    <w:rsid w:val="00BB68D1"/>
    <w:rsid w:val="00BC3321"/>
    <w:rsid w:val="00BC7788"/>
    <w:rsid w:val="00BC7F6B"/>
    <w:rsid w:val="00BE0FFB"/>
    <w:rsid w:val="00BE37A6"/>
    <w:rsid w:val="00BE57CD"/>
    <w:rsid w:val="00BF015F"/>
    <w:rsid w:val="00BF0430"/>
    <w:rsid w:val="00BF24C1"/>
    <w:rsid w:val="00BF27F3"/>
    <w:rsid w:val="00BF28FE"/>
    <w:rsid w:val="00BF54B5"/>
    <w:rsid w:val="00C00CC6"/>
    <w:rsid w:val="00C0174D"/>
    <w:rsid w:val="00C018B3"/>
    <w:rsid w:val="00C03188"/>
    <w:rsid w:val="00C10CD5"/>
    <w:rsid w:val="00C10CE9"/>
    <w:rsid w:val="00C11D92"/>
    <w:rsid w:val="00C12726"/>
    <w:rsid w:val="00C15326"/>
    <w:rsid w:val="00C17F2E"/>
    <w:rsid w:val="00C24A08"/>
    <w:rsid w:val="00C2683D"/>
    <w:rsid w:val="00C27CE2"/>
    <w:rsid w:val="00C34F11"/>
    <w:rsid w:val="00C34F4B"/>
    <w:rsid w:val="00C40600"/>
    <w:rsid w:val="00C43DE1"/>
    <w:rsid w:val="00C476D5"/>
    <w:rsid w:val="00C507D7"/>
    <w:rsid w:val="00C50EEC"/>
    <w:rsid w:val="00C54E90"/>
    <w:rsid w:val="00C6090F"/>
    <w:rsid w:val="00C60BB8"/>
    <w:rsid w:val="00C6312E"/>
    <w:rsid w:val="00C63405"/>
    <w:rsid w:val="00C67410"/>
    <w:rsid w:val="00C678B7"/>
    <w:rsid w:val="00C70881"/>
    <w:rsid w:val="00C75E74"/>
    <w:rsid w:val="00C771E8"/>
    <w:rsid w:val="00C8170B"/>
    <w:rsid w:val="00C8263E"/>
    <w:rsid w:val="00C82A5F"/>
    <w:rsid w:val="00C836D8"/>
    <w:rsid w:val="00C83D2F"/>
    <w:rsid w:val="00C84DEA"/>
    <w:rsid w:val="00C876D7"/>
    <w:rsid w:val="00C87D4A"/>
    <w:rsid w:val="00C94C28"/>
    <w:rsid w:val="00CA1D62"/>
    <w:rsid w:val="00CA1F75"/>
    <w:rsid w:val="00CA332E"/>
    <w:rsid w:val="00CA5588"/>
    <w:rsid w:val="00CA7B92"/>
    <w:rsid w:val="00CC0EAB"/>
    <w:rsid w:val="00CC275F"/>
    <w:rsid w:val="00CC4B3D"/>
    <w:rsid w:val="00CC5E88"/>
    <w:rsid w:val="00CC63C0"/>
    <w:rsid w:val="00CD14EB"/>
    <w:rsid w:val="00CD4487"/>
    <w:rsid w:val="00CD661C"/>
    <w:rsid w:val="00CD6A27"/>
    <w:rsid w:val="00CD7426"/>
    <w:rsid w:val="00CE04C8"/>
    <w:rsid w:val="00CE375F"/>
    <w:rsid w:val="00CE3AC0"/>
    <w:rsid w:val="00CE7C3D"/>
    <w:rsid w:val="00CE7CDD"/>
    <w:rsid w:val="00CF2C15"/>
    <w:rsid w:val="00CF2FE8"/>
    <w:rsid w:val="00CF39F3"/>
    <w:rsid w:val="00CF4229"/>
    <w:rsid w:val="00CF70F5"/>
    <w:rsid w:val="00D05317"/>
    <w:rsid w:val="00D05CEC"/>
    <w:rsid w:val="00D14D45"/>
    <w:rsid w:val="00D168A0"/>
    <w:rsid w:val="00D21091"/>
    <w:rsid w:val="00D2307E"/>
    <w:rsid w:val="00D23F98"/>
    <w:rsid w:val="00D2701F"/>
    <w:rsid w:val="00D314FD"/>
    <w:rsid w:val="00D34572"/>
    <w:rsid w:val="00D3526B"/>
    <w:rsid w:val="00D3798C"/>
    <w:rsid w:val="00D459D3"/>
    <w:rsid w:val="00D50481"/>
    <w:rsid w:val="00D5115F"/>
    <w:rsid w:val="00D52CDD"/>
    <w:rsid w:val="00D52D6C"/>
    <w:rsid w:val="00D57233"/>
    <w:rsid w:val="00D645C9"/>
    <w:rsid w:val="00D65420"/>
    <w:rsid w:val="00D76D4F"/>
    <w:rsid w:val="00D81C7B"/>
    <w:rsid w:val="00D8360B"/>
    <w:rsid w:val="00D83AA0"/>
    <w:rsid w:val="00D858FA"/>
    <w:rsid w:val="00D90CA5"/>
    <w:rsid w:val="00D915E5"/>
    <w:rsid w:val="00D923B5"/>
    <w:rsid w:val="00D94E88"/>
    <w:rsid w:val="00D979B4"/>
    <w:rsid w:val="00DA452B"/>
    <w:rsid w:val="00DA4553"/>
    <w:rsid w:val="00DB3FA0"/>
    <w:rsid w:val="00DB5835"/>
    <w:rsid w:val="00DC0273"/>
    <w:rsid w:val="00DC0C9B"/>
    <w:rsid w:val="00DC1949"/>
    <w:rsid w:val="00DC3752"/>
    <w:rsid w:val="00DC5CB7"/>
    <w:rsid w:val="00DD17B1"/>
    <w:rsid w:val="00DD20F6"/>
    <w:rsid w:val="00DD243C"/>
    <w:rsid w:val="00DD27D4"/>
    <w:rsid w:val="00DD29F6"/>
    <w:rsid w:val="00DD4043"/>
    <w:rsid w:val="00DD4E64"/>
    <w:rsid w:val="00DD6617"/>
    <w:rsid w:val="00DD6DC1"/>
    <w:rsid w:val="00DD6EB0"/>
    <w:rsid w:val="00DD7F4D"/>
    <w:rsid w:val="00DE0158"/>
    <w:rsid w:val="00DE42BE"/>
    <w:rsid w:val="00DE657B"/>
    <w:rsid w:val="00DE7DFD"/>
    <w:rsid w:val="00DF131C"/>
    <w:rsid w:val="00DF141E"/>
    <w:rsid w:val="00DF2358"/>
    <w:rsid w:val="00E009EE"/>
    <w:rsid w:val="00E00A6D"/>
    <w:rsid w:val="00E03EEC"/>
    <w:rsid w:val="00E04DA2"/>
    <w:rsid w:val="00E0593F"/>
    <w:rsid w:val="00E05B3A"/>
    <w:rsid w:val="00E0662D"/>
    <w:rsid w:val="00E06D18"/>
    <w:rsid w:val="00E157D3"/>
    <w:rsid w:val="00E2040C"/>
    <w:rsid w:val="00E205DF"/>
    <w:rsid w:val="00E20A1E"/>
    <w:rsid w:val="00E21611"/>
    <w:rsid w:val="00E24EFA"/>
    <w:rsid w:val="00E25270"/>
    <w:rsid w:val="00E25752"/>
    <w:rsid w:val="00E32310"/>
    <w:rsid w:val="00E329AD"/>
    <w:rsid w:val="00E36B6D"/>
    <w:rsid w:val="00E37AC7"/>
    <w:rsid w:val="00E41F9C"/>
    <w:rsid w:val="00E46DB8"/>
    <w:rsid w:val="00E50ABB"/>
    <w:rsid w:val="00E57DA9"/>
    <w:rsid w:val="00E650DA"/>
    <w:rsid w:val="00E7333C"/>
    <w:rsid w:val="00E74661"/>
    <w:rsid w:val="00E7635A"/>
    <w:rsid w:val="00E76405"/>
    <w:rsid w:val="00E77FEF"/>
    <w:rsid w:val="00E8186F"/>
    <w:rsid w:val="00E81975"/>
    <w:rsid w:val="00E81F3C"/>
    <w:rsid w:val="00E8251B"/>
    <w:rsid w:val="00E87721"/>
    <w:rsid w:val="00E9741B"/>
    <w:rsid w:val="00EA1023"/>
    <w:rsid w:val="00EA253F"/>
    <w:rsid w:val="00EB0036"/>
    <w:rsid w:val="00EB0995"/>
    <w:rsid w:val="00EB2EDD"/>
    <w:rsid w:val="00EB3A1E"/>
    <w:rsid w:val="00EB54ED"/>
    <w:rsid w:val="00EB62A3"/>
    <w:rsid w:val="00EC15E5"/>
    <w:rsid w:val="00EC2C75"/>
    <w:rsid w:val="00EC38C3"/>
    <w:rsid w:val="00EC3919"/>
    <w:rsid w:val="00EC3F2A"/>
    <w:rsid w:val="00EC63B9"/>
    <w:rsid w:val="00ED0F9F"/>
    <w:rsid w:val="00ED2772"/>
    <w:rsid w:val="00ED5968"/>
    <w:rsid w:val="00ED6D16"/>
    <w:rsid w:val="00ED7C92"/>
    <w:rsid w:val="00EE07AA"/>
    <w:rsid w:val="00EE33D4"/>
    <w:rsid w:val="00EE3927"/>
    <w:rsid w:val="00EE6BC4"/>
    <w:rsid w:val="00EE7106"/>
    <w:rsid w:val="00EF12E3"/>
    <w:rsid w:val="00EF1311"/>
    <w:rsid w:val="00EF2182"/>
    <w:rsid w:val="00EF270F"/>
    <w:rsid w:val="00EF4F8D"/>
    <w:rsid w:val="00EF5605"/>
    <w:rsid w:val="00F01920"/>
    <w:rsid w:val="00F023AF"/>
    <w:rsid w:val="00F02DE5"/>
    <w:rsid w:val="00F03939"/>
    <w:rsid w:val="00F03D32"/>
    <w:rsid w:val="00F05E3A"/>
    <w:rsid w:val="00F134D3"/>
    <w:rsid w:val="00F14099"/>
    <w:rsid w:val="00F14E58"/>
    <w:rsid w:val="00F17B35"/>
    <w:rsid w:val="00F232B8"/>
    <w:rsid w:val="00F23592"/>
    <w:rsid w:val="00F265AA"/>
    <w:rsid w:val="00F3337C"/>
    <w:rsid w:val="00F3559A"/>
    <w:rsid w:val="00F3696A"/>
    <w:rsid w:val="00F44473"/>
    <w:rsid w:val="00F44E2B"/>
    <w:rsid w:val="00F47A8F"/>
    <w:rsid w:val="00F47D8B"/>
    <w:rsid w:val="00F50AB5"/>
    <w:rsid w:val="00F61812"/>
    <w:rsid w:val="00F61C8C"/>
    <w:rsid w:val="00F62C04"/>
    <w:rsid w:val="00F62C3F"/>
    <w:rsid w:val="00F64A41"/>
    <w:rsid w:val="00F67178"/>
    <w:rsid w:val="00F6726C"/>
    <w:rsid w:val="00F7169B"/>
    <w:rsid w:val="00F7475B"/>
    <w:rsid w:val="00F76023"/>
    <w:rsid w:val="00F840E8"/>
    <w:rsid w:val="00F850F3"/>
    <w:rsid w:val="00F871F3"/>
    <w:rsid w:val="00F87E69"/>
    <w:rsid w:val="00F9261E"/>
    <w:rsid w:val="00F9373C"/>
    <w:rsid w:val="00F93AB4"/>
    <w:rsid w:val="00F945DD"/>
    <w:rsid w:val="00FA2073"/>
    <w:rsid w:val="00FA2089"/>
    <w:rsid w:val="00FA5BDB"/>
    <w:rsid w:val="00FB140A"/>
    <w:rsid w:val="00FB15CC"/>
    <w:rsid w:val="00FB59FB"/>
    <w:rsid w:val="00FC2D27"/>
    <w:rsid w:val="00FC44E0"/>
    <w:rsid w:val="00FC6D24"/>
    <w:rsid w:val="00FD7D7F"/>
    <w:rsid w:val="00FE27F2"/>
    <w:rsid w:val="00FE4EF0"/>
    <w:rsid w:val="00FE5D6A"/>
    <w:rsid w:val="00FE7EF8"/>
    <w:rsid w:val="00FF0CAD"/>
    <w:rsid w:val="00FF56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5B5A"/>
  <w15:docId w15:val="{B07A4BD0-09EC-4207-9DC8-04EFE308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3181"/>
    <w:pPr>
      <w:ind w:left="720"/>
      <w:contextualSpacing/>
    </w:pPr>
  </w:style>
  <w:style w:type="paragraph" w:styleId="Textedebulles">
    <w:name w:val="Balloon Text"/>
    <w:basedOn w:val="Normal"/>
    <w:link w:val="TextedebullesCar"/>
    <w:uiPriority w:val="99"/>
    <w:semiHidden/>
    <w:unhideWhenUsed/>
    <w:rsid w:val="00A07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75E9"/>
    <w:rPr>
      <w:rFonts w:ascii="Tahoma" w:hAnsi="Tahoma" w:cs="Tahoma"/>
      <w:sz w:val="16"/>
      <w:szCs w:val="16"/>
    </w:rPr>
  </w:style>
  <w:style w:type="paragraph" w:styleId="Rvision">
    <w:name w:val="Revision"/>
    <w:hidden/>
    <w:uiPriority w:val="99"/>
    <w:semiHidden/>
    <w:rsid w:val="00A075E9"/>
    <w:pPr>
      <w:spacing w:after="0" w:line="240" w:lineRule="auto"/>
    </w:pPr>
  </w:style>
  <w:style w:type="character" w:styleId="Marquedecommentaire">
    <w:name w:val="annotation reference"/>
    <w:basedOn w:val="Policepardfaut"/>
    <w:uiPriority w:val="99"/>
    <w:semiHidden/>
    <w:unhideWhenUsed/>
    <w:rsid w:val="00B902EC"/>
    <w:rPr>
      <w:sz w:val="16"/>
      <w:szCs w:val="16"/>
    </w:rPr>
  </w:style>
  <w:style w:type="paragraph" w:styleId="Commentaire">
    <w:name w:val="annotation text"/>
    <w:basedOn w:val="Normal"/>
    <w:link w:val="CommentaireCar"/>
    <w:uiPriority w:val="99"/>
    <w:unhideWhenUsed/>
    <w:rsid w:val="00B902EC"/>
    <w:pPr>
      <w:spacing w:line="240" w:lineRule="auto"/>
    </w:pPr>
    <w:rPr>
      <w:sz w:val="20"/>
      <w:szCs w:val="20"/>
    </w:rPr>
  </w:style>
  <w:style w:type="character" w:customStyle="1" w:styleId="CommentaireCar">
    <w:name w:val="Commentaire Car"/>
    <w:basedOn w:val="Policepardfaut"/>
    <w:link w:val="Commentaire"/>
    <w:uiPriority w:val="99"/>
    <w:rsid w:val="00B902EC"/>
    <w:rPr>
      <w:sz w:val="20"/>
      <w:szCs w:val="20"/>
    </w:rPr>
  </w:style>
  <w:style w:type="paragraph" w:styleId="Objetducommentaire">
    <w:name w:val="annotation subject"/>
    <w:basedOn w:val="Commentaire"/>
    <w:next w:val="Commentaire"/>
    <w:link w:val="ObjetducommentaireCar"/>
    <w:uiPriority w:val="99"/>
    <w:semiHidden/>
    <w:unhideWhenUsed/>
    <w:rsid w:val="00B902EC"/>
    <w:rPr>
      <w:b/>
      <w:bCs/>
    </w:rPr>
  </w:style>
  <w:style w:type="character" w:customStyle="1" w:styleId="ObjetducommentaireCar">
    <w:name w:val="Objet du commentaire Car"/>
    <w:basedOn w:val="CommentaireCar"/>
    <w:link w:val="Objetducommentaire"/>
    <w:uiPriority w:val="99"/>
    <w:semiHidden/>
    <w:rsid w:val="00B902EC"/>
    <w:rPr>
      <w:b/>
      <w:bCs/>
      <w:sz w:val="20"/>
      <w:szCs w:val="20"/>
    </w:rPr>
  </w:style>
  <w:style w:type="paragraph" w:styleId="En-tte">
    <w:name w:val="header"/>
    <w:basedOn w:val="Normal"/>
    <w:link w:val="En-tteCar"/>
    <w:uiPriority w:val="99"/>
    <w:unhideWhenUsed/>
    <w:rsid w:val="005109FB"/>
    <w:pPr>
      <w:tabs>
        <w:tab w:val="center" w:pos="4536"/>
        <w:tab w:val="right" w:pos="9072"/>
      </w:tabs>
      <w:spacing w:after="0" w:line="240" w:lineRule="auto"/>
    </w:pPr>
  </w:style>
  <w:style w:type="character" w:customStyle="1" w:styleId="En-tteCar">
    <w:name w:val="En-tête Car"/>
    <w:basedOn w:val="Policepardfaut"/>
    <w:link w:val="En-tte"/>
    <w:uiPriority w:val="99"/>
    <w:rsid w:val="005109FB"/>
  </w:style>
  <w:style w:type="paragraph" w:styleId="Pieddepage">
    <w:name w:val="footer"/>
    <w:basedOn w:val="Normal"/>
    <w:link w:val="PieddepageCar"/>
    <w:uiPriority w:val="99"/>
    <w:unhideWhenUsed/>
    <w:rsid w:val="005109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9FB"/>
  </w:style>
  <w:style w:type="paragraph" w:styleId="Listenumros">
    <w:name w:val="List Number"/>
    <w:basedOn w:val="Normal"/>
    <w:rsid w:val="004F667F"/>
    <w:pPr>
      <w:widowControl w:val="0"/>
      <w:numPr>
        <w:numId w:val="1"/>
      </w:numPr>
      <w:shd w:val="clear" w:color="auto" w:fill="CCFFCC"/>
      <w:tabs>
        <w:tab w:val="left" w:pos="-549"/>
      </w:tabs>
      <w:spacing w:after="0" w:line="240" w:lineRule="auto"/>
      <w:jc w:val="both"/>
    </w:pPr>
    <w:rPr>
      <w:rFonts w:eastAsia="Times New Roman" w:cs="Arial"/>
      <w:sz w:val="20"/>
      <w:szCs w:val="20"/>
      <w:lang w:val="en-GB" w:eastAsia="nl-NL"/>
    </w:rPr>
  </w:style>
  <w:style w:type="table" w:customStyle="1" w:styleId="Tabelraster1">
    <w:name w:val="Tabelraster1"/>
    <w:basedOn w:val="TableauNormal"/>
    <w:next w:val="Grilledutableau"/>
    <w:uiPriority w:val="59"/>
    <w:rsid w:val="00AB52A5"/>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auNormal"/>
    <w:next w:val="Grilledutableau"/>
    <w:uiPriority w:val="59"/>
    <w:rsid w:val="00CA332E"/>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auNormal"/>
    <w:next w:val="Grilledutableau"/>
    <w:uiPriority w:val="59"/>
    <w:rsid w:val="007D77F0"/>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TableauNormal"/>
    <w:next w:val="Grilledutableau"/>
    <w:uiPriority w:val="59"/>
    <w:rsid w:val="00E21611"/>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auNormal"/>
    <w:next w:val="Grilledutableau"/>
    <w:uiPriority w:val="59"/>
    <w:rsid w:val="00E21611"/>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auNormal"/>
    <w:next w:val="Grilledutableau"/>
    <w:uiPriority w:val="59"/>
    <w:rsid w:val="00CD448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TableauNormal"/>
    <w:next w:val="Grilledutableau"/>
    <w:uiPriority w:val="59"/>
    <w:rsid w:val="00CD448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auNormal"/>
    <w:next w:val="Grilledutableau"/>
    <w:uiPriority w:val="59"/>
    <w:rsid w:val="009F78DE"/>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auNormal"/>
    <w:next w:val="Grilledutableau"/>
    <w:uiPriority w:val="59"/>
    <w:rsid w:val="00692A02"/>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TableauNormal"/>
    <w:next w:val="Grilledutableau"/>
    <w:uiPriority w:val="59"/>
    <w:rsid w:val="00397CBD"/>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TableauNormal"/>
    <w:next w:val="Grilledutableau"/>
    <w:uiPriority w:val="59"/>
    <w:rsid w:val="003C45E0"/>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TableauNormal"/>
    <w:next w:val="Grilledutableau"/>
    <w:uiPriority w:val="59"/>
    <w:rsid w:val="00AD6061"/>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auNormal"/>
    <w:next w:val="Grilledutableau"/>
    <w:uiPriority w:val="59"/>
    <w:rsid w:val="00A53A2A"/>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TableauNormal"/>
    <w:next w:val="Grilledutableau"/>
    <w:uiPriority w:val="59"/>
    <w:rsid w:val="00DD7F4D"/>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2697">
      <w:bodyDiv w:val="1"/>
      <w:marLeft w:val="0"/>
      <w:marRight w:val="0"/>
      <w:marTop w:val="0"/>
      <w:marBottom w:val="0"/>
      <w:divBdr>
        <w:top w:val="none" w:sz="0" w:space="0" w:color="auto"/>
        <w:left w:val="none" w:sz="0" w:space="0" w:color="auto"/>
        <w:bottom w:val="none" w:sz="0" w:space="0" w:color="auto"/>
        <w:right w:val="none" w:sz="0" w:space="0" w:color="auto"/>
      </w:divBdr>
    </w:div>
    <w:div w:id="72549640">
      <w:bodyDiv w:val="1"/>
      <w:marLeft w:val="0"/>
      <w:marRight w:val="0"/>
      <w:marTop w:val="0"/>
      <w:marBottom w:val="0"/>
      <w:divBdr>
        <w:top w:val="none" w:sz="0" w:space="0" w:color="auto"/>
        <w:left w:val="none" w:sz="0" w:space="0" w:color="auto"/>
        <w:bottom w:val="none" w:sz="0" w:space="0" w:color="auto"/>
        <w:right w:val="none" w:sz="0" w:space="0" w:color="auto"/>
      </w:divBdr>
    </w:div>
    <w:div w:id="169611653">
      <w:bodyDiv w:val="1"/>
      <w:marLeft w:val="0"/>
      <w:marRight w:val="0"/>
      <w:marTop w:val="0"/>
      <w:marBottom w:val="0"/>
      <w:divBdr>
        <w:top w:val="none" w:sz="0" w:space="0" w:color="auto"/>
        <w:left w:val="none" w:sz="0" w:space="0" w:color="auto"/>
        <w:bottom w:val="none" w:sz="0" w:space="0" w:color="auto"/>
        <w:right w:val="none" w:sz="0" w:space="0" w:color="auto"/>
      </w:divBdr>
    </w:div>
    <w:div w:id="193008855">
      <w:bodyDiv w:val="1"/>
      <w:marLeft w:val="0"/>
      <w:marRight w:val="0"/>
      <w:marTop w:val="0"/>
      <w:marBottom w:val="0"/>
      <w:divBdr>
        <w:top w:val="none" w:sz="0" w:space="0" w:color="auto"/>
        <w:left w:val="none" w:sz="0" w:space="0" w:color="auto"/>
        <w:bottom w:val="none" w:sz="0" w:space="0" w:color="auto"/>
        <w:right w:val="none" w:sz="0" w:space="0" w:color="auto"/>
      </w:divBdr>
    </w:div>
    <w:div w:id="226846588">
      <w:bodyDiv w:val="1"/>
      <w:marLeft w:val="0"/>
      <w:marRight w:val="0"/>
      <w:marTop w:val="0"/>
      <w:marBottom w:val="0"/>
      <w:divBdr>
        <w:top w:val="none" w:sz="0" w:space="0" w:color="auto"/>
        <w:left w:val="none" w:sz="0" w:space="0" w:color="auto"/>
        <w:bottom w:val="none" w:sz="0" w:space="0" w:color="auto"/>
        <w:right w:val="none" w:sz="0" w:space="0" w:color="auto"/>
      </w:divBdr>
    </w:div>
    <w:div w:id="388115770">
      <w:bodyDiv w:val="1"/>
      <w:marLeft w:val="0"/>
      <w:marRight w:val="0"/>
      <w:marTop w:val="0"/>
      <w:marBottom w:val="0"/>
      <w:divBdr>
        <w:top w:val="none" w:sz="0" w:space="0" w:color="auto"/>
        <w:left w:val="none" w:sz="0" w:space="0" w:color="auto"/>
        <w:bottom w:val="none" w:sz="0" w:space="0" w:color="auto"/>
        <w:right w:val="none" w:sz="0" w:space="0" w:color="auto"/>
      </w:divBdr>
      <w:divsChild>
        <w:div w:id="981734549">
          <w:marLeft w:val="0"/>
          <w:marRight w:val="0"/>
          <w:marTop w:val="0"/>
          <w:marBottom w:val="0"/>
          <w:divBdr>
            <w:top w:val="none" w:sz="0" w:space="0" w:color="auto"/>
            <w:left w:val="none" w:sz="0" w:space="0" w:color="auto"/>
            <w:bottom w:val="none" w:sz="0" w:space="0" w:color="auto"/>
            <w:right w:val="none" w:sz="0" w:space="0" w:color="auto"/>
          </w:divBdr>
          <w:divsChild>
            <w:div w:id="624309100">
              <w:marLeft w:val="0"/>
              <w:marRight w:val="0"/>
              <w:marTop w:val="0"/>
              <w:marBottom w:val="0"/>
              <w:divBdr>
                <w:top w:val="none" w:sz="0" w:space="0" w:color="auto"/>
                <w:left w:val="none" w:sz="0" w:space="0" w:color="auto"/>
                <w:bottom w:val="none" w:sz="0" w:space="0" w:color="auto"/>
                <w:right w:val="none" w:sz="0" w:space="0" w:color="auto"/>
              </w:divBdr>
              <w:divsChild>
                <w:div w:id="142234464">
                  <w:marLeft w:val="-225"/>
                  <w:marRight w:val="-225"/>
                  <w:marTop w:val="0"/>
                  <w:marBottom w:val="0"/>
                  <w:divBdr>
                    <w:top w:val="none" w:sz="0" w:space="0" w:color="auto"/>
                    <w:left w:val="none" w:sz="0" w:space="0" w:color="auto"/>
                    <w:bottom w:val="none" w:sz="0" w:space="0" w:color="auto"/>
                    <w:right w:val="none" w:sz="0" w:space="0" w:color="auto"/>
                  </w:divBdr>
                  <w:divsChild>
                    <w:div w:id="2089033924">
                      <w:marLeft w:val="0"/>
                      <w:marRight w:val="0"/>
                      <w:marTop w:val="0"/>
                      <w:marBottom w:val="0"/>
                      <w:divBdr>
                        <w:top w:val="none" w:sz="0" w:space="0" w:color="auto"/>
                        <w:left w:val="none" w:sz="0" w:space="0" w:color="auto"/>
                        <w:bottom w:val="none" w:sz="0" w:space="0" w:color="auto"/>
                        <w:right w:val="none" w:sz="0" w:space="0" w:color="auto"/>
                      </w:divBdr>
                      <w:divsChild>
                        <w:div w:id="502548722">
                          <w:marLeft w:val="-225"/>
                          <w:marRight w:val="-225"/>
                          <w:marTop w:val="0"/>
                          <w:marBottom w:val="0"/>
                          <w:divBdr>
                            <w:top w:val="none" w:sz="0" w:space="0" w:color="auto"/>
                            <w:left w:val="none" w:sz="0" w:space="0" w:color="auto"/>
                            <w:bottom w:val="none" w:sz="0" w:space="0" w:color="auto"/>
                            <w:right w:val="none" w:sz="0" w:space="0" w:color="auto"/>
                          </w:divBdr>
                          <w:divsChild>
                            <w:div w:id="1810853746">
                              <w:marLeft w:val="0"/>
                              <w:marRight w:val="0"/>
                              <w:marTop w:val="0"/>
                              <w:marBottom w:val="0"/>
                              <w:divBdr>
                                <w:top w:val="none" w:sz="0" w:space="0" w:color="auto"/>
                                <w:left w:val="none" w:sz="0" w:space="0" w:color="auto"/>
                                <w:bottom w:val="none" w:sz="0" w:space="0" w:color="auto"/>
                                <w:right w:val="none" w:sz="0" w:space="0" w:color="auto"/>
                              </w:divBdr>
                              <w:divsChild>
                                <w:div w:id="1912812210">
                                  <w:marLeft w:val="0"/>
                                  <w:marRight w:val="0"/>
                                  <w:marTop w:val="0"/>
                                  <w:marBottom w:val="0"/>
                                  <w:divBdr>
                                    <w:top w:val="none" w:sz="0" w:space="0" w:color="auto"/>
                                    <w:left w:val="single" w:sz="6" w:space="0" w:color="E9E9E9"/>
                                    <w:bottom w:val="none" w:sz="0" w:space="0" w:color="auto"/>
                                    <w:right w:val="none" w:sz="0" w:space="0" w:color="auto"/>
                                  </w:divBdr>
                                  <w:divsChild>
                                    <w:div w:id="1807580375">
                                      <w:marLeft w:val="0"/>
                                      <w:marRight w:val="0"/>
                                      <w:marTop w:val="0"/>
                                      <w:marBottom w:val="0"/>
                                      <w:divBdr>
                                        <w:top w:val="none" w:sz="0" w:space="0" w:color="auto"/>
                                        <w:left w:val="none" w:sz="0" w:space="0" w:color="auto"/>
                                        <w:bottom w:val="none" w:sz="0" w:space="0" w:color="auto"/>
                                        <w:right w:val="none" w:sz="0" w:space="0" w:color="auto"/>
                                      </w:divBdr>
                                      <w:divsChild>
                                        <w:div w:id="637225562">
                                          <w:marLeft w:val="0"/>
                                          <w:marRight w:val="0"/>
                                          <w:marTop w:val="0"/>
                                          <w:marBottom w:val="0"/>
                                          <w:divBdr>
                                            <w:top w:val="none" w:sz="0" w:space="0" w:color="auto"/>
                                            <w:left w:val="none" w:sz="0" w:space="0" w:color="auto"/>
                                            <w:bottom w:val="none" w:sz="0" w:space="0" w:color="auto"/>
                                            <w:right w:val="none" w:sz="0" w:space="0" w:color="auto"/>
                                          </w:divBdr>
                                          <w:divsChild>
                                            <w:div w:id="1312173794">
                                              <w:marLeft w:val="0"/>
                                              <w:marRight w:val="0"/>
                                              <w:marTop w:val="0"/>
                                              <w:marBottom w:val="0"/>
                                              <w:divBdr>
                                                <w:top w:val="none" w:sz="0" w:space="0" w:color="auto"/>
                                                <w:left w:val="none" w:sz="0" w:space="0" w:color="auto"/>
                                                <w:bottom w:val="none" w:sz="0" w:space="0" w:color="auto"/>
                                                <w:right w:val="none" w:sz="0" w:space="0" w:color="auto"/>
                                              </w:divBdr>
                                              <w:divsChild>
                                                <w:div w:id="1584992596">
                                                  <w:marLeft w:val="0"/>
                                                  <w:marRight w:val="0"/>
                                                  <w:marTop w:val="0"/>
                                                  <w:marBottom w:val="0"/>
                                                  <w:divBdr>
                                                    <w:top w:val="none" w:sz="0" w:space="0" w:color="auto"/>
                                                    <w:left w:val="none" w:sz="0" w:space="0" w:color="auto"/>
                                                    <w:bottom w:val="none" w:sz="0" w:space="0" w:color="auto"/>
                                                    <w:right w:val="none" w:sz="0" w:space="0" w:color="auto"/>
                                                  </w:divBdr>
                                                  <w:divsChild>
                                                    <w:div w:id="633949182">
                                                      <w:marLeft w:val="0"/>
                                                      <w:marRight w:val="0"/>
                                                      <w:marTop w:val="0"/>
                                                      <w:marBottom w:val="0"/>
                                                      <w:divBdr>
                                                        <w:top w:val="none" w:sz="0" w:space="0" w:color="auto"/>
                                                        <w:left w:val="none" w:sz="0" w:space="0" w:color="auto"/>
                                                        <w:bottom w:val="none" w:sz="0" w:space="0" w:color="auto"/>
                                                        <w:right w:val="none" w:sz="0" w:space="0" w:color="auto"/>
                                                      </w:divBdr>
                                                      <w:divsChild>
                                                        <w:div w:id="425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176061">
      <w:bodyDiv w:val="1"/>
      <w:marLeft w:val="0"/>
      <w:marRight w:val="0"/>
      <w:marTop w:val="0"/>
      <w:marBottom w:val="0"/>
      <w:divBdr>
        <w:top w:val="none" w:sz="0" w:space="0" w:color="auto"/>
        <w:left w:val="none" w:sz="0" w:space="0" w:color="auto"/>
        <w:bottom w:val="none" w:sz="0" w:space="0" w:color="auto"/>
        <w:right w:val="none" w:sz="0" w:space="0" w:color="auto"/>
      </w:divBdr>
    </w:div>
    <w:div w:id="609241104">
      <w:bodyDiv w:val="1"/>
      <w:marLeft w:val="0"/>
      <w:marRight w:val="0"/>
      <w:marTop w:val="0"/>
      <w:marBottom w:val="0"/>
      <w:divBdr>
        <w:top w:val="none" w:sz="0" w:space="0" w:color="auto"/>
        <w:left w:val="none" w:sz="0" w:space="0" w:color="auto"/>
        <w:bottom w:val="none" w:sz="0" w:space="0" w:color="auto"/>
        <w:right w:val="none" w:sz="0" w:space="0" w:color="auto"/>
      </w:divBdr>
    </w:div>
    <w:div w:id="749499693">
      <w:bodyDiv w:val="1"/>
      <w:marLeft w:val="0"/>
      <w:marRight w:val="0"/>
      <w:marTop w:val="0"/>
      <w:marBottom w:val="0"/>
      <w:divBdr>
        <w:top w:val="none" w:sz="0" w:space="0" w:color="auto"/>
        <w:left w:val="none" w:sz="0" w:space="0" w:color="auto"/>
        <w:bottom w:val="none" w:sz="0" w:space="0" w:color="auto"/>
        <w:right w:val="none" w:sz="0" w:space="0" w:color="auto"/>
      </w:divBdr>
    </w:div>
    <w:div w:id="9271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827165">
          <w:marLeft w:val="0"/>
          <w:marRight w:val="0"/>
          <w:marTop w:val="0"/>
          <w:marBottom w:val="0"/>
          <w:divBdr>
            <w:top w:val="none" w:sz="0" w:space="0" w:color="auto"/>
            <w:left w:val="none" w:sz="0" w:space="0" w:color="auto"/>
            <w:bottom w:val="none" w:sz="0" w:space="0" w:color="auto"/>
            <w:right w:val="none" w:sz="0" w:space="0" w:color="auto"/>
          </w:divBdr>
          <w:divsChild>
            <w:div w:id="883449537">
              <w:marLeft w:val="0"/>
              <w:marRight w:val="0"/>
              <w:marTop w:val="0"/>
              <w:marBottom w:val="0"/>
              <w:divBdr>
                <w:top w:val="none" w:sz="0" w:space="0" w:color="auto"/>
                <w:left w:val="none" w:sz="0" w:space="0" w:color="auto"/>
                <w:bottom w:val="none" w:sz="0" w:space="0" w:color="auto"/>
                <w:right w:val="none" w:sz="0" w:space="0" w:color="auto"/>
              </w:divBdr>
              <w:divsChild>
                <w:div w:id="518591631">
                  <w:marLeft w:val="-225"/>
                  <w:marRight w:val="-225"/>
                  <w:marTop w:val="0"/>
                  <w:marBottom w:val="0"/>
                  <w:divBdr>
                    <w:top w:val="none" w:sz="0" w:space="0" w:color="auto"/>
                    <w:left w:val="none" w:sz="0" w:space="0" w:color="auto"/>
                    <w:bottom w:val="none" w:sz="0" w:space="0" w:color="auto"/>
                    <w:right w:val="none" w:sz="0" w:space="0" w:color="auto"/>
                  </w:divBdr>
                  <w:divsChild>
                    <w:div w:id="1248922919">
                      <w:marLeft w:val="0"/>
                      <w:marRight w:val="0"/>
                      <w:marTop w:val="0"/>
                      <w:marBottom w:val="0"/>
                      <w:divBdr>
                        <w:top w:val="none" w:sz="0" w:space="0" w:color="auto"/>
                        <w:left w:val="none" w:sz="0" w:space="0" w:color="auto"/>
                        <w:bottom w:val="none" w:sz="0" w:space="0" w:color="auto"/>
                        <w:right w:val="none" w:sz="0" w:space="0" w:color="auto"/>
                      </w:divBdr>
                      <w:divsChild>
                        <w:div w:id="1330865214">
                          <w:marLeft w:val="-225"/>
                          <w:marRight w:val="-225"/>
                          <w:marTop w:val="0"/>
                          <w:marBottom w:val="0"/>
                          <w:divBdr>
                            <w:top w:val="none" w:sz="0" w:space="0" w:color="auto"/>
                            <w:left w:val="none" w:sz="0" w:space="0" w:color="auto"/>
                            <w:bottom w:val="none" w:sz="0" w:space="0" w:color="auto"/>
                            <w:right w:val="none" w:sz="0" w:space="0" w:color="auto"/>
                          </w:divBdr>
                          <w:divsChild>
                            <w:div w:id="977614397">
                              <w:marLeft w:val="0"/>
                              <w:marRight w:val="0"/>
                              <w:marTop w:val="0"/>
                              <w:marBottom w:val="0"/>
                              <w:divBdr>
                                <w:top w:val="none" w:sz="0" w:space="0" w:color="auto"/>
                                <w:left w:val="none" w:sz="0" w:space="0" w:color="auto"/>
                                <w:bottom w:val="none" w:sz="0" w:space="0" w:color="auto"/>
                                <w:right w:val="none" w:sz="0" w:space="0" w:color="auto"/>
                              </w:divBdr>
                              <w:divsChild>
                                <w:div w:id="989360431">
                                  <w:marLeft w:val="0"/>
                                  <w:marRight w:val="0"/>
                                  <w:marTop w:val="0"/>
                                  <w:marBottom w:val="0"/>
                                  <w:divBdr>
                                    <w:top w:val="none" w:sz="0" w:space="0" w:color="auto"/>
                                    <w:left w:val="single" w:sz="6" w:space="0" w:color="E9E9E9"/>
                                    <w:bottom w:val="none" w:sz="0" w:space="0" w:color="auto"/>
                                    <w:right w:val="none" w:sz="0" w:space="0" w:color="auto"/>
                                  </w:divBdr>
                                  <w:divsChild>
                                    <w:div w:id="359626628">
                                      <w:marLeft w:val="0"/>
                                      <w:marRight w:val="0"/>
                                      <w:marTop w:val="0"/>
                                      <w:marBottom w:val="0"/>
                                      <w:divBdr>
                                        <w:top w:val="none" w:sz="0" w:space="0" w:color="auto"/>
                                        <w:left w:val="none" w:sz="0" w:space="0" w:color="auto"/>
                                        <w:bottom w:val="none" w:sz="0" w:space="0" w:color="auto"/>
                                        <w:right w:val="none" w:sz="0" w:space="0" w:color="auto"/>
                                      </w:divBdr>
                                      <w:divsChild>
                                        <w:div w:id="484661321">
                                          <w:marLeft w:val="0"/>
                                          <w:marRight w:val="0"/>
                                          <w:marTop w:val="0"/>
                                          <w:marBottom w:val="0"/>
                                          <w:divBdr>
                                            <w:top w:val="none" w:sz="0" w:space="0" w:color="auto"/>
                                            <w:left w:val="none" w:sz="0" w:space="0" w:color="auto"/>
                                            <w:bottom w:val="none" w:sz="0" w:space="0" w:color="auto"/>
                                            <w:right w:val="none" w:sz="0" w:space="0" w:color="auto"/>
                                          </w:divBdr>
                                          <w:divsChild>
                                            <w:div w:id="751971428">
                                              <w:marLeft w:val="0"/>
                                              <w:marRight w:val="0"/>
                                              <w:marTop w:val="0"/>
                                              <w:marBottom w:val="0"/>
                                              <w:divBdr>
                                                <w:top w:val="none" w:sz="0" w:space="0" w:color="auto"/>
                                                <w:left w:val="none" w:sz="0" w:space="0" w:color="auto"/>
                                                <w:bottom w:val="none" w:sz="0" w:space="0" w:color="auto"/>
                                                <w:right w:val="none" w:sz="0" w:space="0" w:color="auto"/>
                                              </w:divBdr>
                                              <w:divsChild>
                                                <w:div w:id="2022002534">
                                                  <w:marLeft w:val="0"/>
                                                  <w:marRight w:val="0"/>
                                                  <w:marTop w:val="0"/>
                                                  <w:marBottom w:val="0"/>
                                                  <w:divBdr>
                                                    <w:top w:val="none" w:sz="0" w:space="0" w:color="auto"/>
                                                    <w:left w:val="none" w:sz="0" w:space="0" w:color="auto"/>
                                                    <w:bottom w:val="none" w:sz="0" w:space="0" w:color="auto"/>
                                                    <w:right w:val="none" w:sz="0" w:space="0" w:color="auto"/>
                                                  </w:divBdr>
                                                  <w:divsChild>
                                                    <w:div w:id="1581521254">
                                                      <w:marLeft w:val="0"/>
                                                      <w:marRight w:val="0"/>
                                                      <w:marTop w:val="0"/>
                                                      <w:marBottom w:val="0"/>
                                                      <w:divBdr>
                                                        <w:top w:val="none" w:sz="0" w:space="0" w:color="auto"/>
                                                        <w:left w:val="none" w:sz="0" w:space="0" w:color="auto"/>
                                                        <w:bottom w:val="none" w:sz="0" w:space="0" w:color="auto"/>
                                                        <w:right w:val="none" w:sz="0" w:space="0" w:color="auto"/>
                                                      </w:divBdr>
                                                      <w:divsChild>
                                                        <w:div w:id="87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9041204">
      <w:bodyDiv w:val="1"/>
      <w:marLeft w:val="0"/>
      <w:marRight w:val="0"/>
      <w:marTop w:val="0"/>
      <w:marBottom w:val="0"/>
      <w:divBdr>
        <w:top w:val="none" w:sz="0" w:space="0" w:color="auto"/>
        <w:left w:val="none" w:sz="0" w:space="0" w:color="auto"/>
        <w:bottom w:val="none" w:sz="0" w:space="0" w:color="auto"/>
        <w:right w:val="none" w:sz="0" w:space="0" w:color="auto"/>
      </w:divBdr>
      <w:divsChild>
        <w:div w:id="1334526936">
          <w:marLeft w:val="0"/>
          <w:marRight w:val="0"/>
          <w:marTop w:val="0"/>
          <w:marBottom w:val="0"/>
          <w:divBdr>
            <w:top w:val="none" w:sz="0" w:space="0" w:color="auto"/>
            <w:left w:val="none" w:sz="0" w:space="0" w:color="auto"/>
            <w:bottom w:val="none" w:sz="0" w:space="0" w:color="auto"/>
            <w:right w:val="none" w:sz="0" w:space="0" w:color="auto"/>
          </w:divBdr>
        </w:div>
      </w:divsChild>
    </w:div>
    <w:div w:id="1121458164">
      <w:bodyDiv w:val="1"/>
      <w:marLeft w:val="0"/>
      <w:marRight w:val="0"/>
      <w:marTop w:val="0"/>
      <w:marBottom w:val="0"/>
      <w:divBdr>
        <w:top w:val="none" w:sz="0" w:space="0" w:color="auto"/>
        <w:left w:val="none" w:sz="0" w:space="0" w:color="auto"/>
        <w:bottom w:val="none" w:sz="0" w:space="0" w:color="auto"/>
        <w:right w:val="none" w:sz="0" w:space="0" w:color="auto"/>
      </w:divBdr>
    </w:div>
    <w:div w:id="1178471494">
      <w:bodyDiv w:val="1"/>
      <w:marLeft w:val="0"/>
      <w:marRight w:val="0"/>
      <w:marTop w:val="0"/>
      <w:marBottom w:val="0"/>
      <w:divBdr>
        <w:top w:val="none" w:sz="0" w:space="0" w:color="auto"/>
        <w:left w:val="none" w:sz="0" w:space="0" w:color="auto"/>
        <w:bottom w:val="none" w:sz="0" w:space="0" w:color="auto"/>
        <w:right w:val="none" w:sz="0" w:space="0" w:color="auto"/>
      </w:divBdr>
    </w:div>
    <w:div w:id="1478299571">
      <w:bodyDiv w:val="1"/>
      <w:marLeft w:val="0"/>
      <w:marRight w:val="0"/>
      <w:marTop w:val="0"/>
      <w:marBottom w:val="0"/>
      <w:divBdr>
        <w:top w:val="none" w:sz="0" w:space="0" w:color="auto"/>
        <w:left w:val="none" w:sz="0" w:space="0" w:color="auto"/>
        <w:bottom w:val="none" w:sz="0" w:space="0" w:color="auto"/>
        <w:right w:val="none" w:sz="0" w:space="0" w:color="auto"/>
      </w:divBdr>
    </w:div>
    <w:div w:id="1609121404">
      <w:bodyDiv w:val="1"/>
      <w:marLeft w:val="0"/>
      <w:marRight w:val="0"/>
      <w:marTop w:val="0"/>
      <w:marBottom w:val="0"/>
      <w:divBdr>
        <w:top w:val="none" w:sz="0" w:space="0" w:color="auto"/>
        <w:left w:val="none" w:sz="0" w:space="0" w:color="auto"/>
        <w:bottom w:val="none" w:sz="0" w:space="0" w:color="auto"/>
        <w:right w:val="none" w:sz="0" w:space="0" w:color="auto"/>
      </w:divBdr>
    </w:div>
    <w:div w:id="1646861342">
      <w:bodyDiv w:val="1"/>
      <w:marLeft w:val="0"/>
      <w:marRight w:val="0"/>
      <w:marTop w:val="0"/>
      <w:marBottom w:val="0"/>
      <w:divBdr>
        <w:top w:val="none" w:sz="0" w:space="0" w:color="auto"/>
        <w:left w:val="none" w:sz="0" w:space="0" w:color="auto"/>
        <w:bottom w:val="none" w:sz="0" w:space="0" w:color="auto"/>
        <w:right w:val="none" w:sz="0" w:space="0" w:color="auto"/>
      </w:divBdr>
    </w:div>
    <w:div w:id="1980183535">
      <w:bodyDiv w:val="1"/>
      <w:marLeft w:val="0"/>
      <w:marRight w:val="0"/>
      <w:marTop w:val="0"/>
      <w:marBottom w:val="0"/>
      <w:divBdr>
        <w:top w:val="none" w:sz="0" w:space="0" w:color="auto"/>
        <w:left w:val="none" w:sz="0" w:space="0" w:color="auto"/>
        <w:bottom w:val="none" w:sz="0" w:space="0" w:color="auto"/>
        <w:right w:val="none" w:sz="0" w:space="0" w:color="auto"/>
      </w:divBdr>
    </w:div>
    <w:div w:id="2101563352">
      <w:bodyDiv w:val="1"/>
      <w:marLeft w:val="0"/>
      <w:marRight w:val="0"/>
      <w:marTop w:val="0"/>
      <w:marBottom w:val="0"/>
      <w:divBdr>
        <w:top w:val="none" w:sz="0" w:space="0" w:color="auto"/>
        <w:left w:val="none" w:sz="0" w:space="0" w:color="auto"/>
        <w:bottom w:val="none" w:sz="0" w:space="0" w:color="auto"/>
        <w:right w:val="none" w:sz="0" w:space="0" w:color="auto"/>
      </w:divBdr>
    </w:div>
    <w:div w:id="2120643022">
      <w:bodyDiv w:val="1"/>
      <w:marLeft w:val="0"/>
      <w:marRight w:val="0"/>
      <w:marTop w:val="0"/>
      <w:marBottom w:val="0"/>
      <w:divBdr>
        <w:top w:val="none" w:sz="0" w:space="0" w:color="auto"/>
        <w:left w:val="none" w:sz="0" w:space="0" w:color="auto"/>
        <w:bottom w:val="none" w:sz="0" w:space="0" w:color="auto"/>
        <w:right w:val="none" w:sz="0" w:space="0" w:color="auto"/>
      </w:divBdr>
    </w:div>
    <w:div w:id="21407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3F73-1C82-4405-8651-351D520A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12046</Words>
  <Characters>66258</Characters>
  <Application>Microsoft Office Word</Application>
  <DocSecurity>4</DocSecurity>
  <Lines>552</Lines>
  <Paragraphs>156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IBZ</Company>
  <LinksUpToDate>false</LinksUpToDate>
  <CharactersWithSpaces>78148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Laarmans Jan</dc:creator>
  <cp:keywords/>
  <dc:description/>
  <cp:lastModifiedBy>Laurent Wenkin (FOD Economie - SPF Economie)</cp:lastModifiedBy>
  <cp:revision>2</cp:revision>
  <cp:lastPrinted>2020-11-12T14:22:00Z</cp:lastPrinted>
  <dcterms:created xsi:type="dcterms:W3CDTF">2021-07-07T10:06:00Z</dcterms:created>
  <dcterms:modified xsi:type="dcterms:W3CDTF">2021-07-07T10:06:00Z</dcterms:modified>
</cp:coreProperties>
</file>