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4524"/>
        <w:gridCol w:w="14"/>
        <w:gridCol w:w="4524"/>
      </w:tblGrid>
      <w:tr w:rsidR="00754BD6" w:rsidRPr="00927455" w14:paraId="04BB6C8C" w14:textId="77777777" w:rsidTr="002A0E41">
        <w:trPr>
          <w:gridAfter w:val="2"/>
          <w:wAfter w:w="4538" w:type="dxa"/>
        </w:trPr>
        <w:tc>
          <w:tcPr>
            <w:tcW w:w="4524" w:type="dxa"/>
          </w:tcPr>
          <w:p w14:paraId="7D3C1340" w14:textId="77777777" w:rsidR="00754BD6" w:rsidRPr="00927455" w:rsidRDefault="00754BD6" w:rsidP="0036720F">
            <w:pPr>
              <w:jc w:val="center"/>
              <w:rPr>
                <w:b/>
                <w:lang w:val="fr-FR"/>
              </w:rPr>
            </w:pPr>
            <w:bookmarkStart w:id="0" w:name="_GoBack"/>
            <w:bookmarkEnd w:id="0"/>
            <w:r w:rsidRPr="00927455">
              <w:rPr>
                <w:b/>
                <w:lang w:val="fr-FR"/>
              </w:rPr>
              <w:t>ROYAUME DE BELGIQUE</w:t>
            </w:r>
          </w:p>
        </w:tc>
      </w:tr>
      <w:tr w:rsidR="00754BD6" w:rsidRPr="00927455" w14:paraId="259E2637" w14:textId="77777777" w:rsidTr="002A0E41">
        <w:trPr>
          <w:gridAfter w:val="2"/>
          <w:wAfter w:w="4538" w:type="dxa"/>
        </w:trPr>
        <w:tc>
          <w:tcPr>
            <w:tcW w:w="4524" w:type="dxa"/>
          </w:tcPr>
          <w:p w14:paraId="7DFE7367" w14:textId="77777777" w:rsidR="00754BD6" w:rsidRPr="00927455" w:rsidRDefault="00754BD6" w:rsidP="0036720F">
            <w:pPr>
              <w:jc w:val="center"/>
              <w:rPr>
                <w:b/>
                <w:lang w:val="fr-FR"/>
              </w:rPr>
            </w:pPr>
            <w:r w:rsidRPr="00927455">
              <w:rPr>
                <w:b/>
                <w:lang w:val="fr-FR"/>
              </w:rPr>
              <w:t>SERVICE PUBLIC FEDERAL INTERIEUR</w:t>
            </w:r>
          </w:p>
        </w:tc>
      </w:tr>
      <w:tr w:rsidR="00754BD6" w:rsidRPr="00754BD6" w14:paraId="70880DB1" w14:textId="77777777" w:rsidTr="002A0E41">
        <w:trPr>
          <w:gridAfter w:val="2"/>
          <w:wAfter w:w="4538" w:type="dxa"/>
        </w:trPr>
        <w:tc>
          <w:tcPr>
            <w:tcW w:w="4524" w:type="dxa"/>
          </w:tcPr>
          <w:p w14:paraId="53B4E84D" w14:textId="6A409463" w:rsidR="00754BD6" w:rsidRPr="00927455" w:rsidRDefault="00754BD6">
            <w:pPr>
              <w:rPr>
                <w:lang w:val="fr-FR"/>
              </w:rPr>
            </w:pPr>
            <w:r w:rsidRPr="00927455">
              <w:rPr>
                <w:lang w:val="fr-FR"/>
              </w:rPr>
              <w:t>Arrêté royal du ** ******** 20</w:t>
            </w:r>
            <w:r>
              <w:rPr>
                <w:lang w:val="fr-FR"/>
              </w:rPr>
              <w:t>22</w:t>
            </w:r>
            <w:r w:rsidRPr="00927455">
              <w:rPr>
                <w:lang w:val="fr-FR"/>
              </w:rPr>
              <w:t xml:space="preserve"> modifiant l'arrêté royal du 7 juillet 1994 fixant les normes de base en matière de prévention contre l'incendie et l'explosion, auxquelles les </w:t>
            </w:r>
            <w:r>
              <w:rPr>
                <w:lang w:val="fr-FR"/>
              </w:rPr>
              <w:t>bâtiments</w:t>
            </w:r>
            <w:r w:rsidRPr="00927455">
              <w:rPr>
                <w:lang w:val="fr-FR"/>
              </w:rPr>
              <w:t xml:space="preserve"> doivent satisfaire.</w:t>
            </w:r>
          </w:p>
          <w:p w14:paraId="5E40A1B2" w14:textId="77777777" w:rsidR="00754BD6" w:rsidRPr="00927455" w:rsidRDefault="00754BD6">
            <w:pPr>
              <w:rPr>
                <w:lang w:val="fr-FR"/>
              </w:rPr>
            </w:pPr>
          </w:p>
        </w:tc>
      </w:tr>
      <w:tr w:rsidR="00754BD6" w:rsidRPr="00927455" w14:paraId="63674FFA" w14:textId="77777777" w:rsidTr="002A0E41">
        <w:trPr>
          <w:gridAfter w:val="2"/>
          <w:wAfter w:w="4538" w:type="dxa"/>
        </w:trPr>
        <w:tc>
          <w:tcPr>
            <w:tcW w:w="4524" w:type="dxa"/>
          </w:tcPr>
          <w:p w14:paraId="7B75706F" w14:textId="77777777" w:rsidR="00754BD6" w:rsidRPr="00927455" w:rsidRDefault="00754BD6">
            <w:pPr>
              <w:rPr>
                <w:lang w:val="fr-FR"/>
              </w:rPr>
            </w:pPr>
            <w:r w:rsidRPr="00927455">
              <w:rPr>
                <w:lang w:val="fr-FR"/>
              </w:rPr>
              <w:t>PHILIPPE, Roi des Belges,</w:t>
            </w:r>
          </w:p>
        </w:tc>
      </w:tr>
      <w:tr w:rsidR="00754BD6" w:rsidRPr="00754BD6" w14:paraId="0C6C748A" w14:textId="77777777" w:rsidTr="002A0E41">
        <w:trPr>
          <w:gridAfter w:val="2"/>
          <w:wAfter w:w="4538" w:type="dxa"/>
        </w:trPr>
        <w:tc>
          <w:tcPr>
            <w:tcW w:w="4524" w:type="dxa"/>
          </w:tcPr>
          <w:p w14:paraId="5714133B" w14:textId="77777777" w:rsidR="00754BD6" w:rsidRPr="00927455" w:rsidRDefault="00754BD6">
            <w:pPr>
              <w:rPr>
                <w:lang w:val="fr-FR"/>
              </w:rPr>
            </w:pPr>
            <w:r w:rsidRPr="00927455">
              <w:rPr>
                <w:lang w:val="fr-FR"/>
              </w:rPr>
              <w:t>À tous, présents et à venir, Salut.</w:t>
            </w:r>
          </w:p>
          <w:p w14:paraId="3832B592" w14:textId="77777777" w:rsidR="00754BD6" w:rsidRPr="00927455" w:rsidRDefault="00754BD6">
            <w:pPr>
              <w:rPr>
                <w:lang w:val="fr-FR"/>
              </w:rPr>
            </w:pPr>
          </w:p>
        </w:tc>
      </w:tr>
      <w:tr w:rsidR="00754BD6" w:rsidRPr="00754BD6" w14:paraId="258C437A" w14:textId="77777777" w:rsidTr="002A0E41">
        <w:trPr>
          <w:gridAfter w:val="2"/>
          <w:wAfter w:w="4538" w:type="dxa"/>
        </w:trPr>
        <w:tc>
          <w:tcPr>
            <w:tcW w:w="4524" w:type="dxa"/>
          </w:tcPr>
          <w:p w14:paraId="384FBB20" w14:textId="77777777" w:rsidR="00754BD6" w:rsidRPr="00927455" w:rsidRDefault="00754BD6">
            <w:pPr>
              <w:rPr>
                <w:lang w:val="fr-FR"/>
              </w:rPr>
            </w:pPr>
            <w:r w:rsidRPr="00927455">
              <w:rPr>
                <w:lang w:val="fr-FR"/>
              </w:rPr>
              <w:t>Vu la loi du 30 juillet 1979 relative à la prévention des incendies et des explosions ainsi qu'à l'assurance obligatoire de la responsabilité civile dans ces mêmes circonstances, article 2, § 1</w:t>
            </w:r>
            <w:r w:rsidRPr="00927455">
              <w:rPr>
                <w:vertAlign w:val="superscript"/>
                <w:lang w:val="fr-FR"/>
              </w:rPr>
              <w:t>er</w:t>
            </w:r>
            <w:r w:rsidRPr="00927455">
              <w:rPr>
                <w:lang w:val="fr-FR"/>
              </w:rPr>
              <w:t>, modifié par la loi du 22 décembre 2003 ;</w:t>
            </w:r>
          </w:p>
          <w:p w14:paraId="65CA863A" w14:textId="77777777" w:rsidR="00754BD6" w:rsidRPr="00927455" w:rsidRDefault="00754BD6">
            <w:pPr>
              <w:rPr>
                <w:lang w:val="fr-FR"/>
              </w:rPr>
            </w:pPr>
          </w:p>
        </w:tc>
      </w:tr>
      <w:tr w:rsidR="00754BD6" w:rsidRPr="00754BD6" w14:paraId="51A89A85" w14:textId="77777777" w:rsidTr="002A0E41">
        <w:trPr>
          <w:gridAfter w:val="2"/>
          <w:wAfter w:w="4538" w:type="dxa"/>
        </w:trPr>
        <w:tc>
          <w:tcPr>
            <w:tcW w:w="4524" w:type="dxa"/>
          </w:tcPr>
          <w:p w14:paraId="43738CBE" w14:textId="1C341210" w:rsidR="00754BD6" w:rsidRPr="00927455" w:rsidRDefault="00754BD6">
            <w:pPr>
              <w:rPr>
                <w:lang w:val="fr-FR"/>
              </w:rPr>
            </w:pPr>
            <w:r w:rsidRPr="00927455">
              <w:rPr>
                <w:lang w:val="fr-FR"/>
              </w:rPr>
              <w:t xml:space="preserve">Vu l'arrêté royal du 7 juillet 1994 fixant les normes de base en matière de prévention contre l'incendie et l'explosion, auxquelles les </w:t>
            </w:r>
            <w:r>
              <w:rPr>
                <w:lang w:val="fr-FR"/>
              </w:rPr>
              <w:t>bâtiments</w:t>
            </w:r>
            <w:r w:rsidRPr="00927455">
              <w:rPr>
                <w:lang w:val="fr-FR"/>
              </w:rPr>
              <w:t xml:space="preserve"> doivent satisfaire ;</w:t>
            </w:r>
          </w:p>
          <w:p w14:paraId="42EB22F3" w14:textId="77777777" w:rsidR="00754BD6" w:rsidRPr="00927455" w:rsidRDefault="00754BD6">
            <w:pPr>
              <w:rPr>
                <w:lang w:val="fr-FR"/>
              </w:rPr>
            </w:pPr>
          </w:p>
        </w:tc>
      </w:tr>
      <w:tr w:rsidR="00754BD6" w:rsidRPr="00754BD6" w14:paraId="4DCBD345" w14:textId="77777777" w:rsidTr="002A0E41">
        <w:trPr>
          <w:gridAfter w:val="2"/>
          <w:wAfter w:w="4538" w:type="dxa"/>
        </w:trPr>
        <w:tc>
          <w:tcPr>
            <w:tcW w:w="4524" w:type="dxa"/>
          </w:tcPr>
          <w:p w14:paraId="466AB874" w14:textId="77777777" w:rsidR="00754BD6" w:rsidRPr="00927455" w:rsidRDefault="00754BD6" w:rsidP="00877F9D">
            <w:pPr>
              <w:rPr>
                <w:lang w:val="fr-FR"/>
              </w:rPr>
            </w:pPr>
            <w:r w:rsidRPr="00927455">
              <w:rPr>
                <w:lang w:val="fr-FR"/>
              </w:rPr>
              <w:t>Vu les avis du Conseil supérieur de la Sécurité contre l'incendie et l'explosion du 17 janvier 2019 (façades), du 16 mai 2019 (parkings), du 21 novembre 2019 (dispositions diverses), du 16 janvier 2020 (chaufferies  et ascenseurs) et du 19 novembre 2020 (texte final);</w:t>
            </w:r>
          </w:p>
          <w:p w14:paraId="0733157B" w14:textId="77777777" w:rsidR="00754BD6" w:rsidRPr="00927455" w:rsidRDefault="00754BD6" w:rsidP="00A62618">
            <w:pPr>
              <w:rPr>
                <w:lang w:val="fr-BE"/>
              </w:rPr>
            </w:pPr>
          </w:p>
        </w:tc>
      </w:tr>
      <w:tr w:rsidR="00754BD6" w:rsidRPr="00754BD6" w14:paraId="6311EED8" w14:textId="77777777" w:rsidTr="002A0E41">
        <w:trPr>
          <w:gridAfter w:val="2"/>
          <w:wAfter w:w="4538" w:type="dxa"/>
        </w:trPr>
        <w:tc>
          <w:tcPr>
            <w:tcW w:w="4524" w:type="dxa"/>
          </w:tcPr>
          <w:p w14:paraId="17826F00" w14:textId="77777777" w:rsidR="00754BD6" w:rsidRPr="00927455" w:rsidRDefault="00754BD6">
            <w:pPr>
              <w:rPr>
                <w:lang w:val="fr-FR"/>
              </w:rPr>
            </w:pPr>
            <w:r w:rsidRPr="00927455">
              <w:rPr>
                <w:lang w:val="fr-FR"/>
              </w:rPr>
              <w:t>Vu l’accomplissement des formalités prescrites par la Directive 2015/1535/CE du Parlement européen et du Conseil prévoyant une procédure d’information dans le domaine des normes et réglementations techniques ;</w:t>
            </w:r>
          </w:p>
          <w:p w14:paraId="01E90282" w14:textId="77777777" w:rsidR="00754BD6" w:rsidRPr="00927455" w:rsidRDefault="00754BD6" w:rsidP="00B67D44">
            <w:pPr>
              <w:rPr>
                <w:lang w:val="fr-FR"/>
              </w:rPr>
            </w:pPr>
          </w:p>
        </w:tc>
      </w:tr>
      <w:tr w:rsidR="00754BD6" w:rsidRPr="00754BD6" w14:paraId="3F723039" w14:textId="77777777" w:rsidTr="002A0E41">
        <w:trPr>
          <w:gridAfter w:val="2"/>
          <w:wAfter w:w="4538" w:type="dxa"/>
        </w:trPr>
        <w:tc>
          <w:tcPr>
            <w:tcW w:w="4524" w:type="dxa"/>
          </w:tcPr>
          <w:p w14:paraId="1193900B" w14:textId="77777777" w:rsidR="00754BD6" w:rsidRPr="00927455" w:rsidRDefault="00754BD6">
            <w:pPr>
              <w:rPr>
                <w:lang w:val="fr-FR"/>
              </w:rPr>
            </w:pPr>
            <w:r w:rsidRPr="00927455">
              <w:rPr>
                <w:lang w:val="fr-FR"/>
              </w:rPr>
              <w:t>Vu l’analyse d’impact de la réglementation réalisée conformément aux articles 6 et 7 de la loi du 15 décembre 2013 portant des dispositions diverses en matière de simplification administrative ;</w:t>
            </w:r>
          </w:p>
          <w:p w14:paraId="6509AE57" w14:textId="77777777" w:rsidR="00754BD6" w:rsidRPr="00927455" w:rsidRDefault="00754BD6">
            <w:pPr>
              <w:rPr>
                <w:lang w:val="fr-FR"/>
              </w:rPr>
            </w:pPr>
          </w:p>
        </w:tc>
      </w:tr>
      <w:tr w:rsidR="00754BD6" w:rsidRPr="00754BD6" w14:paraId="1B98AF2E" w14:textId="77777777" w:rsidTr="002A0E41">
        <w:trPr>
          <w:gridAfter w:val="2"/>
          <w:wAfter w:w="4538" w:type="dxa"/>
        </w:trPr>
        <w:tc>
          <w:tcPr>
            <w:tcW w:w="4524" w:type="dxa"/>
          </w:tcPr>
          <w:p w14:paraId="72DE0877" w14:textId="77777777" w:rsidR="00754BD6" w:rsidRPr="00927455" w:rsidRDefault="00754BD6">
            <w:pPr>
              <w:rPr>
                <w:lang w:val="fr-FR"/>
              </w:rPr>
            </w:pPr>
            <w:r w:rsidRPr="00927455">
              <w:rPr>
                <w:lang w:val="fr-FR"/>
              </w:rPr>
              <w:t xml:space="preserve">Vu l'avis de l'Inspecteur des Finances, donné le </w:t>
            </w:r>
            <w:r w:rsidRPr="00927455">
              <w:rPr>
                <w:lang w:val="fr-BE"/>
              </w:rPr>
              <w:t xml:space="preserve">** ****** **** </w:t>
            </w:r>
            <w:r w:rsidRPr="00927455">
              <w:rPr>
                <w:lang w:val="fr-FR"/>
              </w:rPr>
              <w:t>;</w:t>
            </w:r>
          </w:p>
          <w:p w14:paraId="4AF7B2F1" w14:textId="77777777" w:rsidR="00754BD6" w:rsidRPr="00927455" w:rsidRDefault="00754BD6">
            <w:pPr>
              <w:rPr>
                <w:lang w:val="fr-FR"/>
              </w:rPr>
            </w:pPr>
          </w:p>
        </w:tc>
      </w:tr>
      <w:tr w:rsidR="00754BD6" w:rsidRPr="00754BD6" w14:paraId="1FA6E55F" w14:textId="77777777" w:rsidTr="002A0E41">
        <w:trPr>
          <w:gridAfter w:val="2"/>
          <w:wAfter w:w="4538" w:type="dxa"/>
        </w:trPr>
        <w:tc>
          <w:tcPr>
            <w:tcW w:w="4524" w:type="dxa"/>
          </w:tcPr>
          <w:p w14:paraId="328427DD" w14:textId="77777777" w:rsidR="00754BD6" w:rsidRPr="00927455" w:rsidRDefault="00754BD6">
            <w:pPr>
              <w:rPr>
                <w:lang w:val="fr-BE"/>
              </w:rPr>
            </w:pPr>
            <w:r w:rsidRPr="00927455">
              <w:rPr>
                <w:lang w:val="fr-BE"/>
              </w:rPr>
              <w:t xml:space="preserve">Vu l’avis **.***/* du Conseil d’État, donné le ** ****** ****, en application de article 3, § 1, </w:t>
            </w:r>
            <w:r w:rsidRPr="00927455">
              <w:rPr>
                <w:lang w:val="fr-FR"/>
              </w:rPr>
              <w:t>des lois sur le Conseil d’État, coordonnées le 12 janvier 1973 ;</w:t>
            </w:r>
          </w:p>
          <w:p w14:paraId="12FA193D" w14:textId="77777777" w:rsidR="00754BD6" w:rsidRPr="00927455" w:rsidRDefault="00754BD6" w:rsidP="00423137">
            <w:pPr>
              <w:rPr>
                <w:lang w:val="fr-FR"/>
              </w:rPr>
            </w:pPr>
          </w:p>
        </w:tc>
      </w:tr>
      <w:tr w:rsidR="00754BD6" w:rsidRPr="00754BD6" w14:paraId="0BB761FC" w14:textId="77777777" w:rsidTr="002A0E41">
        <w:trPr>
          <w:gridAfter w:val="2"/>
          <w:wAfter w:w="4538" w:type="dxa"/>
        </w:trPr>
        <w:tc>
          <w:tcPr>
            <w:tcW w:w="4524" w:type="dxa"/>
          </w:tcPr>
          <w:p w14:paraId="4BBDCF1D" w14:textId="77777777" w:rsidR="00754BD6" w:rsidRPr="00927455" w:rsidRDefault="00754BD6">
            <w:pPr>
              <w:rPr>
                <w:lang w:val="fr-FR"/>
              </w:rPr>
            </w:pPr>
            <w:r w:rsidRPr="00927455">
              <w:rPr>
                <w:lang w:val="fr-FR"/>
              </w:rPr>
              <w:lastRenderedPageBreak/>
              <w:t>Sur la proposition du Ministre de l'Intérieur et de l’avis des Ministres qui en ont délibéré en Conseil,</w:t>
            </w:r>
          </w:p>
          <w:p w14:paraId="4BBF79FB" w14:textId="77777777" w:rsidR="00754BD6" w:rsidRPr="00927455" w:rsidRDefault="00754BD6" w:rsidP="00B67D44">
            <w:pPr>
              <w:rPr>
                <w:lang w:val="fr-FR"/>
              </w:rPr>
            </w:pPr>
          </w:p>
        </w:tc>
      </w:tr>
      <w:tr w:rsidR="00754BD6" w:rsidRPr="00754BD6" w14:paraId="761218E9" w14:textId="77777777" w:rsidTr="002A0E41">
        <w:trPr>
          <w:gridAfter w:val="2"/>
          <w:wAfter w:w="4538" w:type="dxa"/>
        </w:trPr>
        <w:tc>
          <w:tcPr>
            <w:tcW w:w="4524" w:type="dxa"/>
          </w:tcPr>
          <w:p w14:paraId="74270C8B" w14:textId="77777777" w:rsidR="00754BD6" w:rsidRPr="00927455" w:rsidRDefault="00754BD6" w:rsidP="00B67D44">
            <w:pPr>
              <w:rPr>
                <w:lang w:val="fr-FR"/>
              </w:rPr>
            </w:pPr>
            <w:r w:rsidRPr="00927455">
              <w:rPr>
                <w:lang w:val="fr-FR"/>
              </w:rPr>
              <w:t>Nous avons arrêté et arrêtons :</w:t>
            </w:r>
          </w:p>
          <w:p w14:paraId="19192E4E" w14:textId="77777777" w:rsidR="00754BD6" w:rsidRPr="00927455" w:rsidRDefault="00754BD6">
            <w:pPr>
              <w:rPr>
                <w:lang w:val="fr-FR"/>
              </w:rPr>
            </w:pPr>
          </w:p>
        </w:tc>
      </w:tr>
      <w:tr w:rsidR="00754BD6" w:rsidRPr="00754BD6" w14:paraId="74401818" w14:textId="77777777" w:rsidTr="002A0E41">
        <w:trPr>
          <w:gridAfter w:val="2"/>
          <w:wAfter w:w="4538" w:type="dxa"/>
        </w:trPr>
        <w:tc>
          <w:tcPr>
            <w:tcW w:w="4524" w:type="dxa"/>
          </w:tcPr>
          <w:p w14:paraId="279439F9" w14:textId="3333AB83" w:rsidR="00754BD6" w:rsidRPr="00927455" w:rsidRDefault="00754BD6" w:rsidP="003B6C33">
            <w:pPr>
              <w:rPr>
                <w:b/>
                <w:lang w:val="fr-FR"/>
              </w:rPr>
            </w:pPr>
            <w:r w:rsidRPr="00927455">
              <w:rPr>
                <w:b/>
                <w:lang w:val="fr-FR"/>
              </w:rPr>
              <w:t>Chapitre 1</w:t>
            </w:r>
            <w:r w:rsidRPr="00927455">
              <w:rPr>
                <w:b/>
                <w:vertAlign w:val="superscript"/>
                <w:lang w:val="fr-FR"/>
              </w:rPr>
              <w:t>er</w:t>
            </w:r>
            <w:r w:rsidRPr="00927455">
              <w:rPr>
                <w:b/>
                <w:lang w:val="fr-FR"/>
              </w:rPr>
              <w:t xml:space="preserve">. Modifications de l’arrêté royal du 7 juillet 1994 fixant les normes de base en matière de prévention contre l'incendie et l'explosion, auxquelles les </w:t>
            </w:r>
            <w:r>
              <w:rPr>
                <w:b/>
                <w:lang w:val="fr-FR"/>
              </w:rPr>
              <w:t>bâtiments</w:t>
            </w:r>
            <w:r w:rsidRPr="00927455">
              <w:rPr>
                <w:b/>
                <w:lang w:val="fr-FR"/>
              </w:rPr>
              <w:t xml:space="preserve"> doivent satisfaire</w:t>
            </w:r>
          </w:p>
          <w:p w14:paraId="7C80CCDC" w14:textId="77777777" w:rsidR="00754BD6" w:rsidRPr="00927455" w:rsidRDefault="00754BD6" w:rsidP="003B6C33">
            <w:pPr>
              <w:rPr>
                <w:b/>
                <w:lang w:val="fr-FR"/>
              </w:rPr>
            </w:pPr>
          </w:p>
        </w:tc>
      </w:tr>
      <w:tr w:rsidR="00754BD6" w:rsidRPr="00754BD6" w14:paraId="59AE40F3" w14:textId="77777777" w:rsidTr="00AB0CD0">
        <w:trPr>
          <w:gridAfter w:val="2"/>
          <w:wAfter w:w="4538" w:type="dxa"/>
        </w:trPr>
        <w:tc>
          <w:tcPr>
            <w:tcW w:w="4524" w:type="dxa"/>
          </w:tcPr>
          <w:p w14:paraId="70561AD7" w14:textId="322DCB7A" w:rsidR="00754BD6" w:rsidRPr="00927455" w:rsidRDefault="00754BD6" w:rsidP="00AB0CD0">
            <w:pPr>
              <w:rPr>
                <w:lang w:val="fr-FR"/>
              </w:rPr>
            </w:pPr>
            <w:r w:rsidRPr="00927455">
              <w:rPr>
                <w:b/>
                <w:lang w:val="fr-FR"/>
              </w:rPr>
              <w:t>Article 1</w:t>
            </w:r>
            <w:r w:rsidRPr="00927455">
              <w:rPr>
                <w:b/>
                <w:vertAlign w:val="superscript"/>
                <w:lang w:val="fr-FR"/>
              </w:rPr>
              <w:t>er</w:t>
            </w:r>
            <w:r w:rsidRPr="00927455">
              <w:rPr>
                <w:b/>
                <w:lang w:val="fr-FR"/>
              </w:rPr>
              <w:t xml:space="preserve">. </w:t>
            </w:r>
            <w:r w:rsidRPr="00927455">
              <w:rPr>
                <w:lang w:val="fr-FR"/>
              </w:rPr>
              <w:t xml:space="preserve">Dans l’article 6/1 de l’arrêté royal du 7 juillet 1994 fixant les normes de base en matière de prévention contre l'incendie et l'explosion, auxquelles les </w:t>
            </w:r>
            <w:r>
              <w:rPr>
                <w:lang w:val="fr-FR"/>
              </w:rPr>
              <w:t>bâtiments</w:t>
            </w:r>
            <w:r w:rsidRPr="00927455">
              <w:rPr>
                <w:lang w:val="fr-FR"/>
              </w:rPr>
              <w:t xml:space="preserve"> doivent satisfaire, modifié par les arrêtés royaux du 18 décembre 1996, 19 décembre 1997, 4 avril 2003, 13 juin 2007, 1er mars 2009, 12 juillet 2012 et du 7 décembre 2016, </w:t>
            </w:r>
            <w:r w:rsidRPr="00927455">
              <w:rPr>
                <w:lang w:val="fr-BE"/>
              </w:rPr>
              <w:t>la première phrase est complétée par les mots « , sans toutefois dépasser la date du 1</w:t>
            </w:r>
            <w:r w:rsidRPr="00927455">
              <w:rPr>
                <w:vertAlign w:val="superscript"/>
                <w:lang w:val="fr-BE"/>
              </w:rPr>
              <w:t>er</w:t>
            </w:r>
            <w:r w:rsidRPr="00927455">
              <w:rPr>
                <w:lang w:val="fr-BE"/>
              </w:rPr>
              <w:t xml:space="preserve"> juillet 2022 ».</w:t>
            </w:r>
          </w:p>
          <w:p w14:paraId="32509D45" w14:textId="77777777" w:rsidR="00754BD6" w:rsidRPr="00927455" w:rsidRDefault="00754BD6" w:rsidP="00F64A41">
            <w:pPr>
              <w:rPr>
                <w:lang w:val="fr-FR"/>
              </w:rPr>
            </w:pPr>
          </w:p>
        </w:tc>
      </w:tr>
      <w:tr w:rsidR="00754BD6" w:rsidRPr="00754BD6" w14:paraId="2F6A81FE" w14:textId="77777777" w:rsidTr="000C3097">
        <w:trPr>
          <w:gridAfter w:val="2"/>
          <w:wAfter w:w="4538" w:type="dxa"/>
        </w:trPr>
        <w:tc>
          <w:tcPr>
            <w:tcW w:w="4524" w:type="dxa"/>
          </w:tcPr>
          <w:p w14:paraId="040F1032" w14:textId="3AD4FB03" w:rsidR="00754BD6" w:rsidRPr="00927455" w:rsidRDefault="00754BD6" w:rsidP="000C3097">
            <w:pPr>
              <w:rPr>
                <w:b/>
                <w:lang w:val="fr-FR"/>
              </w:rPr>
            </w:pPr>
            <w:r w:rsidRPr="00927455">
              <w:rPr>
                <w:b/>
                <w:lang w:val="fr-FR"/>
              </w:rPr>
              <w:t xml:space="preserve">Chapitre 2. Modifications de l’annexe 1 de l’arrêté royal du 7 juillet 1994 fixant les normes de base en matière de prévention contre l'incendie et l'explosion, auxquelles les </w:t>
            </w:r>
            <w:r>
              <w:rPr>
                <w:b/>
                <w:lang w:val="fr-FR"/>
              </w:rPr>
              <w:t>bâtiments</w:t>
            </w:r>
            <w:r w:rsidRPr="00927455">
              <w:rPr>
                <w:b/>
                <w:lang w:val="fr-FR"/>
              </w:rPr>
              <w:t xml:space="preserve"> doivent satisfaire</w:t>
            </w:r>
          </w:p>
          <w:p w14:paraId="50ED01CA" w14:textId="77777777" w:rsidR="00754BD6" w:rsidRPr="00927455" w:rsidRDefault="00754BD6" w:rsidP="000C3097">
            <w:pPr>
              <w:rPr>
                <w:b/>
                <w:lang w:val="fr-FR"/>
              </w:rPr>
            </w:pPr>
          </w:p>
        </w:tc>
      </w:tr>
      <w:tr w:rsidR="00754BD6" w:rsidRPr="00754BD6" w14:paraId="24AAF193" w14:textId="77777777" w:rsidTr="002A0E41">
        <w:trPr>
          <w:gridAfter w:val="2"/>
          <w:wAfter w:w="4538" w:type="dxa"/>
        </w:trPr>
        <w:tc>
          <w:tcPr>
            <w:tcW w:w="4524" w:type="dxa"/>
          </w:tcPr>
          <w:p w14:paraId="013D5055" w14:textId="77777777" w:rsidR="00754BD6" w:rsidRPr="00927455" w:rsidRDefault="00754BD6" w:rsidP="009371D1">
            <w:pPr>
              <w:rPr>
                <w:lang w:val="fr-FR"/>
              </w:rPr>
            </w:pPr>
            <w:r w:rsidRPr="00927455">
              <w:rPr>
                <w:b/>
                <w:lang w:val="fr-FR"/>
              </w:rPr>
              <w:t>Art. 2.</w:t>
            </w:r>
            <w:r w:rsidRPr="00927455">
              <w:rPr>
                <w:lang w:val="fr-FR"/>
              </w:rPr>
              <w:t xml:space="preserve"> Dans le point 1.6.1 de l’annexe 1 du même arrêté royal</w:t>
            </w:r>
            <w:r w:rsidRPr="00927455">
              <w:rPr>
                <w:lang w:val="fr-BE"/>
              </w:rPr>
              <w:t>, dans le texte néerlandais,</w:t>
            </w:r>
            <w:r w:rsidRPr="00927455">
              <w:rPr>
                <w:lang w:val="fr-FR"/>
              </w:rPr>
              <w:t xml:space="preserve"> le mot « </w:t>
            </w:r>
            <w:proofErr w:type="spellStart"/>
            <w:r w:rsidRPr="00927455">
              <w:rPr>
                <w:lang w:val="fr-BE"/>
              </w:rPr>
              <w:t>brutooppervlakte</w:t>
            </w:r>
            <w:proofErr w:type="spellEnd"/>
            <w:r w:rsidRPr="00927455">
              <w:rPr>
                <w:lang w:val="fr-FR"/>
              </w:rPr>
              <w:t xml:space="preserve"> » est remplacé par le mot « </w:t>
            </w:r>
            <w:proofErr w:type="spellStart"/>
            <w:r w:rsidRPr="00927455">
              <w:rPr>
                <w:lang w:val="fr-BE"/>
              </w:rPr>
              <w:t>bruto-oppervlakte</w:t>
            </w:r>
            <w:proofErr w:type="spellEnd"/>
            <w:r w:rsidRPr="00927455">
              <w:rPr>
                <w:lang w:val="fr-FR"/>
              </w:rPr>
              <w:t xml:space="preserve"> ».</w:t>
            </w:r>
          </w:p>
          <w:p w14:paraId="283F6FA6" w14:textId="77777777" w:rsidR="00754BD6" w:rsidRPr="00927455" w:rsidRDefault="00754BD6" w:rsidP="009371D1">
            <w:pPr>
              <w:rPr>
                <w:lang w:val="fr-FR"/>
              </w:rPr>
            </w:pPr>
          </w:p>
        </w:tc>
      </w:tr>
      <w:tr w:rsidR="00754BD6" w:rsidRPr="00754BD6" w14:paraId="14D85C8B" w14:textId="77777777" w:rsidTr="000C3097">
        <w:trPr>
          <w:gridAfter w:val="2"/>
          <w:wAfter w:w="4538" w:type="dxa"/>
        </w:trPr>
        <w:tc>
          <w:tcPr>
            <w:tcW w:w="4524" w:type="dxa"/>
          </w:tcPr>
          <w:p w14:paraId="4471DC53" w14:textId="77777777" w:rsidR="00754BD6" w:rsidRPr="00927455" w:rsidRDefault="00754BD6" w:rsidP="000B514A">
            <w:pPr>
              <w:rPr>
                <w:lang w:val="fr-BE"/>
              </w:rPr>
            </w:pPr>
            <w:r w:rsidRPr="00927455">
              <w:rPr>
                <w:b/>
                <w:lang w:val="fr-BE"/>
              </w:rPr>
              <w:t>Art. 3.</w:t>
            </w:r>
            <w:r w:rsidRPr="00927455">
              <w:rPr>
                <w:lang w:val="fr-BE"/>
              </w:rPr>
              <w:t xml:space="preserve"> Point 1.13 de l’annexe 1 du même arrêté royal est remplacé par ce qui suit :</w:t>
            </w:r>
          </w:p>
          <w:p w14:paraId="5F1E3684" w14:textId="77777777" w:rsidR="00754BD6" w:rsidRPr="00927455" w:rsidRDefault="00754BD6" w:rsidP="000C3097">
            <w:pPr>
              <w:rPr>
                <w:lang w:val="fr-BE"/>
              </w:rPr>
            </w:pPr>
            <w:r w:rsidRPr="00927455">
              <w:rPr>
                <w:lang w:val="fr-BE"/>
              </w:rPr>
              <w:t>« 1.13 Sous-compartiment : partie d'un compartiment délimitée par des parois dont la fonction est de ralentir la propagation d'un incendie et de limiter la superficie sinistrée. ».</w:t>
            </w:r>
          </w:p>
          <w:p w14:paraId="251E420B" w14:textId="77777777" w:rsidR="00754BD6" w:rsidRPr="00927455" w:rsidRDefault="00754BD6" w:rsidP="00A05B48">
            <w:pPr>
              <w:rPr>
                <w:lang w:val="fr-FR"/>
              </w:rPr>
            </w:pPr>
          </w:p>
        </w:tc>
      </w:tr>
      <w:tr w:rsidR="00754BD6" w:rsidRPr="00754BD6" w14:paraId="3481B7B4" w14:textId="77777777" w:rsidTr="00B75FB5">
        <w:trPr>
          <w:gridAfter w:val="2"/>
          <w:wAfter w:w="4538" w:type="dxa"/>
        </w:trPr>
        <w:tc>
          <w:tcPr>
            <w:tcW w:w="4524" w:type="dxa"/>
          </w:tcPr>
          <w:p w14:paraId="476A4D7F" w14:textId="77777777" w:rsidR="00754BD6" w:rsidRPr="00927455" w:rsidRDefault="00754BD6" w:rsidP="00B75FB5">
            <w:pPr>
              <w:rPr>
                <w:lang w:val="fr-FR"/>
              </w:rPr>
            </w:pPr>
            <w:r w:rsidRPr="00927455">
              <w:rPr>
                <w:b/>
                <w:lang w:val="fr-FR"/>
              </w:rPr>
              <w:t>Art. 4.</w:t>
            </w:r>
            <w:r w:rsidRPr="00927455">
              <w:rPr>
                <w:lang w:val="fr-FR"/>
              </w:rPr>
              <w:t xml:space="preserve"> Dans le point 1.15 de l’annexe 1 du même arrêté royal</w:t>
            </w:r>
            <w:r w:rsidRPr="00927455">
              <w:rPr>
                <w:lang w:val="fr-BE"/>
              </w:rPr>
              <w:t>, dans le texte français,</w:t>
            </w:r>
            <w:r w:rsidRPr="00927455">
              <w:rPr>
                <w:lang w:val="fr-FR"/>
              </w:rPr>
              <w:t xml:space="preserve"> le mot « </w:t>
            </w:r>
            <w:r w:rsidRPr="00927455">
              <w:rPr>
                <w:lang w:val="fr-BE"/>
              </w:rPr>
              <w:t xml:space="preserve">structurels </w:t>
            </w:r>
            <w:r w:rsidRPr="00927455">
              <w:rPr>
                <w:lang w:val="fr-FR"/>
              </w:rPr>
              <w:t xml:space="preserve">» est à chaque fois remplacé par le mot « </w:t>
            </w:r>
            <w:r w:rsidRPr="00927455">
              <w:rPr>
                <w:lang w:val="fr-BE"/>
              </w:rPr>
              <w:t xml:space="preserve">structuraux </w:t>
            </w:r>
            <w:r w:rsidRPr="00927455">
              <w:rPr>
                <w:lang w:val="fr-FR"/>
              </w:rPr>
              <w:t>».</w:t>
            </w:r>
          </w:p>
          <w:p w14:paraId="542BEF21" w14:textId="77777777" w:rsidR="00754BD6" w:rsidRPr="00927455" w:rsidRDefault="00754BD6" w:rsidP="00B75FB5">
            <w:pPr>
              <w:rPr>
                <w:lang w:val="fr-FR"/>
              </w:rPr>
            </w:pPr>
          </w:p>
        </w:tc>
      </w:tr>
      <w:tr w:rsidR="00754BD6" w:rsidRPr="00754BD6" w14:paraId="44FCDE19" w14:textId="77777777" w:rsidTr="000C3097">
        <w:trPr>
          <w:gridAfter w:val="2"/>
          <w:wAfter w:w="4538" w:type="dxa"/>
        </w:trPr>
        <w:tc>
          <w:tcPr>
            <w:tcW w:w="4524" w:type="dxa"/>
          </w:tcPr>
          <w:p w14:paraId="407EF922" w14:textId="77777777" w:rsidR="00754BD6" w:rsidRPr="00927455" w:rsidRDefault="00754BD6" w:rsidP="000C3097">
            <w:pPr>
              <w:rPr>
                <w:lang w:val="fr-FR"/>
              </w:rPr>
            </w:pPr>
            <w:r w:rsidRPr="00927455">
              <w:rPr>
                <w:b/>
                <w:lang w:val="fr-BE"/>
              </w:rPr>
              <w:t>Art. 5.</w:t>
            </w:r>
            <w:r w:rsidRPr="00927455">
              <w:rPr>
                <w:lang w:val="fr-BE"/>
              </w:rPr>
              <w:t xml:space="preserve"> Dans le point 2.1 de l’annexe 1 du même arrêté royal, dans le texte néerlandais, le mot « </w:t>
            </w:r>
            <w:proofErr w:type="spellStart"/>
            <w:r w:rsidRPr="00927455">
              <w:rPr>
                <w:lang w:val="fr-BE"/>
              </w:rPr>
              <w:t>informatiegegevens</w:t>
            </w:r>
            <w:proofErr w:type="spellEnd"/>
            <w:r w:rsidRPr="00927455">
              <w:rPr>
                <w:lang w:val="fr-BE"/>
              </w:rPr>
              <w:t xml:space="preserve"> » est </w:t>
            </w:r>
            <w:proofErr w:type="spellStart"/>
            <w:r w:rsidRPr="00927455">
              <w:rPr>
                <w:lang w:val="fr-BE"/>
              </w:rPr>
              <w:t>remp</w:t>
            </w:r>
            <w:proofErr w:type="spellEnd"/>
            <w:r w:rsidRPr="00927455">
              <w:rPr>
                <w:lang w:val="fr-FR"/>
              </w:rPr>
              <w:t xml:space="preserve">lacé par le mot « </w:t>
            </w:r>
            <w:r w:rsidRPr="00927455">
              <w:rPr>
                <w:lang w:val="fr-BE"/>
              </w:rPr>
              <w:t>informatie</w:t>
            </w:r>
            <w:r w:rsidRPr="00927455">
              <w:rPr>
                <w:lang w:val="fr-FR"/>
              </w:rPr>
              <w:t xml:space="preserve"> ».</w:t>
            </w:r>
          </w:p>
          <w:p w14:paraId="62287427" w14:textId="77777777" w:rsidR="00754BD6" w:rsidRPr="00927455" w:rsidRDefault="00754BD6" w:rsidP="000C3097">
            <w:pPr>
              <w:rPr>
                <w:lang w:val="fr-FR"/>
              </w:rPr>
            </w:pPr>
          </w:p>
        </w:tc>
      </w:tr>
      <w:tr w:rsidR="00754BD6" w:rsidRPr="00754BD6" w14:paraId="6B17C6C0" w14:textId="77777777" w:rsidTr="00EF4F8D">
        <w:trPr>
          <w:gridAfter w:val="2"/>
          <w:wAfter w:w="4538" w:type="dxa"/>
        </w:trPr>
        <w:tc>
          <w:tcPr>
            <w:tcW w:w="4524" w:type="dxa"/>
          </w:tcPr>
          <w:p w14:paraId="1626CF8A" w14:textId="6491578D" w:rsidR="00754BD6" w:rsidRPr="00927455" w:rsidRDefault="00754BD6" w:rsidP="007E79A6">
            <w:pPr>
              <w:rPr>
                <w:lang w:val="fr-BE"/>
              </w:rPr>
            </w:pPr>
            <w:r w:rsidRPr="00927455">
              <w:rPr>
                <w:b/>
                <w:lang w:val="fr-BE"/>
              </w:rPr>
              <w:lastRenderedPageBreak/>
              <w:t>Art. 6.</w:t>
            </w:r>
            <w:r w:rsidRPr="00927455">
              <w:rPr>
                <w:lang w:val="fr-BE"/>
              </w:rPr>
              <w:t xml:space="preserve"> Le point 2.2 de l’annexe 1 du même arrêté royal est remplacé par ce qui suit :</w:t>
            </w:r>
          </w:p>
          <w:p w14:paraId="69F4B02E" w14:textId="77777777" w:rsidR="00754BD6" w:rsidRPr="00927455" w:rsidRDefault="00754BD6" w:rsidP="00EF4F8D">
            <w:pPr>
              <w:rPr>
                <w:b/>
                <w:i/>
                <w:lang w:val="fr-BE"/>
              </w:rPr>
            </w:pPr>
          </w:p>
        </w:tc>
      </w:tr>
      <w:tr w:rsidR="00754BD6" w:rsidRPr="00754BD6" w14:paraId="1184DDB9" w14:textId="77777777" w:rsidTr="00EF4F8D">
        <w:trPr>
          <w:gridAfter w:val="2"/>
          <w:wAfter w:w="4538" w:type="dxa"/>
        </w:trPr>
        <w:tc>
          <w:tcPr>
            <w:tcW w:w="4524" w:type="dxa"/>
          </w:tcPr>
          <w:p w14:paraId="06554D58" w14:textId="5CCC7F5D" w:rsidR="00754BD6" w:rsidRPr="00927455" w:rsidRDefault="00754BD6" w:rsidP="00360253">
            <w:pPr>
              <w:rPr>
                <w:i/>
                <w:lang w:val="fr-BE"/>
              </w:rPr>
            </w:pPr>
            <w:r w:rsidRPr="00927455">
              <w:rPr>
                <w:lang w:val="fr-BE"/>
              </w:rPr>
              <w:t>«</w:t>
            </w:r>
            <w:r w:rsidRPr="00927455">
              <w:rPr>
                <w:rFonts w:cs="Times New Roman"/>
                <w:noProof/>
                <w:lang w:val="fr-BE" w:eastAsia="nl-NL"/>
              </w:rPr>
              <w:t xml:space="preserve"> </w:t>
            </w:r>
            <w:r w:rsidRPr="00927455">
              <w:rPr>
                <w:rFonts w:cs="Times New Roman"/>
                <w:b/>
                <w:noProof/>
                <w:lang w:val="fr-BE" w:eastAsia="nl-NL"/>
              </w:rPr>
              <w:t>2.2 Evaluation spécifique pour les portes résistant au feu</w:t>
            </w:r>
          </w:p>
        </w:tc>
      </w:tr>
      <w:tr w:rsidR="00754BD6" w:rsidRPr="00754BD6" w14:paraId="40E7EC73" w14:textId="77777777" w:rsidTr="00EF4F8D">
        <w:trPr>
          <w:gridAfter w:val="2"/>
          <w:wAfter w:w="4538" w:type="dxa"/>
        </w:trPr>
        <w:tc>
          <w:tcPr>
            <w:tcW w:w="4524" w:type="dxa"/>
          </w:tcPr>
          <w:p w14:paraId="3DF1B422" w14:textId="77777777" w:rsidR="00754BD6" w:rsidRPr="00927455" w:rsidRDefault="00754BD6" w:rsidP="00A61736">
            <w:pPr>
              <w:rPr>
                <w:lang w:val="fr-BE"/>
              </w:rPr>
            </w:pPr>
            <w:r w:rsidRPr="00927455">
              <w:rPr>
                <w:lang w:val="fr-BE"/>
              </w:rPr>
              <w:t>§1. La résistance au feu des portes est testée selon la norme NBN EN 1634-1 et classée selon la norme NBN EN 13501-2.</w:t>
            </w:r>
          </w:p>
          <w:p w14:paraId="4D715E55" w14:textId="356AC377" w:rsidR="00754BD6" w:rsidRPr="00927455" w:rsidRDefault="00754BD6" w:rsidP="00A61736">
            <w:pPr>
              <w:rPr>
                <w:lang w:val="fr-BE"/>
              </w:rPr>
            </w:pPr>
            <w:r w:rsidRPr="00927455">
              <w:rPr>
                <w:lang w:val="fr-BE"/>
              </w:rPr>
              <w:t>La résistance au feu d'une porte est attestée par les informations accompagnant le marquage CE du produit de construction.</w:t>
            </w:r>
          </w:p>
          <w:p w14:paraId="65624B02" w14:textId="77777777" w:rsidR="00754BD6" w:rsidRPr="00927455" w:rsidRDefault="00754BD6" w:rsidP="00A61736">
            <w:pPr>
              <w:rPr>
                <w:lang w:val="fr-BE"/>
              </w:rPr>
            </w:pPr>
          </w:p>
          <w:p w14:paraId="6083F201" w14:textId="0A03E4E9" w:rsidR="00754BD6" w:rsidRPr="00927455" w:rsidRDefault="00754BD6" w:rsidP="00DB3FA0">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b/>
                <w:lang w:val="fr-BE"/>
              </w:rPr>
            </w:pPr>
            <w:r w:rsidRPr="00927455">
              <w:rPr>
                <w:rFonts w:cs="Times New Roman"/>
                <w:noProof/>
                <w:lang w:val="fr-BE" w:eastAsia="nl-NL"/>
              </w:rPr>
              <w:t>A défaut de marquage CE pour une porte résistant au feu, cette porte doit également satisfaire aux exigences suivantes :</w:t>
            </w:r>
          </w:p>
        </w:tc>
      </w:tr>
      <w:tr w:rsidR="00754BD6" w:rsidRPr="00754BD6" w14:paraId="7A35ABF4" w14:textId="77777777" w:rsidTr="00EF4F8D">
        <w:trPr>
          <w:gridAfter w:val="2"/>
          <w:wAfter w:w="4538" w:type="dxa"/>
        </w:trPr>
        <w:tc>
          <w:tcPr>
            <w:tcW w:w="4524" w:type="dxa"/>
          </w:tcPr>
          <w:p w14:paraId="238E9E15" w14:textId="3D020C95" w:rsidR="00754BD6" w:rsidRPr="00927455" w:rsidRDefault="00754BD6" w:rsidP="00A6173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r w:rsidRPr="00927455">
              <w:rPr>
                <w:rFonts w:cs="Times New Roman"/>
                <w:noProof/>
                <w:lang w:val="fr-BE" w:eastAsia="nl-NL"/>
              </w:rPr>
              <w:t>1° pour ce qui concerne les tolérances de hauteur, largeur, épaisseur et équerrage, les classes minimales suivant la norme NBN EN 1529 :</w:t>
            </w:r>
          </w:p>
          <w:p w14:paraId="31535835" w14:textId="21D3B2F5" w:rsidR="00754BD6" w:rsidRPr="00927455" w:rsidRDefault="00754BD6" w:rsidP="00A6173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r w:rsidRPr="00927455">
              <w:rPr>
                <w:rFonts w:cs="Times New Roman"/>
                <w:noProof/>
                <w:lang w:val="fr-BE" w:eastAsia="nl-NL"/>
              </w:rPr>
              <w:t>- après conditionnement préalable : classe 1 ;</w:t>
            </w:r>
          </w:p>
          <w:p w14:paraId="656BB528" w14:textId="59B2AA6C" w:rsidR="00754BD6" w:rsidRPr="00927455" w:rsidRDefault="00754BD6" w:rsidP="00A61736">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r w:rsidRPr="00927455">
              <w:rPr>
                <w:rFonts w:cs="Times New Roman"/>
                <w:noProof/>
                <w:lang w:val="fr-BE" w:eastAsia="nl-NL"/>
              </w:rPr>
              <w:t>- après exposition à une humidité élevée : classe 1 ;</w:t>
            </w:r>
          </w:p>
          <w:p w14:paraId="05A3C0D1" w14:textId="77777777" w:rsidR="00754BD6" w:rsidRPr="00927455" w:rsidRDefault="00754BD6" w:rsidP="00132FDE">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r w:rsidRPr="00927455">
              <w:rPr>
                <w:rFonts w:cs="Times New Roman"/>
                <w:noProof/>
                <w:lang w:val="fr-BE" w:eastAsia="nl-NL"/>
              </w:rPr>
              <w:t>- après exposition à une humidité faible : classe 1 ;</w:t>
            </w:r>
          </w:p>
          <w:p w14:paraId="2361CE57" w14:textId="2C3EF0AC" w:rsidR="00754BD6" w:rsidRPr="00927455" w:rsidRDefault="00754BD6" w:rsidP="00132FDE">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b/>
                <w:lang w:val="fr-BE"/>
              </w:rPr>
            </w:pPr>
          </w:p>
        </w:tc>
      </w:tr>
      <w:tr w:rsidR="00754BD6" w:rsidRPr="00754BD6" w14:paraId="79A8E3B3" w14:textId="77777777" w:rsidTr="00EF4F8D">
        <w:trPr>
          <w:gridAfter w:val="2"/>
          <w:wAfter w:w="4538" w:type="dxa"/>
        </w:trPr>
        <w:tc>
          <w:tcPr>
            <w:tcW w:w="4524" w:type="dxa"/>
          </w:tcPr>
          <w:p w14:paraId="7FBC662E" w14:textId="0D77DCC3" w:rsidR="00754BD6" w:rsidRPr="00927455" w:rsidRDefault="00754BD6" w:rsidP="00177D3B">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b/>
                <w:lang w:val="fr-BE"/>
              </w:rPr>
            </w:pPr>
            <w:r w:rsidRPr="00927455">
              <w:rPr>
                <w:rFonts w:cs="Times New Roman"/>
                <w:noProof/>
                <w:lang w:val="fr-BE" w:eastAsia="nl-NL"/>
              </w:rPr>
              <w:t>2° pour ce qui concerne les tolérances de planéité générales et locales, les classes minimales suivant la norme NBN EN 1530 :</w:t>
            </w:r>
          </w:p>
          <w:p w14:paraId="68EC8B7A" w14:textId="77777777" w:rsidR="00754BD6" w:rsidRPr="00927455" w:rsidRDefault="00754BD6" w:rsidP="00177D3B">
            <w:pPr>
              <w:rPr>
                <w:lang w:val="fr-BE"/>
              </w:rPr>
            </w:pPr>
            <w:r w:rsidRPr="00927455">
              <w:rPr>
                <w:lang w:val="fr-BE"/>
              </w:rPr>
              <w:t>- après conditionnement préalable : classe 3 ;</w:t>
            </w:r>
          </w:p>
          <w:p w14:paraId="55AFADD2" w14:textId="2CD1AA7D" w:rsidR="00754BD6" w:rsidRPr="00927455" w:rsidRDefault="00754BD6" w:rsidP="00177D3B">
            <w:pPr>
              <w:rPr>
                <w:lang w:val="fr-BE"/>
              </w:rPr>
            </w:pPr>
            <w:r w:rsidRPr="00927455">
              <w:rPr>
                <w:lang w:val="fr-BE"/>
              </w:rPr>
              <w:t>- après exposition à une humidité élevée : classe 2 ;</w:t>
            </w:r>
          </w:p>
          <w:p w14:paraId="163DC5AD" w14:textId="77777777" w:rsidR="00754BD6" w:rsidRPr="00927455" w:rsidRDefault="00754BD6" w:rsidP="00843C72">
            <w:pPr>
              <w:rPr>
                <w:lang w:val="fr-BE"/>
              </w:rPr>
            </w:pPr>
            <w:r w:rsidRPr="00927455">
              <w:rPr>
                <w:lang w:val="fr-BE"/>
              </w:rPr>
              <w:t>- après exposition à une humidité faible : classe 2 ;</w:t>
            </w:r>
          </w:p>
          <w:p w14:paraId="7D0F81FA" w14:textId="7628CC97" w:rsidR="00754BD6" w:rsidRPr="00927455" w:rsidRDefault="00754BD6" w:rsidP="00843C72">
            <w:pPr>
              <w:rPr>
                <w:lang w:val="fr-BE"/>
              </w:rPr>
            </w:pPr>
          </w:p>
        </w:tc>
      </w:tr>
      <w:tr w:rsidR="00754BD6" w:rsidRPr="00754BD6" w14:paraId="306FB193" w14:textId="77777777" w:rsidTr="00EF4F8D">
        <w:trPr>
          <w:gridAfter w:val="2"/>
          <w:wAfter w:w="4538" w:type="dxa"/>
        </w:trPr>
        <w:tc>
          <w:tcPr>
            <w:tcW w:w="4524" w:type="dxa"/>
          </w:tcPr>
          <w:p w14:paraId="526959D8" w14:textId="1D969F47" w:rsidR="00754BD6" w:rsidRPr="00927455" w:rsidRDefault="00754BD6" w:rsidP="00177D3B">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r w:rsidRPr="00927455">
              <w:rPr>
                <w:rFonts w:cs="Times New Roman"/>
                <w:noProof/>
                <w:lang w:val="fr-BE" w:eastAsia="nl-NL"/>
              </w:rPr>
              <w:t>3° pour ce qui concerne les exigences de résistance mécanique, les classes minimales suivant la norme NBN EN 1192 :</w:t>
            </w:r>
          </w:p>
          <w:p w14:paraId="2EA88BA9" w14:textId="775B818F" w:rsidR="00754BD6" w:rsidRPr="00927455" w:rsidRDefault="00754BD6" w:rsidP="00177D3B">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r w:rsidRPr="00927455">
              <w:rPr>
                <w:rFonts w:cs="Times New Roman"/>
                <w:noProof/>
                <w:lang w:val="fr-BE" w:eastAsia="nl-NL"/>
              </w:rPr>
              <w:t>- dans les applications non industrielles : classe 1 ;</w:t>
            </w:r>
          </w:p>
          <w:p w14:paraId="43BA61D2" w14:textId="77777777" w:rsidR="00754BD6" w:rsidRPr="00927455" w:rsidRDefault="00754BD6" w:rsidP="00177D3B">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r w:rsidRPr="00927455">
              <w:rPr>
                <w:rFonts w:cs="Times New Roman"/>
                <w:noProof/>
                <w:lang w:val="fr-BE" w:eastAsia="nl-NL"/>
              </w:rPr>
              <w:t>- dans les applications industrielles : classe 2 ;</w:t>
            </w:r>
          </w:p>
          <w:p w14:paraId="5BFA67DF" w14:textId="5AD54B66" w:rsidR="00754BD6" w:rsidRPr="00927455" w:rsidRDefault="00754BD6" w:rsidP="00177D3B">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b/>
                <w:lang w:val="fr-BE"/>
              </w:rPr>
            </w:pPr>
          </w:p>
        </w:tc>
      </w:tr>
      <w:tr w:rsidR="00754BD6" w:rsidRPr="00754BD6" w14:paraId="7E472F85" w14:textId="77777777" w:rsidTr="00EF4F8D">
        <w:trPr>
          <w:gridAfter w:val="2"/>
          <w:wAfter w:w="4538" w:type="dxa"/>
        </w:trPr>
        <w:tc>
          <w:tcPr>
            <w:tcW w:w="4524" w:type="dxa"/>
          </w:tcPr>
          <w:p w14:paraId="320610C9" w14:textId="1913F09B" w:rsidR="00754BD6" w:rsidRPr="00927455" w:rsidRDefault="00754BD6" w:rsidP="00132FDE">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r w:rsidRPr="00927455">
              <w:rPr>
                <w:rFonts w:cs="Times New Roman"/>
                <w:noProof/>
                <w:lang w:val="fr-BE" w:eastAsia="nl-NL"/>
              </w:rPr>
              <w:t>4° pour ce qui concerne la durabilité mécanique : la classe minimale 4 suivant la norme NBN EN 12400.</w:t>
            </w:r>
          </w:p>
          <w:p w14:paraId="30531486" w14:textId="60477FFE" w:rsidR="00754BD6" w:rsidRPr="00927455" w:rsidRDefault="00754BD6" w:rsidP="00132FDE">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b/>
                <w:lang w:val="fr-BE"/>
              </w:rPr>
            </w:pPr>
          </w:p>
        </w:tc>
      </w:tr>
      <w:tr w:rsidR="00754BD6" w:rsidRPr="00754BD6" w14:paraId="3C533D4D" w14:textId="77777777" w:rsidTr="00EF4F8D">
        <w:trPr>
          <w:gridAfter w:val="2"/>
          <w:wAfter w:w="4538" w:type="dxa"/>
        </w:trPr>
        <w:tc>
          <w:tcPr>
            <w:tcW w:w="4524" w:type="dxa"/>
          </w:tcPr>
          <w:p w14:paraId="48C157D4" w14:textId="673EADD3" w:rsidR="00754BD6" w:rsidRPr="00927455" w:rsidRDefault="00754BD6" w:rsidP="00F3559A">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b/>
                <w:lang w:val="fr-BE"/>
              </w:rPr>
            </w:pPr>
            <w:r w:rsidRPr="00927455">
              <w:rPr>
                <w:rFonts w:cs="Times New Roman"/>
                <w:noProof/>
                <w:lang w:val="fr-BE" w:eastAsia="nl-NL"/>
              </w:rPr>
              <w:t>Pour les exigences visées aux points 1° et 2°, les conditions climatiques de température et d'humidité sont fixées dans la norme NBN EN 1294.</w:t>
            </w:r>
          </w:p>
        </w:tc>
      </w:tr>
      <w:tr w:rsidR="00754BD6" w:rsidRPr="00754BD6" w14:paraId="1437DE35" w14:textId="77777777" w:rsidTr="00EF4F8D">
        <w:trPr>
          <w:gridAfter w:val="2"/>
          <w:wAfter w:w="4538" w:type="dxa"/>
        </w:trPr>
        <w:tc>
          <w:tcPr>
            <w:tcW w:w="4524" w:type="dxa"/>
          </w:tcPr>
          <w:p w14:paraId="12AD5139" w14:textId="2DBEBCDF" w:rsidR="00754BD6" w:rsidRPr="00927455" w:rsidRDefault="00754BD6" w:rsidP="00177D3B">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r w:rsidRPr="00927455">
              <w:rPr>
                <w:rFonts w:cs="Times New Roman"/>
                <w:noProof/>
                <w:lang w:val="fr-BE" w:eastAsia="nl-NL"/>
              </w:rPr>
              <w:t xml:space="preserve">Les portes résistant au feu font l’objet, en ce qui concerne les exigences en matière de </w:t>
            </w:r>
            <w:r w:rsidRPr="00927455">
              <w:rPr>
                <w:rFonts w:cs="Times New Roman"/>
                <w:noProof/>
                <w:lang w:val="fr-BE" w:eastAsia="nl-NL"/>
              </w:rPr>
              <w:lastRenderedPageBreak/>
              <w:t>résistance au feu et les exigences minimales fixées au point 2°, d’une évaluation. L'évaluation et la vérification de la constance des performances des portes résistant au feu sont effectuées selon le système 1 décrit au point 1.2 de l'annexe V du Règlement (UE) n° 305/2011 établissant des conditions harmonisées de commercialisation pour les produits de construction.</w:t>
            </w:r>
          </w:p>
          <w:p w14:paraId="0960864A" w14:textId="77777777" w:rsidR="00754BD6" w:rsidRPr="00927455" w:rsidRDefault="00754BD6" w:rsidP="00177D3B">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p>
          <w:p w14:paraId="66EFAFCB" w14:textId="5CEEFA5C" w:rsidR="00754BD6" w:rsidRPr="00927455" w:rsidRDefault="00754BD6" w:rsidP="00177D3B">
            <w:pPr>
              <w:rPr>
                <w:b/>
                <w:lang w:val="fr-BE"/>
              </w:rPr>
            </w:pPr>
          </w:p>
        </w:tc>
      </w:tr>
      <w:tr w:rsidR="00754BD6" w:rsidRPr="00754BD6" w14:paraId="5F7725BC" w14:textId="77777777" w:rsidTr="00EF4F8D">
        <w:trPr>
          <w:gridAfter w:val="2"/>
          <w:wAfter w:w="4538" w:type="dxa"/>
        </w:trPr>
        <w:tc>
          <w:tcPr>
            <w:tcW w:w="4524" w:type="dxa"/>
          </w:tcPr>
          <w:p w14:paraId="1574E775" w14:textId="77777777" w:rsidR="00754BD6" w:rsidRPr="00927455" w:rsidRDefault="00754BD6" w:rsidP="00123960">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rFonts w:cs="Times New Roman"/>
                <w:noProof/>
                <w:lang w:val="fr-BE" w:eastAsia="nl-NL"/>
              </w:rPr>
            </w:pPr>
            <w:r w:rsidRPr="00927455">
              <w:rPr>
                <w:rFonts w:cs="Times New Roman"/>
                <w:noProof/>
                <w:lang w:val="fr-BE" w:eastAsia="nl-NL"/>
              </w:rPr>
              <w:lastRenderedPageBreak/>
              <w:t>§2. Les portes résistant au feu sont placées conformément aux conditions de placement sur la base desquelles elles ont obtenu leur classement en matière de résistance au feu.</w:t>
            </w:r>
          </w:p>
          <w:p w14:paraId="451F5E72" w14:textId="570C7F1A" w:rsidR="00754BD6" w:rsidRPr="00927455" w:rsidRDefault="00754BD6" w:rsidP="00123960">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contextualSpacing/>
              <w:jc w:val="both"/>
              <w:rPr>
                <w:b/>
                <w:lang w:val="fr-BE"/>
              </w:rPr>
            </w:pPr>
          </w:p>
        </w:tc>
      </w:tr>
      <w:tr w:rsidR="00754BD6" w:rsidRPr="00754BD6" w14:paraId="22435A8E" w14:textId="77777777" w:rsidTr="00EF4F8D">
        <w:trPr>
          <w:gridAfter w:val="2"/>
          <w:wAfter w:w="4538" w:type="dxa"/>
        </w:trPr>
        <w:tc>
          <w:tcPr>
            <w:tcW w:w="4524" w:type="dxa"/>
          </w:tcPr>
          <w:p w14:paraId="1A0739DC" w14:textId="77777777" w:rsidR="00754BD6" w:rsidRPr="00927455" w:rsidRDefault="00754BD6" w:rsidP="007E79A6">
            <w:pPr>
              <w:rPr>
                <w:b/>
                <w:lang w:val="fr-BE"/>
              </w:rPr>
            </w:pPr>
          </w:p>
        </w:tc>
      </w:tr>
      <w:tr w:rsidR="00754BD6" w:rsidRPr="00754BD6" w14:paraId="20305F7B" w14:textId="77777777" w:rsidTr="00EF4F8D">
        <w:trPr>
          <w:gridAfter w:val="2"/>
          <w:wAfter w:w="4538" w:type="dxa"/>
        </w:trPr>
        <w:tc>
          <w:tcPr>
            <w:tcW w:w="4524" w:type="dxa"/>
          </w:tcPr>
          <w:p w14:paraId="0C84CF85" w14:textId="77777777" w:rsidR="00754BD6" w:rsidRPr="00927455" w:rsidRDefault="00754BD6" w:rsidP="007E79A6">
            <w:pPr>
              <w:rPr>
                <w:lang w:val="fr-BE"/>
              </w:rPr>
            </w:pPr>
            <w:r w:rsidRPr="00927455">
              <w:rPr>
                <w:b/>
                <w:lang w:val="fr-BE"/>
              </w:rPr>
              <w:t>Art. 7.</w:t>
            </w:r>
            <w:r w:rsidRPr="00927455">
              <w:rPr>
                <w:lang w:val="fr-BE"/>
              </w:rPr>
              <w:t xml:space="preserve"> Dans le point 3.1, de l’annexe 1 </w:t>
            </w:r>
            <w:r w:rsidRPr="00927455">
              <w:rPr>
                <w:lang w:val="fr-FR"/>
              </w:rPr>
              <w:t>du même arrêté royal</w:t>
            </w:r>
            <w:r w:rsidRPr="00927455">
              <w:rPr>
                <w:lang w:val="fr-BE"/>
              </w:rPr>
              <w:t>, les modifications suivantes sont apportées :</w:t>
            </w:r>
          </w:p>
          <w:p w14:paraId="5E19D5EA" w14:textId="77777777" w:rsidR="00754BD6" w:rsidRPr="00927455" w:rsidRDefault="00754BD6" w:rsidP="007E79A6">
            <w:pPr>
              <w:rPr>
                <w:lang w:val="fr-BE"/>
              </w:rPr>
            </w:pPr>
          </w:p>
        </w:tc>
      </w:tr>
      <w:tr w:rsidR="00754BD6" w:rsidRPr="00754BD6" w14:paraId="4F354C26" w14:textId="77777777" w:rsidTr="00EF4F8D">
        <w:trPr>
          <w:gridAfter w:val="2"/>
          <w:wAfter w:w="4538" w:type="dxa"/>
        </w:trPr>
        <w:tc>
          <w:tcPr>
            <w:tcW w:w="4524" w:type="dxa"/>
          </w:tcPr>
          <w:p w14:paraId="4255540A" w14:textId="77777777" w:rsidR="00754BD6" w:rsidRPr="00927455" w:rsidRDefault="00754BD6" w:rsidP="007E79A6">
            <w:pPr>
              <w:rPr>
                <w:lang w:val="fr-BE"/>
              </w:rPr>
            </w:pPr>
            <w:r w:rsidRPr="00927455">
              <w:rPr>
                <w:lang w:val="fr-BE"/>
              </w:rPr>
              <w:t>1° à l’alinéa 1</w:t>
            </w:r>
            <w:r w:rsidRPr="00927455">
              <w:rPr>
                <w:vertAlign w:val="superscript"/>
                <w:lang w:val="fr-BE"/>
              </w:rPr>
              <w:t>er</w:t>
            </w:r>
            <w:r w:rsidRPr="00927455">
              <w:rPr>
                <w:lang w:val="fr-BE"/>
              </w:rPr>
              <w:t>, les mots « (NBN EN 13501-1) » sont insérés entre les mots « Le système de classification des caractéristiques de réaction au feu des produits de construction » et les mots « est décrit dans les tableaux 1, 2 et 3 ci-après » ;</w:t>
            </w:r>
          </w:p>
          <w:p w14:paraId="5E85D47B" w14:textId="77777777" w:rsidR="00754BD6" w:rsidRPr="00927455" w:rsidRDefault="00754BD6" w:rsidP="007E79A6">
            <w:pPr>
              <w:rPr>
                <w:b/>
                <w:lang w:val="fr-BE"/>
              </w:rPr>
            </w:pPr>
          </w:p>
        </w:tc>
      </w:tr>
      <w:tr w:rsidR="00754BD6" w:rsidRPr="00927455" w14:paraId="1595460A" w14:textId="77777777" w:rsidTr="00EF4F8D">
        <w:trPr>
          <w:gridAfter w:val="2"/>
          <w:wAfter w:w="4538" w:type="dxa"/>
        </w:trPr>
        <w:tc>
          <w:tcPr>
            <w:tcW w:w="4524" w:type="dxa"/>
          </w:tcPr>
          <w:p w14:paraId="07AE5E6F" w14:textId="628AE1A8" w:rsidR="00754BD6" w:rsidRPr="00927455" w:rsidRDefault="00754BD6" w:rsidP="007E79A6">
            <w:pPr>
              <w:rPr>
                <w:lang w:val="fr-BE"/>
              </w:rPr>
            </w:pPr>
            <w:r w:rsidRPr="00927455">
              <w:rPr>
                <w:lang w:val="fr-BE"/>
              </w:rPr>
              <w:t>2° dans le tableau 1, dernière ligne, la cellule contenant les mots « Aucune performance déterminée » est remplacée par les 3 cellules suivantes :</w:t>
            </w:r>
          </w:p>
          <w:p w14:paraId="47698E02" w14:textId="3C9DD178" w:rsidR="00754BD6" w:rsidRPr="00927455" w:rsidRDefault="00754BD6" w:rsidP="007E79A6">
            <w:pPr>
              <w:rPr>
                <w:lang w:val="fr-BE"/>
              </w:rPr>
            </w:pPr>
            <w:r w:rsidRPr="00927455">
              <w:rPr>
                <w:lang w:val="fr-BE"/>
              </w:rPr>
              <w:t>« </w:t>
            </w:r>
          </w:p>
          <w:tbl>
            <w:tblPr>
              <w:tblStyle w:val="Grilledutableau"/>
              <w:tblW w:w="0" w:type="auto"/>
              <w:tblLook w:val="04A0" w:firstRow="1" w:lastRow="0" w:firstColumn="1" w:lastColumn="0" w:noHBand="0" w:noVBand="1"/>
            </w:tblPr>
            <w:tblGrid>
              <w:gridCol w:w="1862"/>
              <w:gridCol w:w="1701"/>
              <w:gridCol w:w="735"/>
            </w:tblGrid>
            <w:tr w:rsidR="00754BD6" w:rsidRPr="00927455" w14:paraId="5BEFD48A" w14:textId="77777777" w:rsidTr="00DD20F6">
              <w:tc>
                <w:tcPr>
                  <w:tcW w:w="1862" w:type="dxa"/>
                </w:tcPr>
                <w:p w14:paraId="3779B9B8" w14:textId="77777777" w:rsidR="00754BD6" w:rsidRPr="00927455" w:rsidRDefault="00754BD6" w:rsidP="007E79A6">
                  <w:pPr>
                    <w:rPr>
                      <w:lang w:val="fr-BE"/>
                    </w:rPr>
                  </w:pPr>
                  <w:r w:rsidRPr="00927455">
                    <w:rPr>
                      <w:lang w:val="fr-BE"/>
                    </w:rPr>
                    <w:t>NBN EN ISO 11925-2(</w:t>
                  </w:r>
                  <w:r w:rsidRPr="00927455">
                    <w:rPr>
                      <w:vertAlign w:val="superscript"/>
                      <w:lang w:val="fr-BE"/>
                    </w:rPr>
                    <w:t>8</w:t>
                  </w:r>
                  <w:r w:rsidRPr="00927455">
                    <w:rPr>
                      <w:lang w:val="fr-BE"/>
                    </w:rPr>
                    <w:t>):</w:t>
                  </w:r>
                </w:p>
                <w:p w14:paraId="53D69D43" w14:textId="77777777" w:rsidR="00754BD6" w:rsidRPr="00927455" w:rsidRDefault="00754BD6" w:rsidP="007E79A6">
                  <w:pPr>
                    <w:rPr>
                      <w:lang w:val="fr-BE"/>
                    </w:rPr>
                  </w:pPr>
                  <w:r w:rsidRPr="00927455">
                    <w:rPr>
                      <w:i/>
                      <w:lang w:val="fr-BE"/>
                    </w:rPr>
                    <w:t>Exposition</w:t>
                  </w:r>
                  <w:r w:rsidRPr="00927455">
                    <w:rPr>
                      <w:lang w:val="fr-BE"/>
                    </w:rPr>
                    <w:t xml:space="preserve"> = 15s</w:t>
                  </w:r>
                </w:p>
              </w:tc>
              <w:tc>
                <w:tcPr>
                  <w:tcW w:w="1701" w:type="dxa"/>
                </w:tcPr>
                <w:p w14:paraId="6B5BEFE0" w14:textId="77777777" w:rsidR="00754BD6" w:rsidRPr="00927455" w:rsidRDefault="00754BD6" w:rsidP="007E79A6">
                  <w:pPr>
                    <w:rPr>
                      <w:lang w:val="fr-BE"/>
                    </w:rPr>
                  </w:pPr>
                  <w:proofErr w:type="spellStart"/>
                  <w:r w:rsidRPr="00927455">
                    <w:rPr>
                      <w:lang w:val="fr-BE"/>
                    </w:rPr>
                    <w:t>Fs</w:t>
                  </w:r>
                  <w:proofErr w:type="spellEnd"/>
                  <w:r w:rsidRPr="00927455">
                    <w:rPr>
                      <w:lang w:val="fr-BE"/>
                    </w:rPr>
                    <w:t xml:space="preserve"> &gt; 150 mm en 20 s</w:t>
                  </w:r>
                </w:p>
                <w:p w14:paraId="410E4ABA" w14:textId="77777777" w:rsidR="00754BD6" w:rsidRPr="00927455" w:rsidRDefault="00754BD6" w:rsidP="007E79A6">
                  <w:pPr>
                    <w:rPr>
                      <w:lang w:val="fr-BE"/>
                    </w:rPr>
                  </w:pPr>
                </w:p>
              </w:tc>
              <w:tc>
                <w:tcPr>
                  <w:tcW w:w="735" w:type="dxa"/>
                </w:tcPr>
                <w:p w14:paraId="5C55A034" w14:textId="77777777" w:rsidR="00754BD6" w:rsidRPr="00927455" w:rsidRDefault="00754BD6" w:rsidP="007E79A6">
                  <w:pPr>
                    <w:rPr>
                      <w:lang w:val="fr-BE"/>
                    </w:rPr>
                  </w:pPr>
                </w:p>
              </w:tc>
            </w:tr>
          </w:tbl>
          <w:p w14:paraId="1AB99052" w14:textId="3F18BC6A" w:rsidR="00754BD6" w:rsidRPr="00927455" w:rsidRDefault="00754BD6" w:rsidP="007E79A6">
            <w:pPr>
              <w:rPr>
                <w:lang w:val="fr-BE"/>
              </w:rPr>
            </w:pPr>
            <w:r w:rsidRPr="00927455">
              <w:rPr>
                <w:lang w:val="fr-BE"/>
              </w:rPr>
              <w:t>» ;</w:t>
            </w:r>
          </w:p>
          <w:p w14:paraId="5BE259A0" w14:textId="77777777" w:rsidR="00754BD6" w:rsidRPr="00927455" w:rsidRDefault="00754BD6" w:rsidP="007E79A6">
            <w:pPr>
              <w:rPr>
                <w:lang w:val="fr-BE"/>
              </w:rPr>
            </w:pPr>
          </w:p>
        </w:tc>
      </w:tr>
      <w:tr w:rsidR="00754BD6" w:rsidRPr="00927455" w14:paraId="702C3FDC" w14:textId="77777777" w:rsidTr="001D6796">
        <w:trPr>
          <w:gridAfter w:val="2"/>
          <w:wAfter w:w="4538" w:type="dxa"/>
        </w:trPr>
        <w:tc>
          <w:tcPr>
            <w:tcW w:w="4524" w:type="dxa"/>
          </w:tcPr>
          <w:p w14:paraId="7833CC52" w14:textId="55A78132" w:rsidR="00754BD6" w:rsidRPr="00927455" w:rsidRDefault="00754BD6" w:rsidP="00045F7A">
            <w:pPr>
              <w:rPr>
                <w:lang w:val="fr-BE"/>
              </w:rPr>
            </w:pPr>
            <w:r w:rsidRPr="00927455">
              <w:rPr>
                <w:lang w:val="fr-BE"/>
              </w:rPr>
              <w:t>3° dans le tableau 2, dernière ligne, la cellule contenant les mots « Aucune performance déterminée » est remplacée par les 3 cellules suivantes :</w:t>
            </w:r>
          </w:p>
          <w:p w14:paraId="7632525B" w14:textId="0011B3F6" w:rsidR="00754BD6" w:rsidRPr="00927455" w:rsidRDefault="00754BD6" w:rsidP="007E79A6">
            <w:pPr>
              <w:rPr>
                <w:lang w:val="fr-BE"/>
              </w:rPr>
            </w:pPr>
            <w:r w:rsidRPr="00927455">
              <w:rPr>
                <w:lang w:val="fr-BE"/>
              </w:rPr>
              <w:t>«</w:t>
            </w:r>
          </w:p>
          <w:tbl>
            <w:tblPr>
              <w:tblStyle w:val="Grilledutableau"/>
              <w:tblW w:w="0" w:type="auto"/>
              <w:tblLook w:val="04A0" w:firstRow="1" w:lastRow="0" w:firstColumn="1" w:lastColumn="0" w:noHBand="0" w:noVBand="1"/>
            </w:tblPr>
            <w:tblGrid>
              <w:gridCol w:w="1862"/>
              <w:gridCol w:w="1701"/>
              <w:gridCol w:w="735"/>
            </w:tblGrid>
            <w:tr w:rsidR="00754BD6" w:rsidRPr="00927455" w14:paraId="665DCFDB" w14:textId="77777777" w:rsidTr="001D6796">
              <w:tc>
                <w:tcPr>
                  <w:tcW w:w="1862" w:type="dxa"/>
                </w:tcPr>
                <w:p w14:paraId="038E74E8" w14:textId="77777777" w:rsidR="00754BD6" w:rsidRPr="00927455" w:rsidRDefault="00754BD6" w:rsidP="007E79A6">
                  <w:pPr>
                    <w:rPr>
                      <w:lang w:val="fr-BE"/>
                    </w:rPr>
                  </w:pPr>
                  <w:r w:rsidRPr="00927455">
                    <w:rPr>
                      <w:lang w:val="fr-BE"/>
                    </w:rPr>
                    <w:t>NBN EN ISO 11925-2(</w:t>
                  </w:r>
                  <w:r w:rsidRPr="00927455">
                    <w:rPr>
                      <w:vertAlign w:val="superscript"/>
                      <w:lang w:val="fr-BE"/>
                    </w:rPr>
                    <w:t>8</w:t>
                  </w:r>
                  <w:r w:rsidRPr="00927455">
                    <w:rPr>
                      <w:lang w:val="fr-BE"/>
                    </w:rPr>
                    <w:t>):</w:t>
                  </w:r>
                </w:p>
                <w:p w14:paraId="0B27A7E6" w14:textId="77777777" w:rsidR="00754BD6" w:rsidRPr="00927455" w:rsidRDefault="00754BD6" w:rsidP="007E79A6">
                  <w:pPr>
                    <w:rPr>
                      <w:lang w:val="fr-BE"/>
                    </w:rPr>
                  </w:pPr>
                  <w:r w:rsidRPr="00927455">
                    <w:rPr>
                      <w:i/>
                      <w:lang w:val="fr-BE"/>
                    </w:rPr>
                    <w:t>Exposition</w:t>
                  </w:r>
                  <w:r w:rsidRPr="00927455">
                    <w:rPr>
                      <w:lang w:val="fr-BE"/>
                    </w:rPr>
                    <w:t xml:space="preserve"> = 15s</w:t>
                  </w:r>
                </w:p>
              </w:tc>
              <w:tc>
                <w:tcPr>
                  <w:tcW w:w="1701" w:type="dxa"/>
                </w:tcPr>
                <w:p w14:paraId="0B60DE33" w14:textId="77777777" w:rsidR="00754BD6" w:rsidRPr="00927455" w:rsidRDefault="00754BD6" w:rsidP="007E79A6">
                  <w:pPr>
                    <w:rPr>
                      <w:lang w:val="fr-BE"/>
                    </w:rPr>
                  </w:pPr>
                  <w:proofErr w:type="spellStart"/>
                  <w:r w:rsidRPr="00927455">
                    <w:rPr>
                      <w:lang w:val="fr-BE"/>
                    </w:rPr>
                    <w:t>Fs</w:t>
                  </w:r>
                  <w:proofErr w:type="spellEnd"/>
                  <w:r w:rsidRPr="00927455">
                    <w:rPr>
                      <w:lang w:val="fr-BE"/>
                    </w:rPr>
                    <w:t xml:space="preserve"> &gt; 150 mm en 20 s</w:t>
                  </w:r>
                </w:p>
                <w:p w14:paraId="1E39147C" w14:textId="77777777" w:rsidR="00754BD6" w:rsidRPr="00927455" w:rsidRDefault="00754BD6" w:rsidP="007E79A6">
                  <w:pPr>
                    <w:rPr>
                      <w:lang w:val="fr-BE"/>
                    </w:rPr>
                  </w:pPr>
                </w:p>
              </w:tc>
              <w:tc>
                <w:tcPr>
                  <w:tcW w:w="735" w:type="dxa"/>
                </w:tcPr>
                <w:p w14:paraId="0ED3973E" w14:textId="77777777" w:rsidR="00754BD6" w:rsidRPr="00927455" w:rsidRDefault="00754BD6" w:rsidP="007E79A6">
                  <w:pPr>
                    <w:rPr>
                      <w:lang w:val="fr-BE"/>
                    </w:rPr>
                  </w:pPr>
                </w:p>
              </w:tc>
            </w:tr>
          </w:tbl>
          <w:p w14:paraId="37FBF673" w14:textId="73093164" w:rsidR="00754BD6" w:rsidRPr="00927455" w:rsidRDefault="00754BD6" w:rsidP="007E79A6">
            <w:pPr>
              <w:rPr>
                <w:lang w:val="fr-BE"/>
              </w:rPr>
            </w:pPr>
            <w:r w:rsidRPr="00927455">
              <w:rPr>
                <w:lang w:val="fr-BE"/>
              </w:rPr>
              <w:t>» ;</w:t>
            </w:r>
          </w:p>
          <w:p w14:paraId="582A7736" w14:textId="77777777" w:rsidR="00754BD6" w:rsidRPr="00927455" w:rsidRDefault="00754BD6" w:rsidP="007E79A6">
            <w:pPr>
              <w:rPr>
                <w:lang w:val="fr-BE"/>
              </w:rPr>
            </w:pPr>
          </w:p>
        </w:tc>
      </w:tr>
      <w:tr w:rsidR="00754BD6" w:rsidRPr="00927455" w14:paraId="18CBF67B" w14:textId="77777777" w:rsidTr="001D6796">
        <w:trPr>
          <w:gridAfter w:val="2"/>
          <w:wAfter w:w="4538" w:type="dxa"/>
        </w:trPr>
        <w:tc>
          <w:tcPr>
            <w:tcW w:w="4524" w:type="dxa"/>
          </w:tcPr>
          <w:p w14:paraId="46B521CF" w14:textId="4B80FB9E" w:rsidR="00754BD6" w:rsidRPr="00927455" w:rsidRDefault="00754BD6" w:rsidP="007E79A6">
            <w:pPr>
              <w:rPr>
                <w:lang w:val="fr-BE"/>
              </w:rPr>
            </w:pPr>
            <w:r w:rsidRPr="00927455">
              <w:rPr>
                <w:lang w:val="fr-BE"/>
              </w:rPr>
              <w:t>4° dans le tableau 3, dernière ligne, la cellule contenant les mots « Aucune performance déterminée » est remplacée par les 3 cellules suivantes :</w:t>
            </w:r>
          </w:p>
          <w:p w14:paraId="2DDECD0E" w14:textId="1E405972" w:rsidR="00754BD6" w:rsidRPr="00927455" w:rsidRDefault="00754BD6" w:rsidP="007E79A6">
            <w:pPr>
              <w:rPr>
                <w:lang w:val="fr-BE"/>
              </w:rPr>
            </w:pPr>
            <w:r w:rsidRPr="00927455">
              <w:rPr>
                <w:lang w:val="fr-BE"/>
              </w:rPr>
              <w:t>«</w:t>
            </w:r>
          </w:p>
          <w:tbl>
            <w:tblPr>
              <w:tblStyle w:val="Grilledutableau"/>
              <w:tblW w:w="0" w:type="auto"/>
              <w:tblLook w:val="04A0" w:firstRow="1" w:lastRow="0" w:firstColumn="1" w:lastColumn="0" w:noHBand="0" w:noVBand="1"/>
            </w:tblPr>
            <w:tblGrid>
              <w:gridCol w:w="1862"/>
              <w:gridCol w:w="1701"/>
              <w:gridCol w:w="735"/>
            </w:tblGrid>
            <w:tr w:rsidR="00754BD6" w:rsidRPr="00927455" w14:paraId="5A5A8654" w14:textId="77777777" w:rsidTr="001D6796">
              <w:tc>
                <w:tcPr>
                  <w:tcW w:w="1862" w:type="dxa"/>
                </w:tcPr>
                <w:p w14:paraId="576D572B" w14:textId="77777777" w:rsidR="00754BD6" w:rsidRPr="00927455" w:rsidRDefault="00754BD6" w:rsidP="007E79A6">
                  <w:pPr>
                    <w:rPr>
                      <w:lang w:val="fr-BE"/>
                    </w:rPr>
                  </w:pPr>
                  <w:r w:rsidRPr="00927455">
                    <w:rPr>
                      <w:lang w:val="fr-BE"/>
                    </w:rPr>
                    <w:lastRenderedPageBreak/>
                    <w:t>NBN EN ISO 11925-2(</w:t>
                  </w:r>
                  <w:r w:rsidRPr="00927455">
                    <w:rPr>
                      <w:vertAlign w:val="superscript"/>
                      <w:lang w:val="fr-BE"/>
                    </w:rPr>
                    <w:t>8</w:t>
                  </w:r>
                  <w:r w:rsidRPr="00927455">
                    <w:rPr>
                      <w:lang w:val="fr-BE"/>
                    </w:rPr>
                    <w:t>):</w:t>
                  </w:r>
                </w:p>
                <w:p w14:paraId="18B5F898" w14:textId="77777777" w:rsidR="00754BD6" w:rsidRPr="00927455" w:rsidRDefault="00754BD6" w:rsidP="007E79A6">
                  <w:pPr>
                    <w:rPr>
                      <w:lang w:val="fr-BE"/>
                    </w:rPr>
                  </w:pPr>
                  <w:r w:rsidRPr="00927455">
                    <w:rPr>
                      <w:i/>
                      <w:lang w:val="fr-BE"/>
                    </w:rPr>
                    <w:t>Exposition</w:t>
                  </w:r>
                  <w:r w:rsidRPr="00927455">
                    <w:rPr>
                      <w:lang w:val="fr-BE"/>
                    </w:rPr>
                    <w:t xml:space="preserve"> = 15s</w:t>
                  </w:r>
                </w:p>
              </w:tc>
              <w:tc>
                <w:tcPr>
                  <w:tcW w:w="1701" w:type="dxa"/>
                </w:tcPr>
                <w:p w14:paraId="180EAF3F" w14:textId="77777777" w:rsidR="00754BD6" w:rsidRPr="00927455" w:rsidRDefault="00754BD6" w:rsidP="007E79A6">
                  <w:pPr>
                    <w:rPr>
                      <w:lang w:val="fr-BE"/>
                    </w:rPr>
                  </w:pPr>
                  <w:proofErr w:type="spellStart"/>
                  <w:r w:rsidRPr="00927455">
                    <w:rPr>
                      <w:lang w:val="fr-BE"/>
                    </w:rPr>
                    <w:t>Fs</w:t>
                  </w:r>
                  <w:proofErr w:type="spellEnd"/>
                  <w:r w:rsidRPr="00927455">
                    <w:rPr>
                      <w:lang w:val="fr-BE"/>
                    </w:rPr>
                    <w:t xml:space="preserve"> &gt; 150 mm en 20 s</w:t>
                  </w:r>
                </w:p>
                <w:p w14:paraId="0665B711" w14:textId="77777777" w:rsidR="00754BD6" w:rsidRPr="00927455" w:rsidRDefault="00754BD6" w:rsidP="007E79A6">
                  <w:pPr>
                    <w:rPr>
                      <w:lang w:val="fr-BE"/>
                    </w:rPr>
                  </w:pPr>
                </w:p>
              </w:tc>
              <w:tc>
                <w:tcPr>
                  <w:tcW w:w="735" w:type="dxa"/>
                </w:tcPr>
                <w:p w14:paraId="072CBCFA" w14:textId="77777777" w:rsidR="00754BD6" w:rsidRPr="00927455" w:rsidRDefault="00754BD6" w:rsidP="007E79A6">
                  <w:pPr>
                    <w:rPr>
                      <w:lang w:val="fr-BE"/>
                    </w:rPr>
                  </w:pPr>
                </w:p>
              </w:tc>
            </w:tr>
          </w:tbl>
          <w:p w14:paraId="5DE0379B" w14:textId="2A2FDEAB" w:rsidR="00754BD6" w:rsidRPr="00927455" w:rsidRDefault="00754BD6" w:rsidP="007E79A6">
            <w:pPr>
              <w:rPr>
                <w:lang w:val="fr-BE"/>
              </w:rPr>
            </w:pPr>
            <w:r w:rsidRPr="00927455">
              <w:rPr>
                <w:lang w:val="fr-BE"/>
              </w:rPr>
              <w:t>».</w:t>
            </w:r>
          </w:p>
          <w:p w14:paraId="7DC20F25" w14:textId="77777777" w:rsidR="00754BD6" w:rsidRPr="00927455" w:rsidRDefault="00754BD6" w:rsidP="007E79A6">
            <w:pPr>
              <w:rPr>
                <w:lang w:val="fr-BE"/>
              </w:rPr>
            </w:pPr>
          </w:p>
        </w:tc>
      </w:tr>
      <w:tr w:rsidR="00754BD6" w:rsidRPr="00754BD6" w14:paraId="541511B2" w14:textId="77777777" w:rsidTr="001D6796">
        <w:trPr>
          <w:gridAfter w:val="2"/>
          <w:wAfter w:w="4538" w:type="dxa"/>
        </w:trPr>
        <w:tc>
          <w:tcPr>
            <w:tcW w:w="4524" w:type="dxa"/>
          </w:tcPr>
          <w:p w14:paraId="4427CA81" w14:textId="77777777" w:rsidR="00754BD6" w:rsidRPr="00927455" w:rsidRDefault="00754BD6" w:rsidP="007E79A6">
            <w:pPr>
              <w:rPr>
                <w:lang w:val="fr-BE"/>
              </w:rPr>
            </w:pPr>
            <w:r w:rsidRPr="00927455">
              <w:rPr>
                <w:b/>
                <w:lang w:val="fr-BE"/>
              </w:rPr>
              <w:lastRenderedPageBreak/>
              <w:t>Art. 8.</w:t>
            </w:r>
            <w:r w:rsidRPr="00927455">
              <w:rPr>
                <w:lang w:val="fr-BE"/>
              </w:rPr>
              <w:t xml:space="preserve"> Dans le point 3.1, alinéa 1</w:t>
            </w:r>
            <w:r w:rsidRPr="00927455">
              <w:rPr>
                <w:vertAlign w:val="superscript"/>
                <w:lang w:val="fr-BE"/>
              </w:rPr>
              <w:t>er</w:t>
            </w:r>
            <w:r w:rsidRPr="00927455">
              <w:rPr>
                <w:lang w:val="fr-BE"/>
              </w:rPr>
              <w:t>, 2°, a), de l’annexe 1 du même arrêté royal, les modifications suivantes sont apportées :</w:t>
            </w:r>
          </w:p>
          <w:p w14:paraId="45908397" w14:textId="77777777" w:rsidR="00754BD6" w:rsidRPr="00927455" w:rsidRDefault="00754BD6" w:rsidP="007E79A6">
            <w:pPr>
              <w:rPr>
                <w:lang w:val="fr-BE"/>
              </w:rPr>
            </w:pPr>
          </w:p>
        </w:tc>
      </w:tr>
      <w:tr w:rsidR="00754BD6" w:rsidRPr="00754BD6" w14:paraId="7EE65F04" w14:textId="77777777" w:rsidTr="001D6796">
        <w:trPr>
          <w:gridAfter w:val="2"/>
          <w:wAfter w:w="4538" w:type="dxa"/>
        </w:trPr>
        <w:tc>
          <w:tcPr>
            <w:tcW w:w="4524" w:type="dxa"/>
          </w:tcPr>
          <w:p w14:paraId="5E1FA413" w14:textId="77777777" w:rsidR="00754BD6" w:rsidRPr="00927455" w:rsidRDefault="00754BD6" w:rsidP="007E79A6">
            <w:pPr>
              <w:rPr>
                <w:lang w:val="fr-BE"/>
              </w:rPr>
            </w:pPr>
            <w:r w:rsidRPr="00927455">
              <w:rPr>
                <w:lang w:val="fr-BE"/>
              </w:rPr>
              <w:t>1° les abréviations « NBN » sont abrogées à chaque fois ;</w:t>
            </w:r>
          </w:p>
        </w:tc>
      </w:tr>
      <w:tr w:rsidR="00754BD6" w:rsidRPr="00754BD6" w14:paraId="6FA848FE" w14:textId="77777777" w:rsidTr="001D6796">
        <w:trPr>
          <w:gridAfter w:val="2"/>
          <w:wAfter w:w="4538" w:type="dxa"/>
        </w:trPr>
        <w:tc>
          <w:tcPr>
            <w:tcW w:w="4524" w:type="dxa"/>
          </w:tcPr>
          <w:p w14:paraId="1B264EC0" w14:textId="77777777" w:rsidR="00754BD6" w:rsidRPr="00927455" w:rsidRDefault="00754BD6" w:rsidP="007E79A6">
            <w:pPr>
              <w:rPr>
                <w:lang w:val="fr-BE"/>
              </w:rPr>
            </w:pPr>
            <w:r w:rsidRPr="00927455">
              <w:rPr>
                <w:lang w:val="fr-BE"/>
              </w:rPr>
              <w:t>2° les abréviations «ISO/IEC » sont insérées entre l’abréviation « EN » et le numéro « 17000 ».</w:t>
            </w:r>
          </w:p>
          <w:p w14:paraId="27A7E927" w14:textId="77777777" w:rsidR="00754BD6" w:rsidRPr="00927455" w:rsidRDefault="00754BD6" w:rsidP="007E79A6">
            <w:pPr>
              <w:rPr>
                <w:lang w:val="fr-BE"/>
              </w:rPr>
            </w:pPr>
          </w:p>
        </w:tc>
      </w:tr>
      <w:tr w:rsidR="00754BD6" w:rsidRPr="00754BD6" w14:paraId="220F6AA2" w14:textId="77777777" w:rsidTr="00C63405">
        <w:trPr>
          <w:gridAfter w:val="2"/>
          <w:wAfter w:w="4538" w:type="dxa"/>
        </w:trPr>
        <w:tc>
          <w:tcPr>
            <w:tcW w:w="4524" w:type="dxa"/>
          </w:tcPr>
          <w:p w14:paraId="6E5AC897" w14:textId="77777777" w:rsidR="00754BD6" w:rsidRPr="00927455" w:rsidRDefault="00754BD6" w:rsidP="007E79A6">
            <w:pPr>
              <w:rPr>
                <w:lang w:val="fr-BE"/>
              </w:rPr>
            </w:pPr>
            <w:r w:rsidRPr="00927455">
              <w:rPr>
                <w:b/>
                <w:lang w:val="fr-BE"/>
              </w:rPr>
              <w:t>Art. 9.</w:t>
            </w:r>
            <w:r w:rsidRPr="00927455">
              <w:rPr>
                <w:lang w:val="fr-BE"/>
              </w:rPr>
              <w:t xml:space="preserve"> Dans le point 3.4 de l’annexe 1 du même arrêté royal, les modifications suivantes sont apportées :</w:t>
            </w:r>
          </w:p>
          <w:p w14:paraId="2BCE3D38" w14:textId="77777777" w:rsidR="00754BD6" w:rsidRPr="00927455" w:rsidRDefault="00754BD6" w:rsidP="007E79A6">
            <w:pPr>
              <w:rPr>
                <w:lang w:val="fr-BE"/>
              </w:rPr>
            </w:pPr>
          </w:p>
        </w:tc>
      </w:tr>
      <w:tr w:rsidR="00754BD6" w:rsidRPr="00754BD6" w14:paraId="48B70536" w14:textId="77777777" w:rsidTr="001D6796">
        <w:trPr>
          <w:gridAfter w:val="2"/>
          <w:wAfter w:w="4538" w:type="dxa"/>
        </w:trPr>
        <w:tc>
          <w:tcPr>
            <w:tcW w:w="4524" w:type="dxa"/>
          </w:tcPr>
          <w:p w14:paraId="608A60D8" w14:textId="77777777" w:rsidR="00754BD6" w:rsidRPr="00927455" w:rsidRDefault="00754BD6" w:rsidP="007E79A6">
            <w:pPr>
              <w:rPr>
                <w:lang w:val="fr-FR"/>
              </w:rPr>
            </w:pPr>
            <w:r w:rsidRPr="00927455">
              <w:rPr>
                <w:lang w:val="fr-BE"/>
              </w:rPr>
              <w:t>1° à l’alinéa 1</w:t>
            </w:r>
            <w:r w:rsidRPr="00927455">
              <w:rPr>
                <w:vertAlign w:val="superscript"/>
                <w:lang w:val="fr-BE"/>
              </w:rPr>
              <w:t>er</w:t>
            </w:r>
            <w:r w:rsidRPr="00927455">
              <w:rPr>
                <w:lang w:val="fr-BE"/>
              </w:rPr>
              <w:t xml:space="preserve"> les mots « des tableaux I, II, III et IV » sont abrogés ;</w:t>
            </w:r>
          </w:p>
          <w:p w14:paraId="37B2280B" w14:textId="77777777" w:rsidR="00754BD6" w:rsidRPr="00927455" w:rsidRDefault="00754BD6" w:rsidP="007E79A6">
            <w:pPr>
              <w:rPr>
                <w:lang w:val="fr-FR"/>
              </w:rPr>
            </w:pPr>
          </w:p>
        </w:tc>
      </w:tr>
      <w:tr w:rsidR="00754BD6" w:rsidRPr="00754BD6" w14:paraId="224F80ED" w14:textId="77777777" w:rsidTr="00C63405">
        <w:trPr>
          <w:gridAfter w:val="2"/>
          <w:wAfter w:w="4538" w:type="dxa"/>
        </w:trPr>
        <w:tc>
          <w:tcPr>
            <w:tcW w:w="4524" w:type="dxa"/>
          </w:tcPr>
          <w:p w14:paraId="2FAB5C7F" w14:textId="77777777" w:rsidR="00754BD6" w:rsidRPr="00927455" w:rsidRDefault="00754BD6" w:rsidP="007E79A6">
            <w:pPr>
              <w:rPr>
                <w:lang w:val="fr-BE"/>
              </w:rPr>
            </w:pPr>
            <w:r w:rsidRPr="00927455">
              <w:rPr>
                <w:lang w:val="fr-BE"/>
              </w:rPr>
              <w:t>2° l’alinéa 2 est remplacé par ce qui suit :</w:t>
            </w:r>
          </w:p>
          <w:p w14:paraId="5C0843DC" w14:textId="77777777" w:rsidR="00754BD6" w:rsidRPr="00927455" w:rsidRDefault="00754BD6" w:rsidP="007E79A6">
            <w:pPr>
              <w:rPr>
                <w:lang w:val="fr-BE"/>
              </w:rPr>
            </w:pPr>
            <w:r w:rsidRPr="00927455">
              <w:rPr>
                <w:lang w:val="fr-BE"/>
              </w:rPr>
              <w:t>« Toutefois, l’influence des couches sous-jacentes ne doit pas être évaluées si celles-ci sont protégées par un élément de construction présentant une capacité de protection contre l’incendie K ou une résistance au feu EI qui satisfait aux exigences du tableau 4 ci-dessous. La capacité de protection contre l’incendie et la résistance au feu sont déterminées selon la norme NBN EN 13501-2. » ;</w:t>
            </w:r>
          </w:p>
          <w:p w14:paraId="442032F4" w14:textId="77777777" w:rsidR="00754BD6" w:rsidRPr="00927455" w:rsidRDefault="00754BD6" w:rsidP="007E79A6">
            <w:pPr>
              <w:rPr>
                <w:lang w:val="fr-BE"/>
              </w:rPr>
            </w:pPr>
          </w:p>
        </w:tc>
      </w:tr>
      <w:tr w:rsidR="00754BD6" w:rsidRPr="00754BD6" w14:paraId="28B2B97F" w14:textId="77777777" w:rsidTr="00C63405">
        <w:trPr>
          <w:gridAfter w:val="2"/>
          <w:wAfter w:w="4538" w:type="dxa"/>
        </w:trPr>
        <w:tc>
          <w:tcPr>
            <w:tcW w:w="4524" w:type="dxa"/>
          </w:tcPr>
          <w:p w14:paraId="5B0444F3" w14:textId="6DE37091" w:rsidR="00754BD6" w:rsidRPr="00927455" w:rsidRDefault="00754BD6" w:rsidP="007E79A6">
            <w:pPr>
              <w:rPr>
                <w:lang w:val="fr-BE"/>
              </w:rPr>
            </w:pPr>
            <w:r w:rsidRPr="00927455">
              <w:rPr>
                <w:lang w:val="fr-BE"/>
              </w:rPr>
              <w:t>3° dans tableau 4, deuxième ligne, les mots « K</w:t>
            </w:r>
            <w:r w:rsidRPr="00927455">
              <w:rPr>
                <w:vertAlign w:val="subscript"/>
                <w:lang w:val="fr-BE"/>
              </w:rPr>
              <w:t>2</w:t>
            </w:r>
            <w:r w:rsidRPr="00927455">
              <w:rPr>
                <w:lang w:val="fr-BE"/>
              </w:rPr>
              <w:t xml:space="preserve"> 30 »  sont complétés par les mots « ou EI 30 » et les mots « K</w:t>
            </w:r>
            <w:r w:rsidRPr="00927455">
              <w:rPr>
                <w:vertAlign w:val="subscript"/>
                <w:lang w:val="fr-BE"/>
              </w:rPr>
              <w:t>2</w:t>
            </w:r>
            <w:r w:rsidRPr="00927455">
              <w:rPr>
                <w:lang w:val="fr-BE"/>
              </w:rPr>
              <w:t xml:space="preserve"> 10 » sont complétés par les mots « ou EI 15 ».</w:t>
            </w:r>
          </w:p>
          <w:p w14:paraId="4DD61364" w14:textId="77777777" w:rsidR="00754BD6" w:rsidRPr="00927455" w:rsidRDefault="00754BD6" w:rsidP="007E79A6">
            <w:pPr>
              <w:rPr>
                <w:lang w:val="fr-BE"/>
              </w:rPr>
            </w:pPr>
          </w:p>
        </w:tc>
      </w:tr>
      <w:tr w:rsidR="00754BD6" w:rsidRPr="00927455" w14:paraId="7379DDB3" w14:textId="77777777" w:rsidTr="00936826">
        <w:trPr>
          <w:gridAfter w:val="2"/>
          <w:wAfter w:w="4538" w:type="dxa"/>
        </w:trPr>
        <w:tc>
          <w:tcPr>
            <w:tcW w:w="4524" w:type="dxa"/>
          </w:tcPr>
          <w:p w14:paraId="4273D2B9" w14:textId="751738E2" w:rsidR="00754BD6" w:rsidRPr="00927455" w:rsidRDefault="00754BD6" w:rsidP="007E79A6">
            <w:pPr>
              <w:rPr>
                <w:lang w:val="fr-BE"/>
              </w:rPr>
            </w:pPr>
            <w:r w:rsidRPr="00927455">
              <w:rPr>
                <w:b/>
                <w:lang w:val="fr-BE"/>
              </w:rPr>
              <w:t>Art. 10.</w:t>
            </w:r>
            <w:r w:rsidRPr="00927455">
              <w:rPr>
                <w:lang w:val="fr-BE"/>
              </w:rPr>
              <w:t xml:space="preserve"> Le point 3bis.1 de l’annexe 1 du même arrêté royal est remplacé par ce qui suit :</w:t>
            </w:r>
          </w:p>
          <w:p w14:paraId="5B58A9E0" w14:textId="77777777" w:rsidR="00754BD6" w:rsidRPr="00927455" w:rsidRDefault="00754BD6" w:rsidP="00754BD6"/>
        </w:tc>
      </w:tr>
      <w:tr w:rsidR="00AB52A5" w:rsidRPr="00927455" w14:paraId="189763BD" w14:textId="77777777" w:rsidTr="00936826">
        <w:tc>
          <w:tcPr>
            <w:tcW w:w="4538" w:type="dxa"/>
            <w:gridSpan w:val="2"/>
          </w:tcPr>
          <w:p w14:paraId="40D58D60" w14:textId="77777777" w:rsidR="00AB52A5" w:rsidRPr="00927455" w:rsidRDefault="00AB52A5" w:rsidP="00936826"/>
          <w:p w14:paraId="5B9D65D4" w14:textId="77777777" w:rsidR="00AB52A5" w:rsidRPr="00927455" w:rsidRDefault="00AB52A5" w:rsidP="00936826"/>
        </w:tc>
        <w:tc>
          <w:tcPr>
            <w:tcW w:w="4524" w:type="dxa"/>
          </w:tcPr>
          <w:p w14:paraId="40585A92" w14:textId="77777777" w:rsidR="00AB52A5" w:rsidRPr="00927455" w:rsidRDefault="00AB52A5" w:rsidP="00936826"/>
        </w:tc>
      </w:tr>
    </w:tbl>
    <w:tbl>
      <w:tblPr>
        <w:tblStyle w:val="Tabelraster2"/>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853"/>
      </w:tblGrid>
      <w:tr w:rsidR="00CA332E" w:rsidRPr="00754BD6" w14:paraId="036BAFE1" w14:textId="77777777" w:rsidTr="00CA332E">
        <w:tc>
          <w:tcPr>
            <w:tcW w:w="9853" w:type="dxa"/>
            <w:tcMar>
              <w:left w:w="0" w:type="dxa"/>
            </w:tcMar>
          </w:tcPr>
          <w:p w14:paraId="02DA1531" w14:textId="77777777" w:rsidR="00CA332E" w:rsidRPr="00927455" w:rsidRDefault="00CA332E" w:rsidP="00936826">
            <w:pPr>
              <w:jc w:val="both"/>
              <w:rPr>
                <w:b/>
                <w:lang w:val="fr-BE"/>
              </w:rPr>
            </w:pPr>
            <w:r w:rsidRPr="00927455">
              <w:rPr>
                <w:b/>
                <w:lang w:val="fr-BE"/>
              </w:rPr>
              <w:t>« 3bis.1 Classification de la performance des toitures et revêtements de toitures exposées à un feu extérieur</w:t>
            </w:r>
          </w:p>
        </w:tc>
      </w:tr>
      <w:tr w:rsidR="00CA332E" w:rsidRPr="00754BD6" w14:paraId="00E25A59" w14:textId="77777777" w:rsidTr="00CA332E">
        <w:tc>
          <w:tcPr>
            <w:tcW w:w="9853" w:type="dxa"/>
            <w:tcMar>
              <w:left w:w="0" w:type="dxa"/>
            </w:tcMar>
          </w:tcPr>
          <w:p w14:paraId="5546EB42" w14:textId="77777777" w:rsidR="00CA332E" w:rsidRPr="00927455" w:rsidRDefault="00CA332E" w:rsidP="00936826">
            <w:pPr>
              <w:jc w:val="both"/>
              <w:rPr>
                <w:lang w:val="fr-BE"/>
              </w:rPr>
            </w:pPr>
            <w:r w:rsidRPr="00927455">
              <w:rPr>
                <w:lang w:val="fr-BE"/>
              </w:rPr>
              <w:t>Le système de classification de la performance des toitures et revêtements de toitures exposées à un feu extérieur (NBN EN 13501-5) est décrit ci- après :</w:t>
            </w:r>
          </w:p>
          <w:p w14:paraId="1CBC2D5E" w14:textId="77777777" w:rsidR="00CA332E" w:rsidRPr="00927455" w:rsidRDefault="00CA332E" w:rsidP="00936826">
            <w:pPr>
              <w:jc w:val="both"/>
              <w:rPr>
                <w:lang w:val="fr-BE"/>
              </w:rPr>
            </w:pPr>
          </w:p>
          <w:p w14:paraId="7A253700" w14:textId="77777777" w:rsidR="00CA332E" w:rsidRPr="00927455" w:rsidRDefault="00CA332E" w:rsidP="00936826">
            <w:pPr>
              <w:jc w:val="both"/>
              <w:rPr>
                <w:lang w:val="fr-BE"/>
              </w:rPr>
            </w:pPr>
            <w:r w:rsidRPr="00927455">
              <w:rPr>
                <w:lang w:val="fr-BE"/>
              </w:rPr>
              <w:t>SYMBOLES</w:t>
            </w:r>
          </w:p>
          <w:p w14:paraId="00BC02A0" w14:textId="77777777" w:rsidR="00CA332E" w:rsidRPr="00927455" w:rsidRDefault="00CA332E" w:rsidP="00936826">
            <w:pPr>
              <w:jc w:val="both"/>
              <w:rPr>
                <w:lang w:val="fr-BE"/>
              </w:rPr>
            </w:pPr>
          </w:p>
          <w:p w14:paraId="47BD5EE9" w14:textId="77777777" w:rsidR="00CA332E" w:rsidRPr="00927455" w:rsidRDefault="00CA332E" w:rsidP="00936826">
            <w:pPr>
              <w:jc w:val="both"/>
              <w:rPr>
                <w:lang w:val="fr-BE"/>
              </w:rPr>
            </w:pPr>
            <w:r w:rsidRPr="00927455">
              <w:rPr>
                <w:lang w:val="fr-BE"/>
              </w:rPr>
              <w:t>Les classifications suivant les quatre méthodes d'essai sont identifiées comme suit:</w:t>
            </w:r>
          </w:p>
          <w:p w14:paraId="46EEDF9F" w14:textId="77777777" w:rsidR="00CA332E" w:rsidRPr="00927455" w:rsidRDefault="00CA332E" w:rsidP="00936826">
            <w:pPr>
              <w:jc w:val="both"/>
              <w:rPr>
                <w:lang w:val="fr-BE"/>
              </w:rPr>
            </w:pPr>
          </w:p>
          <w:p w14:paraId="5505A6EF" w14:textId="77777777" w:rsidR="00CA332E" w:rsidRPr="00927455" w:rsidRDefault="00CA332E" w:rsidP="00370EB5">
            <w:pPr>
              <w:pStyle w:val="Paragraphedeliste"/>
              <w:numPr>
                <w:ilvl w:val="0"/>
                <w:numId w:val="3"/>
              </w:numPr>
              <w:jc w:val="both"/>
              <w:rPr>
                <w:lang w:val="fr-BE"/>
              </w:rPr>
            </w:pPr>
            <w:r w:rsidRPr="00927455">
              <w:rPr>
                <w:lang w:val="fr-BE"/>
              </w:rPr>
              <w:t>CEN/TS 1187:2013 essai 1: X</w:t>
            </w:r>
            <w:r w:rsidRPr="00927455">
              <w:rPr>
                <w:vertAlign w:val="subscript"/>
                <w:lang w:val="fr-BE"/>
              </w:rPr>
              <w:t>ROOF</w:t>
            </w:r>
            <w:r w:rsidRPr="00927455">
              <w:rPr>
                <w:lang w:val="fr-BE"/>
              </w:rPr>
              <w:t xml:space="preserve"> (t1), où t1 = brandon uniquement,</w:t>
            </w:r>
          </w:p>
          <w:p w14:paraId="54E2064D" w14:textId="77777777" w:rsidR="00CA332E" w:rsidRPr="00927455" w:rsidRDefault="00CA332E" w:rsidP="00936826">
            <w:pPr>
              <w:jc w:val="both"/>
              <w:rPr>
                <w:lang w:val="fr-BE"/>
              </w:rPr>
            </w:pPr>
          </w:p>
          <w:p w14:paraId="7E188BE4" w14:textId="77777777" w:rsidR="00CA332E" w:rsidRPr="00927455" w:rsidRDefault="00CA332E" w:rsidP="00370EB5">
            <w:pPr>
              <w:pStyle w:val="Paragraphedeliste"/>
              <w:numPr>
                <w:ilvl w:val="0"/>
                <w:numId w:val="3"/>
              </w:numPr>
              <w:jc w:val="both"/>
              <w:rPr>
                <w:lang w:val="fr-BE"/>
              </w:rPr>
            </w:pPr>
            <w:r w:rsidRPr="00927455">
              <w:rPr>
                <w:lang w:val="fr-BE"/>
              </w:rPr>
              <w:t>CEN/TS 1187:2013 essai 2: X</w:t>
            </w:r>
            <w:r w:rsidRPr="00927455">
              <w:rPr>
                <w:vertAlign w:val="subscript"/>
                <w:lang w:val="fr-BE"/>
              </w:rPr>
              <w:t>ROOF</w:t>
            </w:r>
            <w:r w:rsidRPr="00927455">
              <w:rPr>
                <w:lang w:val="fr-BE"/>
              </w:rPr>
              <w:t xml:space="preserve"> (t2), où t2 = brandon + vent,</w:t>
            </w:r>
          </w:p>
          <w:p w14:paraId="0EBB9474" w14:textId="77777777" w:rsidR="00CA332E" w:rsidRPr="00927455" w:rsidRDefault="00CA332E" w:rsidP="00936826">
            <w:pPr>
              <w:jc w:val="both"/>
              <w:rPr>
                <w:lang w:val="fr-BE"/>
              </w:rPr>
            </w:pPr>
          </w:p>
          <w:p w14:paraId="4D3AEBE6" w14:textId="77777777" w:rsidR="00CA332E" w:rsidRPr="00927455" w:rsidRDefault="00CA332E" w:rsidP="00370EB5">
            <w:pPr>
              <w:pStyle w:val="Paragraphedeliste"/>
              <w:numPr>
                <w:ilvl w:val="0"/>
                <w:numId w:val="3"/>
              </w:numPr>
              <w:jc w:val="both"/>
              <w:rPr>
                <w:lang w:val="fr-BE"/>
              </w:rPr>
            </w:pPr>
            <w:r w:rsidRPr="00927455">
              <w:rPr>
                <w:lang w:val="fr-BE"/>
              </w:rPr>
              <w:t>CEN/TS 1187:2013 essai 3: X</w:t>
            </w:r>
            <w:r w:rsidRPr="00927455">
              <w:rPr>
                <w:vertAlign w:val="subscript"/>
                <w:lang w:val="fr-BE"/>
              </w:rPr>
              <w:t>ROOF</w:t>
            </w:r>
            <w:r w:rsidRPr="00927455">
              <w:rPr>
                <w:lang w:val="fr-BE"/>
              </w:rPr>
              <w:t xml:space="preserve"> (t3), où t3 = brandon + vent + rayonnement,</w:t>
            </w:r>
          </w:p>
          <w:p w14:paraId="6878B483" w14:textId="77777777" w:rsidR="00CA332E" w:rsidRPr="00927455" w:rsidRDefault="00CA332E" w:rsidP="00936826">
            <w:pPr>
              <w:jc w:val="both"/>
              <w:rPr>
                <w:lang w:val="fr-BE"/>
              </w:rPr>
            </w:pPr>
          </w:p>
          <w:p w14:paraId="79B1FD3F" w14:textId="77777777" w:rsidR="00CA332E" w:rsidRPr="00927455" w:rsidRDefault="00CA332E" w:rsidP="00370EB5">
            <w:pPr>
              <w:pStyle w:val="Paragraphedeliste"/>
              <w:numPr>
                <w:ilvl w:val="0"/>
                <w:numId w:val="3"/>
              </w:numPr>
              <w:jc w:val="both"/>
              <w:rPr>
                <w:lang w:val="fr-BE"/>
              </w:rPr>
            </w:pPr>
            <w:r w:rsidRPr="00927455">
              <w:rPr>
                <w:lang w:val="fr-BE"/>
              </w:rPr>
              <w:t>CEN/TS 1187:2013 essai 4: X</w:t>
            </w:r>
            <w:r w:rsidRPr="00927455">
              <w:rPr>
                <w:vertAlign w:val="subscript"/>
                <w:lang w:val="fr-BE"/>
              </w:rPr>
              <w:t>ROOF</w:t>
            </w:r>
            <w:r w:rsidRPr="00927455">
              <w:rPr>
                <w:lang w:val="fr-BE"/>
              </w:rPr>
              <w:t xml:space="preserve"> (t4), où t4 = brandon + vent + rayonnement supplémentaire</w:t>
            </w:r>
          </w:p>
          <w:p w14:paraId="3C4D5D29" w14:textId="77777777" w:rsidR="00CA332E" w:rsidRPr="00927455" w:rsidRDefault="00CA332E" w:rsidP="00936826">
            <w:pPr>
              <w:jc w:val="both"/>
              <w:rPr>
                <w:lang w:val="fr-BE"/>
              </w:rPr>
            </w:pPr>
          </w:p>
          <w:p w14:paraId="7EFBD0B9" w14:textId="77777777" w:rsidR="00CA332E" w:rsidRPr="00927455" w:rsidRDefault="00CA332E" w:rsidP="00936826">
            <w:pPr>
              <w:ind w:left="357" w:hanging="357"/>
              <w:jc w:val="both"/>
              <w:rPr>
                <w:lang w:val="fr-BE"/>
              </w:rPr>
            </w:pPr>
            <w:r w:rsidRPr="00927455">
              <w:rPr>
                <w:lang w:val="fr-BE"/>
              </w:rPr>
              <w:t>T</w:t>
            </w:r>
            <w:r w:rsidRPr="00927455">
              <w:rPr>
                <w:vertAlign w:val="subscript"/>
                <w:lang w:val="fr-BE"/>
              </w:rPr>
              <w:t>E</w:t>
            </w:r>
            <w:r w:rsidRPr="00927455">
              <w:rPr>
                <w:lang w:val="fr-BE"/>
              </w:rPr>
              <w:t>:</w:t>
            </w:r>
            <w:r w:rsidRPr="00927455">
              <w:rPr>
                <w:lang w:val="fr-BE"/>
              </w:rPr>
              <w:tab/>
              <w:t>délai critique de propagation de l'incendie extérieur</w:t>
            </w:r>
          </w:p>
          <w:p w14:paraId="1D833974" w14:textId="77777777" w:rsidR="00CA332E" w:rsidRPr="00927455" w:rsidRDefault="00CA332E" w:rsidP="00936826">
            <w:pPr>
              <w:jc w:val="both"/>
              <w:rPr>
                <w:lang w:val="fr-BE"/>
              </w:rPr>
            </w:pPr>
          </w:p>
          <w:p w14:paraId="4E3FCE83" w14:textId="77777777" w:rsidR="00CA332E" w:rsidRPr="00927455" w:rsidRDefault="00CA332E" w:rsidP="00936826">
            <w:pPr>
              <w:ind w:left="357" w:hanging="357"/>
              <w:jc w:val="both"/>
              <w:rPr>
                <w:lang w:val="fr-BE"/>
              </w:rPr>
            </w:pPr>
            <w:r w:rsidRPr="00927455">
              <w:rPr>
                <w:lang w:val="fr-BE"/>
              </w:rPr>
              <w:t>T</w:t>
            </w:r>
            <w:r w:rsidRPr="00927455">
              <w:rPr>
                <w:vertAlign w:val="subscript"/>
                <w:lang w:val="fr-BE"/>
              </w:rPr>
              <w:t>P</w:t>
            </w:r>
            <w:r w:rsidRPr="00927455">
              <w:rPr>
                <w:lang w:val="fr-BE"/>
              </w:rPr>
              <w:t>:</w:t>
            </w:r>
            <w:r w:rsidRPr="00927455">
              <w:rPr>
                <w:lang w:val="fr-BE"/>
              </w:rPr>
              <w:tab/>
              <w:t>délai critique de pénétration du feu</w:t>
            </w:r>
          </w:p>
        </w:tc>
      </w:tr>
      <w:tr w:rsidR="00CA332E" w:rsidRPr="00927455" w14:paraId="21931EB4" w14:textId="77777777" w:rsidTr="00CA332E">
        <w:trPr>
          <w:cantSplit/>
        </w:trPr>
        <w:tc>
          <w:tcPr>
            <w:tcW w:w="9853" w:type="dxa"/>
            <w:tcMar>
              <w:left w:w="0" w:type="dxa"/>
            </w:tcMar>
          </w:tcPr>
          <w:tbl>
            <w:tblPr>
              <w:tblStyle w:val="Tabelraster2"/>
              <w:tblW w:w="8726" w:type="dxa"/>
              <w:tblLayout w:type="fixed"/>
              <w:tblCellMar>
                <w:top w:w="108" w:type="dxa"/>
                <w:bottom w:w="108" w:type="dxa"/>
              </w:tblCellMar>
              <w:tblLook w:val="04A0" w:firstRow="1" w:lastRow="0" w:firstColumn="1" w:lastColumn="0" w:noHBand="0" w:noVBand="1"/>
            </w:tblPr>
            <w:tblGrid>
              <w:gridCol w:w="573"/>
              <w:gridCol w:w="1456"/>
              <w:gridCol w:w="6697"/>
            </w:tblGrid>
            <w:tr w:rsidR="008A5C17" w:rsidRPr="00927455" w14:paraId="3319649A" w14:textId="77777777" w:rsidTr="00936826">
              <w:tc>
                <w:tcPr>
                  <w:tcW w:w="573" w:type="dxa"/>
                  <w:vMerge w:val="restart"/>
                  <w:tcBorders>
                    <w:top w:val="single" w:sz="4" w:space="0" w:color="auto"/>
                    <w:left w:val="single" w:sz="4" w:space="0" w:color="auto"/>
                  </w:tcBorders>
                  <w:textDirection w:val="tbRl"/>
                </w:tcPr>
                <w:p w14:paraId="06B0CB3F" w14:textId="77777777" w:rsidR="00CA332E" w:rsidRPr="00927455" w:rsidRDefault="00CA332E" w:rsidP="00936826">
                  <w:pPr>
                    <w:autoSpaceDE w:val="0"/>
                    <w:autoSpaceDN w:val="0"/>
                    <w:adjustRightInd w:val="0"/>
                    <w:ind w:left="113" w:right="113"/>
                    <w:rPr>
                      <w:lang w:val="fr-BE" w:eastAsia="fr-BE"/>
                    </w:rPr>
                  </w:pPr>
                  <w:r w:rsidRPr="00927455">
                    <w:rPr>
                      <w:lang w:val="fr-BE" w:eastAsia="fr-BE"/>
                    </w:rPr>
                    <w:lastRenderedPageBreak/>
                    <w:t>CEN/TS 1187:2013 essai 1</w:t>
                  </w:r>
                </w:p>
              </w:tc>
              <w:tc>
                <w:tcPr>
                  <w:tcW w:w="1456" w:type="dxa"/>
                  <w:tcBorders>
                    <w:top w:val="single" w:sz="4" w:space="0" w:color="auto"/>
                    <w:bottom w:val="single" w:sz="4" w:space="0" w:color="auto"/>
                  </w:tcBorders>
                </w:tcPr>
                <w:p w14:paraId="4771EB3B" w14:textId="77777777" w:rsidR="00CA332E" w:rsidRPr="00927455" w:rsidRDefault="00CA332E" w:rsidP="00936826">
                  <w:pPr>
                    <w:ind w:right="-108"/>
                    <w:rPr>
                      <w:lang w:val="fr-BE"/>
                    </w:rPr>
                  </w:pPr>
                  <w:r w:rsidRPr="00927455">
                    <w:rPr>
                      <w:lang w:val="fr-BE" w:eastAsia="fr-BE"/>
                    </w:rPr>
                    <w:t>Classe</w:t>
                  </w:r>
                </w:p>
              </w:tc>
              <w:tc>
                <w:tcPr>
                  <w:tcW w:w="6697" w:type="dxa"/>
                  <w:tcBorders>
                    <w:top w:val="single" w:sz="4" w:space="0" w:color="auto"/>
                    <w:bottom w:val="single" w:sz="4" w:space="0" w:color="auto"/>
                    <w:right w:val="single" w:sz="4" w:space="0" w:color="auto"/>
                  </w:tcBorders>
                </w:tcPr>
                <w:p w14:paraId="785A1660" w14:textId="77777777" w:rsidR="00CA332E" w:rsidRPr="00927455" w:rsidRDefault="00CA332E" w:rsidP="00936826">
                  <w:pPr>
                    <w:rPr>
                      <w:lang w:val="fr-BE"/>
                    </w:rPr>
                  </w:pPr>
                  <w:r w:rsidRPr="00927455">
                    <w:rPr>
                      <w:lang w:val="fr-BE" w:eastAsia="fr-BE"/>
                    </w:rPr>
                    <w:t>Critères de classification</w:t>
                  </w:r>
                </w:p>
              </w:tc>
            </w:tr>
            <w:tr w:rsidR="008A5C17" w:rsidRPr="00754BD6" w14:paraId="2DF139D9" w14:textId="77777777" w:rsidTr="00936826">
              <w:trPr>
                <w:cantSplit/>
              </w:trPr>
              <w:tc>
                <w:tcPr>
                  <w:tcW w:w="573" w:type="dxa"/>
                  <w:vMerge/>
                  <w:tcBorders>
                    <w:left w:val="single" w:sz="4" w:space="0" w:color="auto"/>
                  </w:tcBorders>
                  <w:textDirection w:val="tbRl"/>
                  <w:vAlign w:val="center"/>
                </w:tcPr>
                <w:p w14:paraId="70352802" w14:textId="77777777" w:rsidR="00CA332E" w:rsidRPr="00927455" w:rsidRDefault="00CA332E" w:rsidP="00936826">
                  <w:pPr>
                    <w:autoSpaceDE w:val="0"/>
                    <w:autoSpaceDN w:val="0"/>
                    <w:adjustRightInd w:val="0"/>
                    <w:ind w:left="113" w:right="113"/>
                    <w:rPr>
                      <w:lang w:val="fr-BE" w:eastAsia="fr-BE"/>
                    </w:rPr>
                  </w:pPr>
                </w:p>
              </w:tc>
              <w:tc>
                <w:tcPr>
                  <w:tcW w:w="1456" w:type="dxa"/>
                  <w:tcBorders>
                    <w:top w:val="single" w:sz="4" w:space="0" w:color="auto"/>
                  </w:tcBorders>
                </w:tcPr>
                <w:p w14:paraId="424CBA2E" w14:textId="77777777" w:rsidR="00CA332E" w:rsidRPr="00927455" w:rsidRDefault="00CA332E" w:rsidP="00936826">
                  <w:pPr>
                    <w:ind w:left="-2" w:hanging="106"/>
                    <w:jc w:val="center"/>
                    <w:rPr>
                      <w:lang w:val="fr-BE"/>
                    </w:rPr>
                  </w:pPr>
                  <w:r w:rsidRPr="00927455">
                    <w:rPr>
                      <w:lang w:val="fr-BE" w:eastAsia="fr-BE"/>
                    </w:rPr>
                    <w:t>B</w:t>
                  </w:r>
                  <w:r w:rsidRPr="00927455">
                    <w:rPr>
                      <w:vertAlign w:val="subscript"/>
                      <w:lang w:val="fr-BE" w:eastAsia="fr-BE"/>
                    </w:rPr>
                    <w:t xml:space="preserve">ROOF </w:t>
                  </w:r>
                  <w:r w:rsidRPr="00927455">
                    <w:rPr>
                      <w:lang w:val="fr-BE" w:eastAsia="fr-BE"/>
                    </w:rPr>
                    <w:t>(t1)</w:t>
                  </w:r>
                </w:p>
              </w:tc>
              <w:tc>
                <w:tcPr>
                  <w:tcW w:w="6697" w:type="dxa"/>
                  <w:tcBorders>
                    <w:top w:val="single" w:sz="4" w:space="0" w:color="auto"/>
                  </w:tcBorders>
                </w:tcPr>
                <w:p w14:paraId="148F4E74" w14:textId="77777777" w:rsidR="00CA332E" w:rsidRPr="00927455" w:rsidRDefault="00CA332E" w:rsidP="00936826">
                  <w:pPr>
                    <w:autoSpaceDE w:val="0"/>
                    <w:autoSpaceDN w:val="0"/>
                    <w:adjustRightInd w:val="0"/>
                    <w:rPr>
                      <w:lang w:val="fr-BE" w:eastAsia="fr-BE"/>
                    </w:rPr>
                  </w:pPr>
                  <w:r w:rsidRPr="00927455">
                    <w:rPr>
                      <w:lang w:val="fr-BE" w:eastAsia="fr-BE"/>
                    </w:rPr>
                    <w:t>L'ensemble des conditions suivantes doivent être satisfaites:</w:t>
                  </w:r>
                </w:p>
                <w:p w14:paraId="58C18684" w14:textId="77777777" w:rsidR="00CA332E" w:rsidRPr="00927455" w:rsidRDefault="00CA332E" w:rsidP="00936826">
                  <w:pPr>
                    <w:autoSpaceDE w:val="0"/>
                    <w:autoSpaceDN w:val="0"/>
                    <w:adjustRightInd w:val="0"/>
                    <w:rPr>
                      <w:lang w:val="fr-BE" w:eastAsia="fr-BE"/>
                    </w:rPr>
                  </w:pPr>
                  <w:r w:rsidRPr="00927455">
                    <w:rPr>
                      <w:lang w:val="fr-BE" w:eastAsia="fr-BE"/>
                    </w:rPr>
                    <w:t xml:space="preserve">- propagation extérieure et intérieure du feu vers le haut </w:t>
                  </w:r>
                  <w:r w:rsidRPr="00927455">
                    <w:rPr>
                      <w:rFonts w:eastAsia="EUSymbolfont-Regu"/>
                      <w:lang w:val="fr-BE" w:eastAsia="fr-BE"/>
                    </w:rPr>
                    <w:t xml:space="preserve">&lt; </w:t>
                  </w:r>
                  <w:r w:rsidRPr="00927455">
                    <w:rPr>
                      <w:lang w:val="fr-BE" w:eastAsia="fr-BE"/>
                    </w:rPr>
                    <w:t>0,700 m,</w:t>
                  </w:r>
                </w:p>
                <w:p w14:paraId="13524FA5" w14:textId="77777777" w:rsidR="00CA332E" w:rsidRPr="00927455" w:rsidRDefault="00CA332E" w:rsidP="00936826">
                  <w:pPr>
                    <w:autoSpaceDE w:val="0"/>
                    <w:autoSpaceDN w:val="0"/>
                    <w:adjustRightInd w:val="0"/>
                    <w:rPr>
                      <w:lang w:val="fr-BE" w:eastAsia="fr-BE"/>
                    </w:rPr>
                  </w:pPr>
                  <w:r w:rsidRPr="00927455">
                    <w:rPr>
                      <w:lang w:val="fr-BE" w:eastAsia="fr-BE"/>
                    </w:rPr>
                    <w:t xml:space="preserve">- propagation extérieure et intérieure du feu vers le bas </w:t>
                  </w:r>
                  <w:r w:rsidRPr="00927455">
                    <w:rPr>
                      <w:rFonts w:eastAsia="EUSymbolfont-Regu"/>
                      <w:lang w:val="fr-BE" w:eastAsia="fr-BE"/>
                    </w:rPr>
                    <w:t xml:space="preserve">&lt; </w:t>
                  </w:r>
                  <w:r w:rsidRPr="00927455">
                    <w:rPr>
                      <w:lang w:val="fr-BE" w:eastAsia="fr-BE"/>
                    </w:rPr>
                    <w:t>0,600 m,</w:t>
                  </w:r>
                </w:p>
                <w:p w14:paraId="57C630AD" w14:textId="77777777" w:rsidR="00CA332E" w:rsidRPr="00927455" w:rsidRDefault="00CA332E" w:rsidP="00936826">
                  <w:pPr>
                    <w:autoSpaceDE w:val="0"/>
                    <w:autoSpaceDN w:val="0"/>
                    <w:adjustRightInd w:val="0"/>
                    <w:rPr>
                      <w:lang w:val="fr-BE" w:eastAsia="fr-BE"/>
                    </w:rPr>
                  </w:pPr>
                  <w:r w:rsidRPr="00927455">
                    <w:rPr>
                      <w:lang w:val="fr-BE" w:eastAsia="fr-BE"/>
                    </w:rPr>
                    <w:t xml:space="preserve">- longueur maximale brûlée extérieure et intérieure </w:t>
                  </w:r>
                  <w:r w:rsidRPr="00927455">
                    <w:rPr>
                      <w:rFonts w:eastAsia="EUSymbolfont-Regu"/>
                      <w:lang w:val="fr-BE" w:eastAsia="fr-BE"/>
                    </w:rPr>
                    <w:t xml:space="preserve">&lt; </w:t>
                  </w:r>
                  <w:r w:rsidRPr="00927455">
                    <w:rPr>
                      <w:lang w:val="fr-BE" w:eastAsia="fr-BE"/>
                    </w:rPr>
                    <w:t>0,800 m,</w:t>
                  </w:r>
                </w:p>
                <w:p w14:paraId="69463E7A" w14:textId="77777777" w:rsidR="00CA332E" w:rsidRPr="00927455" w:rsidRDefault="00CA332E" w:rsidP="00936826">
                  <w:pPr>
                    <w:autoSpaceDE w:val="0"/>
                    <w:autoSpaceDN w:val="0"/>
                    <w:adjustRightInd w:val="0"/>
                    <w:rPr>
                      <w:lang w:val="fr-BE" w:eastAsia="fr-BE"/>
                    </w:rPr>
                  </w:pPr>
                  <w:r w:rsidRPr="00927455">
                    <w:rPr>
                      <w:lang w:val="fr-BE" w:eastAsia="fr-BE"/>
                    </w:rPr>
                    <w:t>- aucun matériau enflammé (gouttelettes ou débris) ne doit tomber depuis le côté exposé,</w:t>
                  </w:r>
                </w:p>
                <w:p w14:paraId="46D7C229" w14:textId="77777777" w:rsidR="00CA332E" w:rsidRPr="00927455" w:rsidRDefault="00CA332E" w:rsidP="00936826">
                  <w:pPr>
                    <w:autoSpaceDE w:val="0"/>
                    <w:autoSpaceDN w:val="0"/>
                    <w:adjustRightInd w:val="0"/>
                    <w:rPr>
                      <w:lang w:val="fr-BE" w:eastAsia="fr-BE"/>
                    </w:rPr>
                  </w:pPr>
                  <w:r w:rsidRPr="00927455">
                    <w:rPr>
                      <w:lang w:val="fr-BE" w:eastAsia="fr-BE"/>
                    </w:rPr>
                    <w:t>- aucune particule enflammée/incandescente ne doit pénétrer la structure de la toiture,</w:t>
                  </w:r>
                </w:p>
                <w:p w14:paraId="5E4071B0" w14:textId="77777777" w:rsidR="00CA332E" w:rsidRPr="00927455" w:rsidRDefault="00CA332E" w:rsidP="00936826">
                  <w:pPr>
                    <w:autoSpaceDE w:val="0"/>
                    <w:autoSpaceDN w:val="0"/>
                    <w:adjustRightInd w:val="0"/>
                    <w:rPr>
                      <w:lang w:val="fr-BE" w:eastAsia="fr-BE"/>
                    </w:rPr>
                  </w:pPr>
                  <w:r w:rsidRPr="00927455">
                    <w:rPr>
                      <w:lang w:val="fr-BE" w:eastAsia="fr-BE"/>
                    </w:rPr>
                    <w:t xml:space="preserve">- aucune brèche isolée </w:t>
                  </w:r>
                  <w:r w:rsidRPr="00927455">
                    <w:rPr>
                      <w:rFonts w:eastAsia="EUSymbolfont-Regu"/>
                      <w:lang w:val="fr-BE" w:eastAsia="fr-BE"/>
                    </w:rPr>
                    <w:t xml:space="preserve">&gt; </w:t>
                  </w:r>
                  <w:r w:rsidRPr="00927455">
                    <w:rPr>
                      <w:lang w:val="fr-BE" w:eastAsia="fr-BE"/>
                    </w:rPr>
                    <w:t>2,5 × 10</w:t>
                  </w:r>
                  <w:r w:rsidRPr="00927455">
                    <w:rPr>
                      <w:vertAlign w:val="superscript"/>
                      <w:lang w:val="fr-BE" w:eastAsia="fr-BE"/>
                    </w:rPr>
                    <w:t>–5</w:t>
                  </w:r>
                  <w:r w:rsidRPr="00927455">
                    <w:rPr>
                      <w:lang w:val="fr-BE" w:eastAsia="fr-BE"/>
                    </w:rPr>
                    <w:t xml:space="preserve"> m</w:t>
                  </w:r>
                  <w:r w:rsidRPr="00927455">
                    <w:rPr>
                      <w:vertAlign w:val="superscript"/>
                      <w:lang w:val="fr-BE" w:eastAsia="fr-BE"/>
                    </w:rPr>
                    <w:t>2</w:t>
                  </w:r>
                  <w:r w:rsidRPr="00927455">
                    <w:rPr>
                      <w:lang w:val="fr-BE" w:eastAsia="fr-BE"/>
                    </w:rPr>
                    <w:t>,</w:t>
                  </w:r>
                </w:p>
                <w:p w14:paraId="69566220" w14:textId="77777777" w:rsidR="00CA332E" w:rsidRPr="00927455" w:rsidRDefault="00CA332E" w:rsidP="00936826">
                  <w:pPr>
                    <w:autoSpaceDE w:val="0"/>
                    <w:autoSpaceDN w:val="0"/>
                    <w:adjustRightInd w:val="0"/>
                    <w:rPr>
                      <w:lang w:val="fr-BE" w:eastAsia="fr-BE"/>
                    </w:rPr>
                  </w:pPr>
                  <w:r w:rsidRPr="00927455">
                    <w:rPr>
                      <w:lang w:val="fr-BE" w:eastAsia="fr-BE"/>
                    </w:rPr>
                    <w:t xml:space="preserve">- total de toutes les brèches </w:t>
                  </w:r>
                  <w:r w:rsidRPr="00927455">
                    <w:rPr>
                      <w:rFonts w:eastAsia="EUSymbolfont-Regu"/>
                      <w:lang w:val="fr-BE" w:eastAsia="fr-BE"/>
                    </w:rPr>
                    <w:t xml:space="preserve">&lt; </w:t>
                  </w:r>
                  <w:r w:rsidRPr="00927455">
                    <w:rPr>
                      <w:lang w:val="fr-BE" w:eastAsia="fr-BE"/>
                    </w:rPr>
                    <w:t>4,5 × 10</w:t>
                  </w:r>
                  <w:r w:rsidRPr="00927455">
                    <w:rPr>
                      <w:vertAlign w:val="superscript"/>
                      <w:lang w:val="fr-BE" w:eastAsia="fr-BE"/>
                    </w:rPr>
                    <w:t>–3</w:t>
                  </w:r>
                  <w:r w:rsidRPr="00927455">
                    <w:rPr>
                      <w:lang w:val="fr-BE" w:eastAsia="fr-BE"/>
                    </w:rPr>
                    <w:t xml:space="preserve"> m</w:t>
                  </w:r>
                  <w:r w:rsidRPr="00927455">
                    <w:rPr>
                      <w:vertAlign w:val="superscript"/>
                      <w:lang w:val="fr-BE" w:eastAsia="fr-BE"/>
                    </w:rPr>
                    <w:t>2</w:t>
                  </w:r>
                  <w:r w:rsidRPr="00927455">
                    <w:rPr>
                      <w:lang w:val="fr-BE" w:eastAsia="fr-BE"/>
                    </w:rPr>
                    <w:t>,</w:t>
                  </w:r>
                </w:p>
                <w:p w14:paraId="31FF42C3" w14:textId="77777777" w:rsidR="00CA332E" w:rsidRPr="00927455" w:rsidRDefault="00CA332E" w:rsidP="00936826">
                  <w:pPr>
                    <w:autoSpaceDE w:val="0"/>
                    <w:autoSpaceDN w:val="0"/>
                    <w:adjustRightInd w:val="0"/>
                    <w:rPr>
                      <w:lang w:val="fr-BE" w:eastAsia="fr-BE"/>
                    </w:rPr>
                  </w:pPr>
                  <w:r w:rsidRPr="00927455">
                    <w:rPr>
                      <w:lang w:val="fr-BE" w:eastAsia="fr-BE"/>
                    </w:rPr>
                    <w:t>- la propagation latérale du feu n'atteint pas les bords de la zone de mesure,</w:t>
                  </w:r>
                </w:p>
                <w:p w14:paraId="28B10437" w14:textId="77777777" w:rsidR="00CA332E" w:rsidRPr="00927455" w:rsidRDefault="00CA332E" w:rsidP="00936826">
                  <w:pPr>
                    <w:autoSpaceDE w:val="0"/>
                    <w:autoSpaceDN w:val="0"/>
                    <w:adjustRightInd w:val="0"/>
                    <w:rPr>
                      <w:lang w:val="fr-BE" w:eastAsia="fr-BE"/>
                    </w:rPr>
                  </w:pPr>
                  <w:r w:rsidRPr="00927455">
                    <w:rPr>
                      <w:lang w:val="fr-BE" w:eastAsia="fr-BE"/>
                    </w:rPr>
                    <w:t>- pas de combustion interne sans flamme,</w:t>
                  </w:r>
                </w:p>
                <w:p w14:paraId="29FB6F80" w14:textId="77777777" w:rsidR="00CA332E" w:rsidRPr="00927455" w:rsidRDefault="00CA332E" w:rsidP="00936826">
                  <w:pPr>
                    <w:autoSpaceDE w:val="0"/>
                    <w:autoSpaceDN w:val="0"/>
                    <w:adjustRightInd w:val="0"/>
                    <w:rPr>
                      <w:lang w:val="fr-BE" w:eastAsia="fr-BE"/>
                    </w:rPr>
                  </w:pPr>
                  <w:r w:rsidRPr="00927455">
                    <w:rPr>
                      <w:lang w:val="fr-BE" w:eastAsia="fr-BE"/>
                    </w:rPr>
                    <w:t xml:space="preserve">- le rayon maximal de la propagation du feu sur des toitures «horizontales», externe et interne </w:t>
                  </w:r>
                  <w:r w:rsidRPr="00927455">
                    <w:rPr>
                      <w:rFonts w:eastAsia="EUSymbolfont-Regu"/>
                      <w:lang w:val="fr-BE" w:eastAsia="fr-BE"/>
                    </w:rPr>
                    <w:t xml:space="preserve">&lt; </w:t>
                  </w:r>
                  <w:r w:rsidRPr="00927455">
                    <w:rPr>
                      <w:lang w:val="fr-BE" w:eastAsia="fr-BE"/>
                    </w:rPr>
                    <w:t>0,200 m.</w:t>
                  </w:r>
                </w:p>
              </w:tc>
            </w:tr>
            <w:tr w:rsidR="008A5C17" w:rsidRPr="00927455" w14:paraId="69A7D3C8" w14:textId="77777777" w:rsidTr="00936826">
              <w:tc>
                <w:tcPr>
                  <w:tcW w:w="573" w:type="dxa"/>
                  <w:vMerge/>
                  <w:tcBorders>
                    <w:left w:val="single" w:sz="4" w:space="0" w:color="auto"/>
                  </w:tcBorders>
                </w:tcPr>
                <w:p w14:paraId="1A450417" w14:textId="77777777" w:rsidR="00CA332E" w:rsidRPr="00927455" w:rsidRDefault="00CA332E" w:rsidP="00936826">
                  <w:pPr>
                    <w:rPr>
                      <w:lang w:val="fr-BE" w:eastAsia="fr-BE"/>
                    </w:rPr>
                  </w:pPr>
                </w:p>
              </w:tc>
              <w:tc>
                <w:tcPr>
                  <w:tcW w:w="1456" w:type="dxa"/>
                </w:tcPr>
                <w:p w14:paraId="64BA9A0E" w14:textId="77777777" w:rsidR="00CA332E" w:rsidRPr="00927455" w:rsidRDefault="00CA332E" w:rsidP="00936826">
                  <w:pPr>
                    <w:ind w:left="-2" w:hanging="106"/>
                    <w:jc w:val="center"/>
                    <w:rPr>
                      <w:lang w:val="fr-BE" w:eastAsia="fr-BE"/>
                    </w:rPr>
                  </w:pPr>
                  <w:r w:rsidRPr="00927455">
                    <w:rPr>
                      <w:lang w:val="fr-BE" w:eastAsia="fr-BE"/>
                    </w:rPr>
                    <w:t>F</w:t>
                  </w:r>
                  <w:r w:rsidRPr="00927455">
                    <w:rPr>
                      <w:vertAlign w:val="subscript"/>
                      <w:lang w:val="fr-BE" w:eastAsia="fr-BE"/>
                    </w:rPr>
                    <w:t>ROOF</w:t>
                  </w:r>
                  <w:r w:rsidRPr="00927455">
                    <w:rPr>
                      <w:lang w:val="fr-BE" w:eastAsia="fr-BE"/>
                    </w:rPr>
                    <w:t xml:space="preserve"> (t1)</w:t>
                  </w:r>
                </w:p>
              </w:tc>
              <w:tc>
                <w:tcPr>
                  <w:tcW w:w="6697" w:type="dxa"/>
                </w:tcPr>
                <w:p w14:paraId="65B4F1A9" w14:textId="77777777" w:rsidR="00CA332E" w:rsidRPr="00927455" w:rsidRDefault="00CA332E" w:rsidP="00936826">
                  <w:pPr>
                    <w:autoSpaceDE w:val="0"/>
                    <w:autoSpaceDN w:val="0"/>
                    <w:adjustRightInd w:val="0"/>
                    <w:rPr>
                      <w:lang w:val="fr-BE" w:eastAsia="fr-BE"/>
                    </w:rPr>
                  </w:pPr>
                  <w:r w:rsidRPr="00927455">
                    <w:rPr>
                      <w:lang w:val="fr-BE" w:eastAsia="fr-BE"/>
                    </w:rPr>
                    <w:t>Aucune performance déterminée</w:t>
                  </w:r>
                </w:p>
              </w:tc>
            </w:tr>
          </w:tbl>
          <w:p w14:paraId="6674955E" w14:textId="77777777" w:rsidR="00CA332E" w:rsidRPr="00927455" w:rsidRDefault="00CA332E" w:rsidP="00936826">
            <w:pPr>
              <w:rPr>
                <w:lang w:val="fr-BE"/>
              </w:rPr>
            </w:pPr>
          </w:p>
        </w:tc>
      </w:tr>
      <w:tr w:rsidR="00CA332E" w:rsidRPr="00927455" w14:paraId="020EAE60" w14:textId="77777777" w:rsidTr="00CA332E">
        <w:trPr>
          <w:cantSplit/>
        </w:trPr>
        <w:tc>
          <w:tcPr>
            <w:tcW w:w="9853" w:type="dxa"/>
            <w:tcMar>
              <w:left w:w="0" w:type="dxa"/>
            </w:tcMar>
          </w:tcPr>
          <w:tbl>
            <w:tblPr>
              <w:tblStyle w:val="Tabelraster2"/>
              <w:tblW w:w="8726" w:type="dxa"/>
              <w:tblLayout w:type="fixed"/>
              <w:tblCellMar>
                <w:top w:w="108" w:type="dxa"/>
                <w:bottom w:w="108" w:type="dxa"/>
              </w:tblCellMar>
              <w:tblLook w:val="04A0" w:firstRow="1" w:lastRow="0" w:firstColumn="1" w:lastColumn="0" w:noHBand="0" w:noVBand="1"/>
            </w:tblPr>
            <w:tblGrid>
              <w:gridCol w:w="573"/>
              <w:gridCol w:w="1456"/>
              <w:gridCol w:w="6697"/>
            </w:tblGrid>
            <w:tr w:rsidR="008A5C17" w:rsidRPr="00927455" w14:paraId="4854ECC6" w14:textId="77777777" w:rsidTr="00936826">
              <w:trPr>
                <w:trHeight w:val="284"/>
              </w:trPr>
              <w:tc>
                <w:tcPr>
                  <w:tcW w:w="573" w:type="dxa"/>
                  <w:vMerge w:val="restart"/>
                  <w:tcBorders>
                    <w:top w:val="single" w:sz="4" w:space="0" w:color="auto"/>
                    <w:left w:val="single" w:sz="4" w:space="0" w:color="auto"/>
                  </w:tcBorders>
                  <w:textDirection w:val="tbRl"/>
                </w:tcPr>
                <w:p w14:paraId="240D93EB" w14:textId="77777777" w:rsidR="00CA332E" w:rsidRPr="00927455" w:rsidRDefault="00CA332E" w:rsidP="00936826">
                  <w:pPr>
                    <w:autoSpaceDE w:val="0"/>
                    <w:autoSpaceDN w:val="0"/>
                    <w:adjustRightInd w:val="0"/>
                    <w:ind w:left="113" w:right="113"/>
                    <w:rPr>
                      <w:lang w:val="fr-BE" w:eastAsia="fr-BE"/>
                    </w:rPr>
                  </w:pPr>
                  <w:r w:rsidRPr="00927455">
                    <w:rPr>
                      <w:lang w:val="fr-BE" w:eastAsia="fr-BE"/>
                    </w:rPr>
                    <w:t>CEN/TS 1187:2013 essai 2</w:t>
                  </w:r>
                </w:p>
              </w:tc>
              <w:tc>
                <w:tcPr>
                  <w:tcW w:w="1456" w:type="dxa"/>
                  <w:tcBorders>
                    <w:top w:val="single" w:sz="4" w:space="0" w:color="auto"/>
                    <w:bottom w:val="single" w:sz="4" w:space="0" w:color="auto"/>
                  </w:tcBorders>
                </w:tcPr>
                <w:p w14:paraId="37F05E83" w14:textId="77777777" w:rsidR="00CA332E" w:rsidRPr="00927455" w:rsidRDefault="00CA332E" w:rsidP="00936826">
                  <w:pPr>
                    <w:ind w:right="-108"/>
                    <w:rPr>
                      <w:lang w:val="fr-BE"/>
                    </w:rPr>
                  </w:pPr>
                  <w:r w:rsidRPr="00927455">
                    <w:rPr>
                      <w:lang w:val="fr-BE" w:eastAsia="fr-BE"/>
                    </w:rPr>
                    <w:t>Classe</w:t>
                  </w:r>
                </w:p>
              </w:tc>
              <w:tc>
                <w:tcPr>
                  <w:tcW w:w="6697" w:type="dxa"/>
                  <w:tcBorders>
                    <w:top w:val="single" w:sz="4" w:space="0" w:color="auto"/>
                    <w:bottom w:val="single" w:sz="4" w:space="0" w:color="auto"/>
                    <w:right w:val="single" w:sz="4" w:space="0" w:color="auto"/>
                  </w:tcBorders>
                </w:tcPr>
                <w:p w14:paraId="1B668DA6" w14:textId="77777777" w:rsidR="00CA332E" w:rsidRPr="00927455" w:rsidRDefault="00CA332E" w:rsidP="00936826">
                  <w:pPr>
                    <w:rPr>
                      <w:lang w:val="fr-BE"/>
                    </w:rPr>
                  </w:pPr>
                  <w:r w:rsidRPr="00927455">
                    <w:rPr>
                      <w:lang w:val="fr-BE" w:eastAsia="fr-BE"/>
                    </w:rPr>
                    <w:t>Critères de classification</w:t>
                  </w:r>
                </w:p>
              </w:tc>
            </w:tr>
            <w:tr w:rsidR="008A5C17" w:rsidRPr="00754BD6" w14:paraId="320209BB" w14:textId="77777777" w:rsidTr="00936826">
              <w:trPr>
                <w:cantSplit/>
              </w:trPr>
              <w:tc>
                <w:tcPr>
                  <w:tcW w:w="573" w:type="dxa"/>
                  <w:vMerge/>
                  <w:tcBorders>
                    <w:left w:val="single" w:sz="4" w:space="0" w:color="auto"/>
                  </w:tcBorders>
                  <w:textDirection w:val="tbRl"/>
                </w:tcPr>
                <w:p w14:paraId="7D0C4F1A" w14:textId="77777777" w:rsidR="00CA332E" w:rsidRPr="00927455" w:rsidRDefault="00CA332E" w:rsidP="00936826">
                  <w:pPr>
                    <w:autoSpaceDE w:val="0"/>
                    <w:autoSpaceDN w:val="0"/>
                    <w:adjustRightInd w:val="0"/>
                    <w:ind w:left="113" w:right="113"/>
                    <w:rPr>
                      <w:lang w:val="fr-BE" w:eastAsia="fr-BE"/>
                    </w:rPr>
                  </w:pPr>
                </w:p>
              </w:tc>
              <w:tc>
                <w:tcPr>
                  <w:tcW w:w="1456" w:type="dxa"/>
                </w:tcPr>
                <w:p w14:paraId="5C439D38" w14:textId="77777777" w:rsidR="00CA332E" w:rsidRPr="00927455" w:rsidRDefault="00CA332E" w:rsidP="00936826">
                  <w:pPr>
                    <w:ind w:left="-2" w:hanging="106"/>
                    <w:jc w:val="center"/>
                    <w:rPr>
                      <w:lang w:val="fr-BE"/>
                    </w:rPr>
                  </w:pPr>
                  <w:r w:rsidRPr="00927455">
                    <w:rPr>
                      <w:lang w:val="fr-BE" w:eastAsia="fr-BE"/>
                    </w:rPr>
                    <w:t>B</w:t>
                  </w:r>
                  <w:r w:rsidRPr="00927455">
                    <w:rPr>
                      <w:vertAlign w:val="subscript"/>
                      <w:lang w:val="fr-BE" w:eastAsia="fr-BE"/>
                    </w:rPr>
                    <w:t xml:space="preserve">ROOF </w:t>
                  </w:r>
                  <w:r w:rsidRPr="00927455">
                    <w:rPr>
                      <w:lang w:val="fr-BE" w:eastAsia="fr-BE"/>
                    </w:rPr>
                    <w:t>(t2)</w:t>
                  </w:r>
                </w:p>
              </w:tc>
              <w:tc>
                <w:tcPr>
                  <w:tcW w:w="6697" w:type="dxa"/>
                </w:tcPr>
                <w:p w14:paraId="28F34217" w14:textId="77777777" w:rsidR="00CA332E" w:rsidRPr="00927455" w:rsidRDefault="00CA332E" w:rsidP="00936826">
                  <w:pPr>
                    <w:autoSpaceDE w:val="0"/>
                    <w:autoSpaceDN w:val="0"/>
                    <w:adjustRightInd w:val="0"/>
                    <w:rPr>
                      <w:lang w:val="fr-BE"/>
                    </w:rPr>
                  </w:pPr>
                  <w:r w:rsidRPr="00927455">
                    <w:rPr>
                      <w:lang w:val="fr-BE"/>
                    </w:rPr>
                    <w:t>Pour les deux séries d'essai à des vitesses de vent de 2 m/s et 4 m/s:</w:t>
                  </w:r>
                </w:p>
                <w:p w14:paraId="173B308B" w14:textId="77777777" w:rsidR="00CA332E" w:rsidRPr="00927455" w:rsidRDefault="00CA332E" w:rsidP="00936826">
                  <w:pPr>
                    <w:autoSpaceDE w:val="0"/>
                    <w:autoSpaceDN w:val="0"/>
                    <w:adjustRightInd w:val="0"/>
                    <w:rPr>
                      <w:lang w:val="fr-BE"/>
                    </w:rPr>
                  </w:pPr>
                  <w:r w:rsidRPr="00927455">
                    <w:rPr>
                      <w:lang w:val="fr-BE"/>
                    </w:rPr>
                    <w:t>- longueur moyenne endommagée de la toiture et du substrat ≤ 0,550 m,</w:t>
                  </w:r>
                </w:p>
                <w:p w14:paraId="54C20336" w14:textId="77777777" w:rsidR="00CA332E" w:rsidRPr="00927455" w:rsidRDefault="00CA332E" w:rsidP="00936826">
                  <w:pPr>
                    <w:autoSpaceDE w:val="0"/>
                    <w:autoSpaceDN w:val="0"/>
                    <w:adjustRightInd w:val="0"/>
                    <w:rPr>
                      <w:lang w:val="fr-BE"/>
                    </w:rPr>
                  </w:pPr>
                  <w:r w:rsidRPr="00927455">
                    <w:rPr>
                      <w:lang w:val="fr-BE"/>
                    </w:rPr>
                    <w:t>- longueur endommagée maximale de la toiture et du substrat ≤ 0,800 m.</w:t>
                  </w:r>
                </w:p>
              </w:tc>
            </w:tr>
            <w:tr w:rsidR="008A5C17" w:rsidRPr="00927455" w14:paraId="7732967D" w14:textId="77777777" w:rsidTr="00936826">
              <w:tc>
                <w:tcPr>
                  <w:tcW w:w="573" w:type="dxa"/>
                  <w:vMerge/>
                  <w:tcBorders>
                    <w:left w:val="single" w:sz="4" w:space="0" w:color="auto"/>
                  </w:tcBorders>
                </w:tcPr>
                <w:p w14:paraId="133C1FFB" w14:textId="77777777" w:rsidR="00CA332E" w:rsidRPr="00927455" w:rsidRDefault="00CA332E" w:rsidP="00936826">
                  <w:pPr>
                    <w:rPr>
                      <w:lang w:val="fr-BE" w:eastAsia="fr-BE"/>
                    </w:rPr>
                  </w:pPr>
                </w:p>
              </w:tc>
              <w:tc>
                <w:tcPr>
                  <w:tcW w:w="1456" w:type="dxa"/>
                </w:tcPr>
                <w:p w14:paraId="04A399E2" w14:textId="77777777" w:rsidR="00CA332E" w:rsidRPr="00927455" w:rsidRDefault="00CA332E" w:rsidP="00936826">
                  <w:pPr>
                    <w:ind w:left="-2" w:hanging="106"/>
                    <w:jc w:val="center"/>
                    <w:rPr>
                      <w:lang w:val="fr-BE" w:eastAsia="fr-BE"/>
                    </w:rPr>
                  </w:pPr>
                  <w:r w:rsidRPr="00927455">
                    <w:rPr>
                      <w:lang w:val="fr-BE" w:eastAsia="fr-BE"/>
                    </w:rPr>
                    <w:t>F</w:t>
                  </w:r>
                  <w:r w:rsidRPr="00927455">
                    <w:rPr>
                      <w:vertAlign w:val="subscript"/>
                      <w:lang w:val="fr-BE" w:eastAsia="fr-BE"/>
                    </w:rPr>
                    <w:t>ROOF</w:t>
                  </w:r>
                  <w:r w:rsidRPr="00927455">
                    <w:rPr>
                      <w:lang w:val="fr-BE" w:eastAsia="fr-BE"/>
                    </w:rPr>
                    <w:t xml:space="preserve"> (t2)</w:t>
                  </w:r>
                </w:p>
              </w:tc>
              <w:tc>
                <w:tcPr>
                  <w:tcW w:w="6697" w:type="dxa"/>
                </w:tcPr>
                <w:p w14:paraId="13532156" w14:textId="77777777" w:rsidR="00CA332E" w:rsidRPr="00927455" w:rsidRDefault="00CA332E" w:rsidP="00936826">
                  <w:pPr>
                    <w:autoSpaceDE w:val="0"/>
                    <w:autoSpaceDN w:val="0"/>
                    <w:adjustRightInd w:val="0"/>
                    <w:rPr>
                      <w:lang w:val="fr-BE" w:eastAsia="fr-BE"/>
                    </w:rPr>
                  </w:pPr>
                  <w:r w:rsidRPr="00927455">
                    <w:rPr>
                      <w:lang w:val="fr-BE" w:eastAsia="fr-BE"/>
                    </w:rPr>
                    <w:t>Aucune performance déterminée</w:t>
                  </w:r>
                </w:p>
              </w:tc>
            </w:tr>
          </w:tbl>
          <w:p w14:paraId="6AC426BA" w14:textId="77777777" w:rsidR="00CA332E" w:rsidRPr="00927455" w:rsidRDefault="00CA332E" w:rsidP="00936826">
            <w:pPr>
              <w:rPr>
                <w:lang w:val="fr-BE"/>
              </w:rPr>
            </w:pPr>
          </w:p>
        </w:tc>
      </w:tr>
      <w:tr w:rsidR="00CA332E" w:rsidRPr="00927455" w14:paraId="72EC860C" w14:textId="77777777" w:rsidTr="00CA332E">
        <w:trPr>
          <w:cantSplit/>
        </w:trPr>
        <w:tc>
          <w:tcPr>
            <w:tcW w:w="9853" w:type="dxa"/>
            <w:tcMar>
              <w:left w:w="0" w:type="dxa"/>
            </w:tcMar>
          </w:tcPr>
          <w:tbl>
            <w:tblPr>
              <w:tblStyle w:val="Tabelraster2"/>
              <w:tblW w:w="8726" w:type="dxa"/>
              <w:tblLayout w:type="fixed"/>
              <w:tblCellMar>
                <w:top w:w="108" w:type="dxa"/>
                <w:bottom w:w="108" w:type="dxa"/>
              </w:tblCellMar>
              <w:tblLook w:val="04A0" w:firstRow="1" w:lastRow="0" w:firstColumn="1" w:lastColumn="0" w:noHBand="0" w:noVBand="1"/>
            </w:tblPr>
            <w:tblGrid>
              <w:gridCol w:w="573"/>
              <w:gridCol w:w="1456"/>
              <w:gridCol w:w="6697"/>
            </w:tblGrid>
            <w:tr w:rsidR="008A5C17" w:rsidRPr="00927455" w14:paraId="1DBFFECA" w14:textId="77777777" w:rsidTr="00936826">
              <w:tc>
                <w:tcPr>
                  <w:tcW w:w="573" w:type="dxa"/>
                  <w:vMerge w:val="restart"/>
                  <w:tcBorders>
                    <w:top w:val="single" w:sz="4" w:space="0" w:color="auto"/>
                    <w:left w:val="single" w:sz="4" w:space="0" w:color="auto"/>
                  </w:tcBorders>
                  <w:textDirection w:val="tbRl"/>
                </w:tcPr>
                <w:p w14:paraId="084455A5" w14:textId="77777777" w:rsidR="00CA332E" w:rsidRPr="00927455" w:rsidRDefault="00CA332E" w:rsidP="00936826">
                  <w:pPr>
                    <w:autoSpaceDE w:val="0"/>
                    <w:autoSpaceDN w:val="0"/>
                    <w:adjustRightInd w:val="0"/>
                    <w:ind w:left="113" w:right="113"/>
                    <w:rPr>
                      <w:lang w:val="fr-BE" w:eastAsia="fr-BE"/>
                    </w:rPr>
                  </w:pPr>
                  <w:r w:rsidRPr="00927455">
                    <w:rPr>
                      <w:lang w:val="fr-BE" w:eastAsia="fr-BE"/>
                    </w:rPr>
                    <w:lastRenderedPageBreak/>
                    <w:t>CEN/TS 1187:2013 essai 3</w:t>
                  </w:r>
                </w:p>
              </w:tc>
              <w:tc>
                <w:tcPr>
                  <w:tcW w:w="1456" w:type="dxa"/>
                  <w:tcBorders>
                    <w:top w:val="single" w:sz="4" w:space="0" w:color="auto"/>
                    <w:bottom w:val="single" w:sz="4" w:space="0" w:color="auto"/>
                  </w:tcBorders>
                </w:tcPr>
                <w:p w14:paraId="40965A55" w14:textId="77777777" w:rsidR="00CA332E" w:rsidRPr="00927455" w:rsidRDefault="00CA332E" w:rsidP="00936826">
                  <w:pPr>
                    <w:ind w:right="-108"/>
                    <w:rPr>
                      <w:lang w:val="fr-BE"/>
                    </w:rPr>
                  </w:pPr>
                  <w:r w:rsidRPr="00927455">
                    <w:rPr>
                      <w:lang w:val="fr-BE" w:eastAsia="fr-BE"/>
                    </w:rPr>
                    <w:t>Classe</w:t>
                  </w:r>
                </w:p>
              </w:tc>
              <w:tc>
                <w:tcPr>
                  <w:tcW w:w="6697" w:type="dxa"/>
                  <w:tcBorders>
                    <w:top w:val="single" w:sz="4" w:space="0" w:color="auto"/>
                    <w:bottom w:val="single" w:sz="4" w:space="0" w:color="auto"/>
                    <w:right w:val="single" w:sz="4" w:space="0" w:color="auto"/>
                  </w:tcBorders>
                </w:tcPr>
                <w:p w14:paraId="631452F9" w14:textId="77777777" w:rsidR="00CA332E" w:rsidRPr="00927455" w:rsidRDefault="00CA332E" w:rsidP="00936826">
                  <w:pPr>
                    <w:rPr>
                      <w:lang w:val="fr-BE"/>
                    </w:rPr>
                  </w:pPr>
                  <w:r w:rsidRPr="00927455">
                    <w:rPr>
                      <w:lang w:val="fr-BE" w:eastAsia="fr-BE"/>
                    </w:rPr>
                    <w:t>Critères de classification</w:t>
                  </w:r>
                </w:p>
              </w:tc>
            </w:tr>
            <w:tr w:rsidR="008A5C17" w:rsidRPr="00927455" w14:paraId="14CB1C68" w14:textId="77777777" w:rsidTr="00936826">
              <w:trPr>
                <w:cantSplit/>
              </w:trPr>
              <w:tc>
                <w:tcPr>
                  <w:tcW w:w="573" w:type="dxa"/>
                  <w:vMerge/>
                  <w:tcBorders>
                    <w:left w:val="single" w:sz="4" w:space="0" w:color="auto"/>
                  </w:tcBorders>
                  <w:textDirection w:val="tbRl"/>
                </w:tcPr>
                <w:p w14:paraId="699E472C" w14:textId="77777777" w:rsidR="00CA332E" w:rsidRPr="00927455" w:rsidRDefault="00CA332E" w:rsidP="00936826">
                  <w:pPr>
                    <w:autoSpaceDE w:val="0"/>
                    <w:autoSpaceDN w:val="0"/>
                    <w:adjustRightInd w:val="0"/>
                    <w:ind w:left="113" w:right="113"/>
                    <w:rPr>
                      <w:lang w:val="fr-BE" w:eastAsia="fr-BE"/>
                    </w:rPr>
                  </w:pPr>
                </w:p>
              </w:tc>
              <w:tc>
                <w:tcPr>
                  <w:tcW w:w="1456" w:type="dxa"/>
                </w:tcPr>
                <w:p w14:paraId="781D613C" w14:textId="77777777" w:rsidR="00CA332E" w:rsidRPr="00927455" w:rsidRDefault="00CA332E" w:rsidP="00936826">
                  <w:pPr>
                    <w:ind w:left="-2" w:hanging="106"/>
                    <w:jc w:val="center"/>
                    <w:rPr>
                      <w:lang w:val="fr-BE"/>
                    </w:rPr>
                  </w:pPr>
                  <w:r w:rsidRPr="00927455">
                    <w:rPr>
                      <w:lang w:val="fr-BE" w:eastAsia="fr-BE"/>
                    </w:rPr>
                    <w:t>B</w:t>
                  </w:r>
                  <w:r w:rsidRPr="00927455">
                    <w:rPr>
                      <w:vertAlign w:val="subscript"/>
                      <w:lang w:val="fr-BE" w:eastAsia="fr-BE"/>
                    </w:rPr>
                    <w:t xml:space="preserve">ROOF </w:t>
                  </w:r>
                  <w:r w:rsidRPr="00927455">
                    <w:rPr>
                      <w:lang w:val="fr-BE" w:eastAsia="fr-BE"/>
                    </w:rPr>
                    <w:t>(t3)</w:t>
                  </w:r>
                </w:p>
              </w:tc>
              <w:tc>
                <w:tcPr>
                  <w:tcW w:w="6697" w:type="dxa"/>
                  <w:vAlign w:val="center"/>
                </w:tcPr>
                <w:p w14:paraId="1A283D79" w14:textId="77777777" w:rsidR="00CA332E" w:rsidRPr="00927455" w:rsidRDefault="00CA332E" w:rsidP="00936826">
                  <w:pPr>
                    <w:autoSpaceDE w:val="0"/>
                    <w:autoSpaceDN w:val="0"/>
                    <w:adjustRightInd w:val="0"/>
                    <w:rPr>
                      <w:lang w:val="fr-BE"/>
                    </w:rPr>
                  </w:pPr>
                  <w:r w:rsidRPr="00927455">
                    <w:rPr>
                      <w:lang w:val="fr-BE"/>
                    </w:rPr>
                    <w:t>T</w:t>
                  </w:r>
                  <w:r w:rsidRPr="00927455">
                    <w:rPr>
                      <w:vertAlign w:val="subscript"/>
                      <w:lang w:val="fr-BE"/>
                    </w:rPr>
                    <w:t xml:space="preserve">E </w:t>
                  </w:r>
                  <w:r w:rsidRPr="00927455">
                    <w:rPr>
                      <w:lang w:val="fr-BE"/>
                    </w:rPr>
                    <w:t>≥ 30 min et T</w:t>
                  </w:r>
                  <w:r w:rsidRPr="00927455">
                    <w:rPr>
                      <w:vertAlign w:val="subscript"/>
                      <w:lang w:val="fr-BE"/>
                    </w:rPr>
                    <w:t>P</w:t>
                  </w:r>
                  <w:r w:rsidRPr="00927455">
                    <w:rPr>
                      <w:lang w:val="fr-BE"/>
                    </w:rPr>
                    <w:t xml:space="preserve"> ≥ 30 min</w:t>
                  </w:r>
                </w:p>
              </w:tc>
            </w:tr>
            <w:tr w:rsidR="008A5C17" w:rsidRPr="00927455" w14:paraId="0F1D33EC" w14:textId="77777777" w:rsidTr="00936826">
              <w:tc>
                <w:tcPr>
                  <w:tcW w:w="573" w:type="dxa"/>
                  <w:vMerge/>
                  <w:tcBorders>
                    <w:left w:val="single" w:sz="4" w:space="0" w:color="auto"/>
                  </w:tcBorders>
                </w:tcPr>
                <w:p w14:paraId="4F0D8644" w14:textId="77777777" w:rsidR="00CA332E" w:rsidRPr="00927455" w:rsidRDefault="00CA332E" w:rsidP="00936826">
                  <w:pPr>
                    <w:rPr>
                      <w:lang w:val="fr-BE" w:eastAsia="fr-BE"/>
                    </w:rPr>
                  </w:pPr>
                </w:p>
              </w:tc>
              <w:tc>
                <w:tcPr>
                  <w:tcW w:w="1456" w:type="dxa"/>
                </w:tcPr>
                <w:p w14:paraId="54E4B94A" w14:textId="77777777" w:rsidR="00CA332E" w:rsidRPr="00927455" w:rsidRDefault="00CA332E" w:rsidP="00936826">
                  <w:pPr>
                    <w:ind w:left="-2" w:hanging="106"/>
                    <w:jc w:val="center"/>
                    <w:rPr>
                      <w:lang w:val="fr-BE" w:eastAsia="fr-BE"/>
                    </w:rPr>
                  </w:pPr>
                  <w:r w:rsidRPr="00927455">
                    <w:rPr>
                      <w:lang w:val="fr-BE" w:eastAsia="fr-BE"/>
                    </w:rPr>
                    <w:t>C</w:t>
                  </w:r>
                  <w:r w:rsidRPr="00927455">
                    <w:rPr>
                      <w:vertAlign w:val="subscript"/>
                      <w:lang w:val="fr-BE" w:eastAsia="fr-BE"/>
                    </w:rPr>
                    <w:t>ROOF</w:t>
                  </w:r>
                  <w:r w:rsidRPr="00927455">
                    <w:rPr>
                      <w:lang w:val="fr-BE" w:eastAsia="fr-BE"/>
                    </w:rPr>
                    <w:t xml:space="preserve"> (t3)</w:t>
                  </w:r>
                </w:p>
              </w:tc>
              <w:tc>
                <w:tcPr>
                  <w:tcW w:w="6697" w:type="dxa"/>
                  <w:vAlign w:val="center"/>
                </w:tcPr>
                <w:p w14:paraId="65A53CDF" w14:textId="77777777" w:rsidR="00CA332E" w:rsidRPr="00927455" w:rsidRDefault="00CA332E" w:rsidP="00936826">
                  <w:pPr>
                    <w:autoSpaceDE w:val="0"/>
                    <w:autoSpaceDN w:val="0"/>
                    <w:adjustRightInd w:val="0"/>
                    <w:rPr>
                      <w:lang w:val="fr-BE" w:eastAsia="fr-BE"/>
                    </w:rPr>
                  </w:pPr>
                  <w:r w:rsidRPr="00927455">
                    <w:rPr>
                      <w:lang w:val="fr-BE" w:eastAsia="fr-BE"/>
                    </w:rPr>
                    <w:t>T</w:t>
                  </w:r>
                  <w:r w:rsidRPr="00927455">
                    <w:rPr>
                      <w:vertAlign w:val="subscript"/>
                      <w:lang w:val="fr-BE" w:eastAsia="fr-BE"/>
                    </w:rPr>
                    <w:t xml:space="preserve">E </w:t>
                  </w:r>
                  <w:r w:rsidRPr="00927455">
                    <w:rPr>
                      <w:lang w:val="fr-BE" w:eastAsia="fr-BE"/>
                    </w:rPr>
                    <w:t>≥ 10 min et T</w:t>
                  </w:r>
                  <w:r w:rsidRPr="00927455">
                    <w:rPr>
                      <w:vertAlign w:val="subscript"/>
                      <w:lang w:val="fr-BE" w:eastAsia="fr-BE"/>
                    </w:rPr>
                    <w:t>P</w:t>
                  </w:r>
                  <w:r w:rsidRPr="00927455">
                    <w:rPr>
                      <w:lang w:val="fr-BE" w:eastAsia="fr-BE"/>
                    </w:rPr>
                    <w:t xml:space="preserve"> ≥ 15 min</w:t>
                  </w:r>
                </w:p>
              </w:tc>
            </w:tr>
            <w:tr w:rsidR="008A5C17" w:rsidRPr="00927455" w14:paraId="3F235F3C" w14:textId="77777777" w:rsidTr="00936826">
              <w:tc>
                <w:tcPr>
                  <w:tcW w:w="573" w:type="dxa"/>
                  <w:vMerge/>
                  <w:tcBorders>
                    <w:left w:val="single" w:sz="4" w:space="0" w:color="auto"/>
                  </w:tcBorders>
                </w:tcPr>
                <w:p w14:paraId="6E5D9057" w14:textId="77777777" w:rsidR="00CA332E" w:rsidRPr="00927455" w:rsidRDefault="00CA332E" w:rsidP="00936826">
                  <w:pPr>
                    <w:rPr>
                      <w:lang w:val="fr-BE" w:eastAsia="fr-BE"/>
                    </w:rPr>
                  </w:pPr>
                </w:p>
              </w:tc>
              <w:tc>
                <w:tcPr>
                  <w:tcW w:w="1456" w:type="dxa"/>
                </w:tcPr>
                <w:p w14:paraId="16774EDF" w14:textId="77777777" w:rsidR="00CA332E" w:rsidRPr="00927455" w:rsidRDefault="00CA332E" w:rsidP="00936826">
                  <w:pPr>
                    <w:ind w:left="-2" w:hanging="106"/>
                    <w:jc w:val="center"/>
                    <w:rPr>
                      <w:lang w:val="fr-BE"/>
                    </w:rPr>
                  </w:pPr>
                  <w:r w:rsidRPr="00927455">
                    <w:rPr>
                      <w:lang w:val="fr-BE" w:eastAsia="fr-BE"/>
                    </w:rPr>
                    <w:t>D</w:t>
                  </w:r>
                  <w:r w:rsidRPr="00927455">
                    <w:rPr>
                      <w:vertAlign w:val="subscript"/>
                      <w:lang w:val="fr-BE" w:eastAsia="fr-BE"/>
                    </w:rPr>
                    <w:t xml:space="preserve">ROOF </w:t>
                  </w:r>
                  <w:r w:rsidRPr="00927455">
                    <w:rPr>
                      <w:lang w:val="fr-BE" w:eastAsia="fr-BE"/>
                    </w:rPr>
                    <w:t>(t3)</w:t>
                  </w:r>
                </w:p>
              </w:tc>
              <w:tc>
                <w:tcPr>
                  <w:tcW w:w="6697" w:type="dxa"/>
                  <w:vAlign w:val="center"/>
                </w:tcPr>
                <w:p w14:paraId="7A197ED3" w14:textId="77777777" w:rsidR="00CA332E" w:rsidRPr="00927455" w:rsidRDefault="00CA332E" w:rsidP="00936826">
                  <w:pPr>
                    <w:autoSpaceDE w:val="0"/>
                    <w:autoSpaceDN w:val="0"/>
                    <w:adjustRightInd w:val="0"/>
                    <w:rPr>
                      <w:lang w:val="fr-BE" w:eastAsia="fr-BE"/>
                    </w:rPr>
                  </w:pPr>
                  <w:r w:rsidRPr="00927455">
                    <w:rPr>
                      <w:lang w:val="fr-BE" w:eastAsia="fr-BE"/>
                    </w:rPr>
                    <w:t>T</w:t>
                  </w:r>
                  <w:r w:rsidRPr="00927455">
                    <w:rPr>
                      <w:vertAlign w:val="subscript"/>
                      <w:lang w:val="fr-BE" w:eastAsia="fr-BE"/>
                    </w:rPr>
                    <w:t>P</w:t>
                  </w:r>
                  <w:r w:rsidRPr="00927455">
                    <w:rPr>
                      <w:lang w:val="fr-BE" w:eastAsia="fr-BE"/>
                    </w:rPr>
                    <w:t xml:space="preserve"> &gt; 5 min</w:t>
                  </w:r>
                </w:p>
              </w:tc>
            </w:tr>
            <w:tr w:rsidR="008A5C17" w:rsidRPr="00927455" w14:paraId="098EA9D2" w14:textId="77777777" w:rsidTr="00936826">
              <w:tc>
                <w:tcPr>
                  <w:tcW w:w="573" w:type="dxa"/>
                  <w:vMerge/>
                  <w:tcBorders>
                    <w:left w:val="single" w:sz="4" w:space="0" w:color="auto"/>
                  </w:tcBorders>
                </w:tcPr>
                <w:p w14:paraId="4B0960EE" w14:textId="77777777" w:rsidR="00CA332E" w:rsidRPr="00927455" w:rsidRDefault="00CA332E" w:rsidP="00936826">
                  <w:pPr>
                    <w:rPr>
                      <w:lang w:val="fr-BE" w:eastAsia="fr-BE"/>
                    </w:rPr>
                  </w:pPr>
                </w:p>
              </w:tc>
              <w:tc>
                <w:tcPr>
                  <w:tcW w:w="1456" w:type="dxa"/>
                </w:tcPr>
                <w:p w14:paraId="41D86606" w14:textId="77777777" w:rsidR="00CA332E" w:rsidRPr="00927455" w:rsidRDefault="00CA332E" w:rsidP="00936826">
                  <w:pPr>
                    <w:ind w:left="-2" w:hanging="106"/>
                    <w:jc w:val="center"/>
                    <w:rPr>
                      <w:lang w:val="fr-BE" w:eastAsia="fr-BE"/>
                    </w:rPr>
                  </w:pPr>
                  <w:r w:rsidRPr="00927455">
                    <w:rPr>
                      <w:lang w:val="fr-BE" w:eastAsia="fr-BE"/>
                    </w:rPr>
                    <w:t>F</w:t>
                  </w:r>
                  <w:r w:rsidRPr="00927455">
                    <w:rPr>
                      <w:vertAlign w:val="subscript"/>
                      <w:lang w:val="fr-BE" w:eastAsia="fr-BE"/>
                    </w:rPr>
                    <w:t>ROOF</w:t>
                  </w:r>
                  <w:r w:rsidRPr="00927455">
                    <w:rPr>
                      <w:lang w:val="fr-BE" w:eastAsia="fr-BE"/>
                    </w:rPr>
                    <w:t xml:space="preserve"> (t3)</w:t>
                  </w:r>
                </w:p>
              </w:tc>
              <w:tc>
                <w:tcPr>
                  <w:tcW w:w="6697" w:type="dxa"/>
                  <w:vAlign w:val="center"/>
                </w:tcPr>
                <w:p w14:paraId="25CECCAC" w14:textId="77777777" w:rsidR="00CA332E" w:rsidRPr="00927455" w:rsidRDefault="00CA332E" w:rsidP="00936826">
                  <w:pPr>
                    <w:autoSpaceDE w:val="0"/>
                    <w:autoSpaceDN w:val="0"/>
                    <w:adjustRightInd w:val="0"/>
                    <w:rPr>
                      <w:lang w:val="fr-BE" w:eastAsia="fr-BE"/>
                    </w:rPr>
                  </w:pPr>
                  <w:r w:rsidRPr="00927455">
                    <w:rPr>
                      <w:lang w:val="fr-BE" w:eastAsia="fr-BE"/>
                    </w:rPr>
                    <w:t>Aucune performance déterminée</w:t>
                  </w:r>
                </w:p>
              </w:tc>
            </w:tr>
          </w:tbl>
          <w:p w14:paraId="41158DC5" w14:textId="77777777" w:rsidR="00CA332E" w:rsidRPr="00927455" w:rsidRDefault="00CA332E" w:rsidP="00936826">
            <w:pPr>
              <w:rPr>
                <w:lang w:val="fr-BE"/>
              </w:rPr>
            </w:pPr>
          </w:p>
        </w:tc>
      </w:tr>
      <w:tr w:rsidR="00CA332E" w:rsidRPr="00927455" w14:paraId="50A90CFA" w14:textId="77777777" w:rsidTr="00CA332E">
        <w:trPr>
          <w:cantSplit/>
        </w:trPr>
        <w:tc>
          <w:tcPr>
            <w:tcW w:w="9853" w:type="dxa"/>
            <w:tcMar>
              <w:left w:w="0" w:type="dxa"/>
            </w:tcMar>
          </w:tcPr>
          <w:tbl>
            <w:tblPr>
              <w:tblStyle w:val="Tabelraster2"/>
              <w:tblW w:w="8726" w:type="dxa"/>
              <w:tblLayout w:type="fixed"/>
              <w:tblCellMar>
                <w:top w:w="108" w:type="dxa"/>
                <w:bottom w:w="108" w:type="dxa"/>
              </w:tblCellMar>
              <w:tblLook w:val="04A0" w:firstRow="1" w:lastRow="0" w:firstColumn="1" w:lastColumn="0" w:noHBand="0" w:noVBand="1"/>
            </w:tblPr>
            <w:tblGrid>
              <w:gridCol w:w="573"/>
              <w:gridCol w:w="1456"/>
              <w:gridCol w:w="6697"/>
            </w:tblGrid>
            <w:tr w:rsidR="008A5C17" w:rsidRPr="00927455" w14:paraId="3C29C009" w14:textId="77777777" w:rsidTr="00936826">
              <w:tc>
                <w:tcPr>
                  <w:tcW w:w="573" w:type="dxa"/>
                  <w:vMerge w:val="restart"/>
                  <w:tcBorders>
                    <w:top w:val="single" w:sz="4" w:space="0" w:color="auto"/>
                    <w:left w:val="single" w:sz="4" w:space="0" w:color="auto"/>
                  </w:tcBorders>
                  <w:textDirection w:val="tbRl"/>
                  <w:vAlign w:val="center"/>
                </w:tcPr>
                <w:p w14:paraId="76DF5F23" w14:textId="77777777" w:rsidR="00CA332E" w:rsidRPr="00927455" w:rsidRDefault="00CA332E" w:rsidP="00936826">
                  <w:pPr>
                    <w:autoSpaceDE w:val="0"/>
                    <w:autoSpaceDN w:val="0"/>
                    <w:adjustRightInd w:val="0"/>
                    <w:ind w:left="113" w:right="113"/>
                    <w:rPr>
                      <w:lang w:val="fr-BE" w:eastAsia="fr-BE"/>
                    </w:rPr>
                  </w:pPr>
                  <w:r w:rsidRPr="00927455">
                    <w:rPr>
                      <w:lang w:val="fr-BE" w:eastAsia="fr-BE"/>
                    </w:rPr>
                    <w:t>CEN/TS 1187:2013 essai 4</w:t>
                  </w:r>
                </w:p>
              </w:tc>
              <w:tc>
                <w:tcPr>
                  <w:tcW w:w="1456" w:type="dxa"/>
                  <w:tcBorders>
                    <w:top w:val="single" w:sz="4" w:space="0" w:color="auto"/>
                    <w:bottom w:val="single" w:sz="4" w:space="0" w:color="auto"/>
                  </w:tcBorders>
                </w:tcPr>
                <w:p w14:paraId="7251A764" w14:textId="77777777" w:rsidR="00CA332E" w:rsidRPr="00927455" w:rsidRDefault="00CA332E" w:rsidP="00936826">
                  <w:pPr>
                    <w:ind w:right="-108"/>
                    <w:rPr>
                      <w:lang w:val="fr-BE"/>
                    </w:rPr>
                  </w:pPr>
                  <w:r w:rsidRPr="00927455">
                    <w:rPr>
                      <w:lang w:val="fr-BE" w:eastAsia="fr-BE"/>
                    </w:rPr>
                    <w:t>Classe</w:t>
                  </w:r>
                </w:p>
              </w:tc>
              <w:tc>
                <w:tcPr>
                  <w:tcW w:w="6697" w:type="dxa"/>
                  <w:tcBorders>
                    <w:top w:val="single" w:sz="4" w:space="0" w:color="auto"/>
                    <w:bottom w:val="single" w:sz="4" w:space="0" w:color="auto"/>
                    <w:right w:val="single" w:sz="4" w:space="0" w:color="auto"/>
                  </w:tcBorders>
                </w:tcPr>
                <w:p w14:paraId="418F93E6" w14:textId="77777777" w:rsidR="00CA332E" w:rsidRPr="00927455" w:rsidRDefault="00CA332E" w:rsidP="00936826">
                  <w:pPr>
                    <w:rPr>
                      <w:lang w:val="fr-BE"/>
                    </w:rPr>
                  </w:pPr>
                  <w:r w:rsidRPr="00927455">
                    <w:rPr>
                      <w:lang w:val="fr-BE" w:eastAsia="fr-BE"/>
                    </w:rPr>
                    <w:t>Critères de classification</w:t>
                  </w:r>
                </w:p>
              </w:tc>
            </w:tr>
            <w:tr w:rsidR="008A5C17" w:rsidRPr="00754BD6" w14:paraId="71025ED8" w14:textId="77777777" w:rsidTr="00936826">
              <w:trPr>
                <w:cantSplit/>
              </w:trPr>
              <w:tc>
                <w:tcPr>
                  <w:tcW w:w="573" w:type="dxa"/>
                  <w:vMerge/>
                  <w:tcBorders>
                    <w:left w:val="single" w:sz="4" w:space="0" w:color="auto"/>
                  </w:tcBorders>
                  <w:textDirection w:val="tbRl"/>
                </w:tcPr>
                <w:p w14:paraId="28B8FF2C" w14:textId="77777777" w:rsidR="00CA332E" w:rsidRPr="00927455" w:rsidRDefault="00CA332E" w:rsidP="00936826">
                  <w:pPr>
                    <w:autoSpaceDE w:val="0"/>
                    <w:autoSpaceDN w:val="0"/>
                    <w:adjustRightInd w:val="0"/>
                    <w:ind w:left="822" w:right="113"/>
                    <w:rPr>
                      <w:lang w:val="fr-BE" w:eastAsia="fr-BE"/>
                    </w:rPr>
                  </w:pPr>
                </w:p>
              </w:tc>
              <w:tc>
                <w:tcPr>
                  <w:tcW w:w="1456" w:type="dxa"/>
                </w:tcPr>
                <w:p w14:paraId="5C221605" w14:textId="77777777" w:rsidR="00CA332E" w:rsidRPr="00927455" w:rsidRDefault="00CA332E" w:rsidP="00936826">
                  <w:pPr>
                    <w:ind w:left="-2" w:hanging="106"/>
                    <w:jc w:val="center"/>
                    <w:rPr>
                      <w:lang w:val="fr-BE"/>
                    </w:rPr>
                  </w:pPr>
                  <w:r w:rsidRPr="00927455">
                    <w:rPr>
                      <w:lang w:val="fr-BE" w:eastAsia="fr-BE"/>
                    </w:rPr>
                    <w:t>B</w:t>
                  </w:r>
                  <w:r w:rsidRPr="00927455">
                    <w:rPr>
                      <w:vertAlign w:val="subscript"/>
                      <w:lang w:val="fr-BE" w:eastAsia="fr-BE"/>
                    </w:rPr>
                    <w:t xml:space="preserve">ROOF </w:t>
                  </w:r>
                  <w:r w:rsidRPr="00927455">
                    <w:rPr>
                      <w:lang w:val="fr-BE" w:eastAsia="fr-BE"/>
                    </w:rPr>
                    <w:t>(t4)</w:t>
                  </w:r>
                </w:p>
              </w:tc>
              <w:tc>
                <w:tcPr>
                  <w:tcW w:w="6697" w:type="dxa"/>
                  <w:vAlign w:val="center"/>
                </w:tcPr>
                <w:p w14:paraId="22B3B242" w14:textId="77777777" w:rsidR="00CA332E" w:rsidRPr="00927455" w:rsidRDefault="00CA332E" w:rsidP="00936826">
                  <w:pPr>
                    <w:tabs>
                      <w:tab w:val="left" w:pos="0"/>
                    </w:tabs>
                    <w:autoSpaceDE w:val="0"/>
                    <w:autoSpaceDN w:val="0"/>
                    <w:adjustRightInd w:val="0"/>
                    <w:rPr>
                      <w:lang w:val="fr-BE"/>
                    </w:rPr>
                  </w:pPr>
                  <w:r w:rsidRPr="00927455">
                    <w:rPr>
                      <w:lang w:val="fr-BE"/>
                    </w:rPr>
                    <w:t>L’ensemble des conditions suivantes doivent être satisfaites:</w:t>
                  </w:r>
                </w:p>
                <w:p w14:paraId="62CA4BCA" w14:textId="77777777" w:rsidR="00CA332E" w:rsidRPr="00927455" w:rsidRDefault="00CA332E" w:rsidP="00936826">
                  <w:pPr>
                    <w:tabs>
                      <w:tab w:val="left" w:pos="0"/>
                    </w:tabs>
                    <w:autoSpaceDE w:val="0"/>
                    <w:autoSpaceDN w:val="0"/>
                    <w:adjustRightInd w:val="0"/>
                    <w:rPr>
                      <w:lang w:val="fr-BE"/>
                    </w:rPr>
                  </w:pPr>
                  <w:r w:rsidRPr="00927455">
                    <w:rPr>
                      <w:lang w:val="fr-BE"/>
                    </w:rPr>
                    <w:t>- Pas de pénétration de la toiture au bout d’une heure</w:t>
                  </w:r>
                </w:p>
                <w:p w14:paraId="05CA7EF8" w14:textId="77777777" w:rsidR="00CA332E" w:rsidRPr="00927455" w:rsidRDefault="00CA332E" w:rsidP="00936826">
                  <w:pPr>
                    <w:tabs>
                      <w:tab w:val="left" w:pos="0"/>
                    </w:tabs>
                    <w:autoSpaceDE w:val="0"/>
                    <w:autoSpaceDN w:val="0"/>
                    <w:adjustRightInd w:val="0"/>
                    <w:rPr>
                      <w:lang w:val="fr-BE"/>
                    </w:rPr>
                  </w:pPr>
                  <w:r w:rsidRPr="00927455">
                    <w:rPr>
                      <w:lang w:val="fr-BE"/>
                    </w:rPr>
                    <w:t>- Dans l’essai préliminaire, et après retrait de la flamme d’essai, les spécimens brûlent pendant &lt; 5 minutes</w:t>
                  </w:r>
                </w:p>
                <w:p w14:paraId="4475A9DD" w14:textId="77777777" w:rsidR="00CA332E" w:rsidRPr="00927455" w:rsidRDefault="00CA332E" w:rsidP="00936826">
                  <w:pPr>
                    <w:tabs>
                      <w:tab w:val="left" w:pos="0"/>
                    </w:tabs>
                    <w:autoSpaceDE w:val="0"/>
                    <w:autoSpaceDN w:val="0"/>
                    <w:adjustRightInd w:val="0"/>
                    <w:rPr>
                      <w:lang w:val="fr-BE"/>
                    </w:rPr>
                  </w:pPr>
                  <w:r w:rsidRPr="00927455">
                    <w:rPr>
                      <w:lang w:val="fr-BE"/>
                    </w:rPr>
                    <w:t>- Dans l’essai préliminaire, diffusion de la flamme &lt; 0,38 m dans la région de combustion</w:t>
                  </w:r>
                </w:p>
              </w:tc>
            </w:tr>
            <w:tr w:rsidR="008A5C17" w:rsidRPr="00754BD6" w14:paraId="61BE7F33" w14:textId="77777777" w:rsidTr="00936826">
              <w:tc>
                <w:tcPr>
                  <w:tcW w:w="573" w:type="dxa"/>
                  <w:vMerge/>
                  <w:tcBorders>
                    <w:left w:val="single" w:sz="4" w:space="0" w:color="auto"/>
                  </w:tcBorders>
                </w:tcPr>
                <w:p w14:paraId="02FD8354" w14:textId="77777777" w:rsidR="00CA332E" w:rsidRPr="00927455" w:rsidRDefault="00CA332E" w:rsidP="00936826">
                  <w:pPr>
                    <w:rPr>
                      <w:lang w:val="fr-BE" w:eastAsia="fr-BE"/>
                    </w:rPr>
                  </w:pPr>
                </w:p>
              </w:tc>
              <w:tc>
                <w:tcPr>
                  <w:tcW w:w="1456" w:type="dxa"/>
                </w:tcPr>
                <w:p w14:paraId="52A3CE8F" w14:textId="77777777" w:rsidR="00CA332E" w:rsidRPr="00927455" w:rsidRDefault="00CA332E" w:rsidP="00936826">
                  <w:pPr>
                    <w:ind w:left="-2" w:hanging="106"/>
                    <w:jc w:val="center"/>
                    <w:rPr>
                      <w:lang w:val="fr-BE" w:eastAsia="fr-BE"/>
                    </w:rPr>
                  </w:pPr>
                  <w:r w:rsidRPr="00927455">
                    <w:rPr>
                      <w:lang w:val="fr-BE" w:eastAsia="fr-BE"/>
                    </w:rPr>
                    <w:t>C</w:t>
                  </w:r>
                  <w:r w:rsidRPr="00927455">
                    <w:rPr>
                      <w:vertAlign w:val="subscript"/>
                      <w:lang w:val="fr-BE" w:eastAsia="fr-BE"/>
                    </w:rPr>
                    <w:t>ROOF</w:t>
                  </w:r>
                  <w:r w:rsidRPr="00927455">
                    <w:rPr>
                      <w:lang w:val="fr-BE" w:eastAsia="fr-BE"/>
                    </w:rPr>
                    <w:t xml:space="preserve"> (t4)</w:t>
                  </w:r>
                </w:p>
              </w:tc>
              <w:tc>
                <w:tcPr>
                  <w:tcW w:w="6697" w:type="dxa"/>
                  <w:vAlign w:val="center"/>
                </w:tcPr>
                <w:p w14:paraId="713821C2" w14:textId="77777777" w:rsidR="00CA332E" w:rsidRPr="00927455" w:rsidRDefault="00CA332E" w:rsidP="00936826">
                  <w:pPr>
                    <w:tabs>
                      <w:tab w:val="left" w:pos="991"/>
                    </w:tabs>
                    <w:autoSpaceDE w:val="0"/>
                    <w:autoSpaceDN w:val="0"/>
                    <w:adjustRightInd w:val="0"/>
                    <w:rPr>
                      <w:lang w:val="fr-BE" w:eastAsia="fr-BE"/>
                    </w:rPr>
                  </w:pPr>
                  <w:r w:rsidRPr="00927455">
                    <w:rPr>
                      <w:lang w:val="fr-BE" w:eastAsia="fr-BE"/>
                    </w:rPr>
                    <w:t>L’ensemble des conditions suivantes doivent être satisfaites:</w:t>
                  </w:r>
                </w:p>
                <w:p w14:paraId="11741035" w14:textId="77777777" w:rsidR="00CA332E" w:rsidRPr="00927455" w:rsidRDefault="00CA332E" w:rsidP="00936826">
                  <w:pPr>
                    <w:tabs>
                      <w:tab w:val="left" w:pos="991"/>
                    </w:tabs>
                    <w:autoSpaceDE w:val="0"/>
                    <w:autoSpaceDN w:val="0"/>
                    <w:adjustRightInd w:val="0"/>
                    <w:rPr>
                      <w:lang w:val="fr-BE" w:eastAsia="fr-BE"/>
                    </w:rPr>
                  </w:pPr>
                  <w:r w:rsidRPr="00927455">
                    <w:rPr>
                      <w:lang w:val="fr-BE" w:eastAsia="fr-BE"/>
                    </w:rPr>
                    <w:t>- Pas de pénétration de la toiture au bout de 30 minutes</w:t>
                  </w:r>
                </w:p>
                <w:p w14:paraId="2C9E7721" w14:textId="77777777" w:rsidR="00CA332E" w:rsidRPr="00927455" w:rsidRDefault="00CA332E" w:rsidP="00936826">
                  <w:pPr>
                    <w:tabs>
                      <w:tab w:val="left" w:pos="991"/>
                    </w:tabs>
                    <w:autoSpaceDE w:val="0"/>
                    <w:autoSpaceDN w:val="0"/>
                    <w:adjustRightInd w:val="0"/>
                    <w:rPr>
                      <w:lang w:val="fr-BE" w:eastAsia="fr-BE"/>
                    </w:rPr>
                  </w:pPr>
                  <w:r w:rsidRPr="00927455">
                    <w:rPr>
                      <w:lang w:val="fr-BE" w:eastAsia="fr-BE"/>
                    </w:rPr>
                    <w:t>- Dans l’essai préliminaire, et après retrait de la flamme d’essai, les spécimens brûlent pendant &lt; 5 minutes</w:t>
                  </w:r>
                </w:p>
                <w:p w14:paraId="564CF777" w14:textId="77777777" w:rsidR="00CA332E" w:rsidRPr="00927455" w:rsidRDefault="00CA332E" w:rsidP="00936826">
                  <w:pPr>
                    <w:autoSpaceDE w:val="0"/>
                    <w:autoSpaceDN w:val="0"/>
                    <w:adjustRightInd w:val="0"/>
                    <w:rPr>
                      <w:lang w:val="fr-BE" w:eastAsia="fr-BE"/>
                    </w:rPr>
                  </w:pPr>
                  <w:r w:rsidRPr="00927455">
                    <w:rPr>
                      <w:lang w:val="fr-BE" w:eastAsia="fr-BE"/>
                    </w:rPr>
                    <w:t>- Dans l’essai préliminaire, diffusion de la flamme &lt; 0,38 m dans la région de combustion</w:t>
                  </w:r>
                </w:p>
              </w:tc>
            </w:tr>
            <w:tr w:rsidR="008A5C17" w:rsidRPr="00754BD6" w14:paraId="3B8EEB33" w14:textId="77777777" w:rsidTr="00936826">
              <w:trPr>
                <w:cantSplit/>
              </w:trPr>
              <w:tc>
                <w:tcPr>
                  <w:tcW w:w="573" w:type="dxa"/>
                  <w:vMerge/>
                  <w:tcBorders>
                    <w:left w:val="single" w:sz="4" w:space="0" w:color="auto"/>
                  </w:tcBorders>
                  <w:textDirection w:val="tbRl"/>
                </w:tcPr>
                <w:p w14:paraId="6422A1BD" w14:textId="77777777" w:rsidR="00CA332E" w:rsidRPr="00927455" w:rsidRDefault="00CA332E" w:rsidP="00936826">
                  <w:pPr>
                    <w:autoSpaceDE w:val="0"/>
                    <w:autoSpaceDN w:val="0"/>
                    <w:adjustRightInd w:val="0"/>
                    <w:ind w:left="822" w:right="113"/>
                    <w:rPr>
                      <w:lang w:val="fr-BE" w:eastAsia="fr-BE"/>
                    </w:rPr>
                  </w:pPr>
                </w:p>
              </w:tc>
              <w:tc>
                <w:tcPr>
                  <w:tcW w:w="1456" w:type="dxa"/>
                </w:tcPr>
                <w:p w14:paraId="1FA3C42D" w14:textId="77777777" w:rsidR="00CA332E" w:rsidRPr="00927455" w:rsidRDefault="00CA332E" w:rsidP="00936826">
                  <w:pPr>
                    <w:ind w:left="-2" w:hanging="106"/>
                    <w:jc w:val="center"/>
                    <w:rPr>
                      <w:lang w:val="fr-BE"/>
                    </w:rPr>
                  </w:pPr>
                  <w:r w:rsidRPr="00927455">
                    <w:rPr>
                      <w:lang w:val="fr-BE" w:eastAsia="fr-BE"/>
                    </w:rPr>
                    <w:t>D</w:t>
                  </w:r>
                  <w:r w:rsidRPr="00927455">
                    <w:rPr>
                      <w:vertAlign w:val="subscript"/>
                      <w:lang w:val="fr-BE" w:eastAsia="fr-BE"/>
                    </w:rPr>
                    <w:t xml:space="preserve">ROOF </w:t>
                  </w:r>
                  <w:r w:rsidRPr="00927455">
                    <w:rPr>
                      <w:lang w:val="fr-BE" w:eastAsia="fr-BE"/>
                    </w:rPr>
                    <w:t>(t4)</w:t>
                  </w:r>
                </w:p>
              </w:tc>
              <w:tc>
                <w:tcPr>
                  <w:tcW w:w="6697" w:type="dxa"/>
                  <w:vAlign w:val="center"/>
                </w:tcPr>
                <w:p w14:paraId="68A9B721" w14:textId="77777777" w:rsidR="00CA332E" w:rsidRPr="00927455" w:rsidRDefault="00CA332E" w:rsidP="00936826">
                  <w:pPr>
                    <w:autoSpaceDE w:val="0"/>
                    <w:autoSpaceDN w:val="0"/>
                    <w:adjustRightInd w:val="0"/>
                    <w:rPr>
                      <w:lang w:val="fr-BE"/>
                    </w:rPr>
                  </w:pPr>
                  <w:r w:rsidRPr="00927455">
                    <w:rPr>
                      <w:lang w:val="fr-BE"/>
                    </w:rPr>
                    <w:t>L’ensemble des conditions suivantes doivent être satisfaites:</w:t>
                  </w:r>
                </w:p>
                <w:p w14:paraId="51E36373" w14:textId="77777777" w:rsidR="00CA332E" w:rsidRPr="00927455" w:rsidRDefault="00CA332E" w:rsidP="00936826">
                  <w:pPr>
                    <w:autoSpaceDE w:val="0"/>
                    <w:autoSpaceDN w:val="0"/>
                    <w:adjustRightInd w:val="0"/>
                    <w:rPr>
                      <w:lang w:val="fr-BE"/>
                    </w:rPr>
                  </w:pPr>
                  <w:r w:rsidRPr="00927455">
                    <w:rPr>
                      <w:lang w:val="fr-BE"/>
                    </w:rPr>
                    <w:t>- La toiture est pénétrée dans un délai de 30 minutes mais n’est pas pénétrée dans l’essai de flamme préliminaire</w:t>
                  </w:r>
                </w:p>
                <w:p w14:paraId="1B6B134A" w14:textId="77777777" w:rsidR="00CA332E" w:rsidRPr="00927455" w:rsidRDefault="00CA332E" w:rsidP="00936826">
                  <w:pPr>
                    <w:autoSpaceDE w:val="0"/>
                    <w:autoSpaceDN w:val="0"/>
                    <w:adjustRightInd w:val="0"/>
                    <w:rPr>
                      <w:lang w:val="fr-BE"/>
                    </w:rPr>
                  </w:pPr>
                  <w:r w:rsidRPr="00927455">
                    <w:rPr>
                      <w:lang w:val="fr-BE"/>
                    </w:rPr>
                    <w:t>- Dans l’essai préliminaire, et après retrait de la flamme d’essai, les spécimens brûlent pendant &lt; 5 minutes</w:t>
                  </w:r>
                </w:p>
                <w:p w14:paraId="75CFAF8F" w14:textId="77777777" w:rsidR="00CA332E" w:rsidRPr="00927455" w:rsidRDefault="00CA332E" w:rsidP="00936826">
                  <w:pPr>
                    <w:autoSpaceDE w:val="0"/>
                    <w:autoSpaceDN w:val="0"/>
                    <w:adjustRightInd w:val="0"/>
                    <w:rPr>
                      <w:lang w:val="fr-BE"/>
                    </w:rPr>
                  </w:pPr>
                  <w:r w:rsidRPr="00927455">
                    <w:rPr>
                      <w:lang w:val="fr-BE"/>
                    </w:rPr>
                    <w:t>- Dans l’essai préliminaire, diffusion de la flamme &lt; 0,38 m dans la région de combustion</w:t>
                  </w:r>
                </w:p>
              </w:tc>
            </w:tr>
            <w:tr w:rsidR="008A5C17" w:rsidRPr="00754BD6" w14:paraId="13A20E05" w14:textId="77777777" w:rsidTr="00936826">
              <w:tc>
                <w:tcPr>
                  <w:tcW w:w="573" w:type="dxa"/>
                  <w:vMerge/>
                  <w:tcBorders>
                    <w:left w:val="single" w:sz="4" w:space="0" w:color="auto"/>
                  </w:tcBorders>
                </w:tcPr>
                <w:p w14:paraId="74E1CCE1" w14:textId="77777777" w:rsidR="00CA332E" w:rsidRPr="00927455" w:rsidRDefault="00CA332E" w:rsidP="00936826">
                  <w:pPr>
                    <w:rPr>
                      <w:lang w:val="fr-BE" w:eastAsia="fr-BE"/>
                    </w:rPr>
                  </w:pPr>
                </w:p>
              </w:tc>
              <w:tc>
                <w:tcPr>
                  <w:tcW w:w="1456" w:type="dxa"/>
                </w:tcPr>
                <w:p w14:paraId="157DCD46" w14:textId="77777777" w:rsidR="00CA332E" w:rsidRPr="00927455" w:rsidRDefault="00CA332E" w:rsidP="00936826">
                  <w:pPr>
                    <w:ind w:left="-2" w:hanging="106"/>
                    <w:jc w:val="center"/>
                    <w:rPr>
                      <w:lang w:val="fr-BE" w:eastAsia="fr-BE"/>
                    </w:rPr>
                  </w:pPr>
                  <w:r w:rsidRPr="00927455">
                    <w:rPr>
                      <w:lang w:val="fr-BE" w:eastAsia="fr-BE"/>
                    </w:rPr>
                    <w:t>E</w:t>
                  </w:r>
                  <w:r w:rsidRPr="00927455">
                    <w:rPr>
                      <w:vertAlign w:val="subscript"/>
                      <w:lang w:val="fr-BE" w:eastAsia="fr-BE"/>
                    </w:rPr>
                    <w:t>ROOF</w:t>
                  </w:r>
                  <w:r w:rsidRPr="00927455">
                    <w:rPr>
                      <w:lang w:val="fr-BE" w:eastAsia="fr-BE"/>
                    </w:rPr>
                    <w:t xml:space="preserve"> (t4)</w:t>
                  </w:r>
                </w:p>
              </w:tc>
              <w:tc>
                <w:tcPr>
                  <w:tcW w:w="6697" w:type="dxa"/>
                  <w:vAlign w:val="center"/>
                </w:tcPr>
                <w:p w14:paraId="1638C1E3" w14:textId="77777777" w:rsidR="00CA332E" w:rsidRPr="00927455" w:rsidRDefault="00CA332E" w:rsidP="00936826">
                  <w:pPr>
                    <w:autoSpaceDE w:val="0"/>
                    <w:autoSpaceDN w:val="0"/>
                    <w:adjustRightInd w:val="0"/>
                    <w:rPr>
                      <w:lang w:val="fr-BE" w:eastAsia="fr-BE"/>
                    </w:rPr>
                  </w:pPr>
                  <w:r w:rsidRPr="00927455">
                    <w:rPr>
                      <w:lang w:val="fr-BE" w:eastAsia="fr-BE"/>
                    </w:rPr>
                    <w:t>L’ensemble des conditions suivantes doivent être satisfaites:</w:t>
                  </w:r>
                </w:p>
                <w:p w14:paraId="1A72D192" w14:textId="77777777" w:rsidR="00CA332E" w:rsidRPr="00927455" w:rsidRDefault="00CA332E" w:rsidP="00936826">
                  <w:pPr>
                    <w:autoSpaceDE w:val="0"/>
                    <w:autoSpaceDN w:val="0"/>
                    <w:adjustRightInd w:val="0"/>
                    <w:rPr>
                      <w:lang w:val="fr-BE" w:eastAsia="fr-BE"/>
                    </w:rPr>
                  </w:pPr>
                  <w:r w:rsidRPr="00927455">
                    <w:rPr>
                      <w:lang w:val="fr-BE" w:eastAsia="fr-BE"/>
                    </w:rPr>
                    <w:t>- La toiture est pénétrée dans un délai de 30 minutes mais n’est pas pénétrée dans l’essai de flamme préliminaire</w:t>
                  </w:r>
                </w:p>
                <w:p w14:paraId="41DE990B" w14:textId="77777777" w:rsidR="00CA332E" w:rsidRPr="00927455" w:rsidRDefault="00CA332E" w:rsidP="00936826">
                  <w:pPr>
                    <w:autoSpaceDE w:val="0"/>
                    <w:autoSpaceDN w:val="0"/>
                    <w:adjustRightInd w:val="0"/>
                    <w:rPr>
                      <w:lang w:val="fr-BE" w:eastAsia="fr-BE"/>
                    </w:rPr>
                  </w:pPr>
                  <w:r w:rsidRPr="00927455">
                    <w:rPr>
                      <w:lang w:val="fr-BE" w:eastAsia="fr-BE"/>
                    </w:rPr>
                    <w:t>- La diffusion de flamme n’est pas maîtrisée</w:t>
                  </w:r>
                </w:p>
              </w:tc>
            </w:tr>
            <w:tr w:rsidR="008A5C17" w:rsidRPr="00927455" w14:paraId="189CDCE8" w14:textId="77777777" w:rsidTr="00936826">
              <w:tc>
                <w:tcPr>
                  <w:tcW w:w="573" w:type="dxa"/>
                  <w:vMerge/>
                  <w:tcBorders>
                    <w:left w:val="single" w:sz="4" w:space="0" w:color="auto"/>
                  </w:tcBorders>
                </w:tcPr>
                <w:p w14:paraId="4B00932F" w14:textId="77777777" w:rsidR="00CA332E" w:rsidRPr="00927455" w:rsidRDefault="00CA332E" w:rsidP="00936826">
                  <w:pPr>
                    <w:rPr>
                      <w:lang w:val="fr-BE" w:eastAsia="fr-BE"/>
                    </w:rPr>
                  </w:pPr>
                </w:p>
              </w:tc>
              <w:tc>
                <w:tcPr>
                  <w:tcW w:w="1456" w:type="dxa"/>
                </w:tcPr>
                <w:p w14:paraId="701B42D8" w14:textId="77777777" w:rsidR="00CA332E" w:rsidRPr="00927455" w:rsidRDefault="00CA332E" w:rsidP="00936826">
                  <w:pPr>
                    <w:ind w:left="-2" w:hanging="106"/>
                    <w:jc w:val="center"/>
                    <w:rPr>
                      <w:lang w:val="fr-BE" w:eastAsia="fr-BE"/>
                    </w:rPr>
                  </w:pPr>
                  <w:r w:rsidRPr="00927455">
                    <w:rPr>
                      <w:lang w:val="fr-BE" w:eastAsia="fr-BE"/>
                    </w:rPr>
                    <w:t>F</w:t>
                  </w:r>
                  <w:r w:rsidRPr="00927455">
                    <w:rPr>
                      <w:vertAlign w:val="subscript"/>
                      <w:lang w:val="fr-BE" w:eastAsia="fr-BE"/>
                    </w:rPr>
                    <w:t>ROOF</w:t>
                  </w:r>
                  <w:r w:rsidRPr="00927455">
                    <w:rPr>
                      <w:lang w:val="fr-BE" w:eastAsia="fr-BE"/>
                    </w:rPr>
                    <w:t xml:space="preserve"> (t4)</w:t>
                  </w:r>
                </w:p>
              </w:tc>
              <w:tc>
                <w:tcPr>
                  <w:tcW w:w="6697" w:type="dxa"/>
                  <w:vAlign w:val="center"/>
                </w:tcPr>
                <w:p w14:paraId="60E05154" w14:textId="77777777" w:rsidR="00CA332E" w:rsidRPr="00927455" w:rsidRDefault="00CA332E" w:rsidP="00936826">
                  <w:pPr>
                    <w:autoSpaceDE w:val="0"/>
                    <w:autoSpaceDN w:val="0"/>
                    <w:adjustRightInd w:val="0"/>
                    <w:rPr>
                      <w:lang w:val="fr-BE" w:eastAsia="fr-BE"/>
                    </w:rPr>
                  </w:pPr>
                  <w:r w:rsidRPr="00927455">
                    <w:rPr>
                      <w:lang w:val="fr-BE" w:eastAsia="fr-BE"/>
                    </w:rPr>
                    <w:t>Aucune performance déterminée</w:t>
                  </w:r>
                </w:p>
              </w:tc>
            </w:tr>
          </w:tbl>
          <w:p w14:paraId="54D37E81" w14:textId="77777777" w:rsidR="00CA332E" w:rsidRPr="00927455" w:rsidRDefault="00CA332E" w:rsidP="00936826">
            <w:pPr>
              <w:rPr>
                <w:lang w:val="fr-BE"/>
              </w:rPr>
            </w:pPr>
          </w:p>
        </w:tc>
      </w:tr>
      <w:tr w:rsidR="00CA332E" w:rsidRPr="00927455" w14:paraId="0E8F96C8" w14:textId="77777777" w:rsidTr="00CA332E">
        <w:tc>
          <w:tcPr>
            <w:tcW w:w="9853" w:type="dxa"/>
            <w:tcMar>
              <w:left w:w="0" w:type="dxa"/>
            </w:tcMar>
          </w:tcPr>
          <w:p w14:paraId="0063C52A" w14:textId="77777777" w:rsidR="00CA332E" w:rsidRPr="00927455" w:rsidRDefault="008A5C17" w:rsidP="00CA332E">
            <w:pPr>
              <w:jc w:val="right"/>
              <w:rPr>
                <w:lang w:val="fr-BE"/>
              </w:rPr>
            </w:pPr>
            <w:r w:rsidRPr="00927455">
              <w:rPr>
                <w:lang w:val="fr-BE"/>
              </w:rPr>
              <w:t xml:space="preserve"> </w:t>
            </w:r>
          </w:p>
        </w:tc>
      </w:tr>
    </w:tbl>
    <w:tbl>
      <w:tblPr>
        <w:tblStyle w:val="Grilledutableau"/>
        <w:tblW w:w="0" w:type="auto"/>
        <w:tblLook w:val="04A0" w:firstRow="1" w:lastRow="0" w:firstColumn="1" w:lastColumn="0" w:noHBand="0" w:noVBand="1"/>
      </w:tblPr>
      <w:tblGrid>
        <w:gridCol w:w="4524"/>
        <w:gridCol w:w="14"/>
        <w:gridCol w:w="4524"/>
      </w:tblGrid>
      <w:tr w:rsidR="00754BD6" w:rsidRPr="00754BD6" w14:paraId="3D21549C" w14:textId="77777777" w:rsidTr="00936826">
        <w:trPr>
          <w:gridAfter w:val="2"/>
          <w:wAfter w:w="4538" w:type="dxa"/>
        </w:trPr>
        <w:tc>
          <w:tcPr>
            <w:tcW w:w="4524" w:type="dxa"/>
          </w:tcPr>
          <w:p w14:paraId="47668C8D" w14:textId="77777777" w:rsidR="00754BD6" w:rsidRPr="00927455" w:rsidRDefault="00754BD6" w:rsidP="00936826">
            <w:pPr>
              <w:rPr>
                <w:lang w:val="fr-BE"/>
              </w:rPr>
            </w:pPr>
            <w:r w:rsidRPr="00927455">
              <w:rPr>
                <w:b/>
                <w:lang w:val="fr-BE"/>
              </w:rPr>
              <w:t>Art. 11.</w:t>
            </w:r>
            <w:r w:rsidRPr="00927455">
              <w:rPr>
                <w:lang w:val="fr-BE"/>
              </w:rPr>
              <w:t xml:space="preserve"> Dans le point 3bis.2 de l’annexe 1 du même arrêté royal, les modifications suivantes sont apportées :</w:t>
            </w:r>
          </w:p>
          <w:p w14:paraId="442AE85F" w14:textId="77777777" w:rsidR="00754BD6" w:rsidRPr="00927455" w:rsidRDefault="00754BD6" w:rsidP="00936826">
            <w:pPr>
              <w:rPr>
                <w:lang w:val="fr-BE"/>
              </w:rPr>
            </w:pPr>
          </w:p>
        </w:tc>
      </w:tr>
      <w:tr w:rsidR="00754BD6" w:rsidRPr="00754BD6" w14:paraId="2DC86C7D" w14:textId="77777777" w:rsidTr="00936826">
        <w:trPr>
          <w:gridAfter w:val="2"/>
          <w:wAfter w:w="4538" w:type="dxa"/>
        </w:trPr>
        <w:tc>
          <w:tcPr>
            <w:tcW w:w="4524" w:type="dxa"/>
          </w:tcPr>
          <w:p w14:paraId="68F7A8FF" w14:textId="77777777" w:rsidR="00754BD6" w:rsidRPr="00927455" w:rsidRDefault="00754BD6" w:rsidP="00936826">
            <w:pPr>
              <w:rPr>
                <w:lang w:val="fr-FR"/>
              </w:rPr>
            </w:pPr>
            <w:r w:rsidRPr="00927455">
              <w:rPr>
                <w:lang w:val="fr-BE"/>
              </w:rPr>
              <w:t xml:space="preserve">1° dans le point 1° dans le texte néerlandais, le mot « </w:t>
            </w:r>
            <w:proofErr w:type="spellStart"/>
            <w:r w:rsidRPr="00927455">
              <w:rPr>
                <w:lang w:val="fr-BE"/>
              </w:rPr>
              <w:t>informatiegegevens</w:t>
            </w:r>
            <w:proofErr w:type="spellEnd"/>
            <w:r w:rsidRPr="00927455">
              <w:rPr>
                <w:lang w:val="fr-BE"/>
              </w:rPr>
              <w:t xml:space="preserve"> » est </w:t>
            </w:r>
            <w:proofErr w:type="spellStart"/>
            <w:r w:rsidRPr="00927455">
              <w:rPr>
                <w:lang w:val="fr-BE"/>
              </w:rPr>
              <w:t>remp</w:t>
            </w:r>
            <w:proofErr w:type="spellEnd"/>
            <w:r w:rsidRPr="00927455">
              <w:rPr>
                <w:lang w:val="fr-FR"/>
              </w:rPr>
              <w:t xml:space="preserve">lacé par le mot « </w:t>
            </w:r>
            <w:r w:rsidRPr="00927455">
              <w:rPr>
                <w:lang w:val="fr-BE"/>
              </w:rPr>
              <w:t>informatie</w:t>
            </w:r>
            <w:r w:rsidRPr="00927455">
              <w:rPr>
                <w:lang w:val="fr-FR"/>
              </w:rPr>
              <w:t xml:space="preserve"> » ;</w:t>
            </w:r>
          </w:p>
          <w:p w14:paraId="001B2E36" w14:textId="77777777" w:rsidR="00754BD6" w:rsidRPr="00927455" w:rsidRDefault="00754BD6" w:rsidP="00936826">
            <w:pPr>
              <w:rPr>
                <w:lang w:val="fr-FR"/>
              </w:rPr>
            </w:pPr>
          </w:p>
        </w:tc>
      </w:tr>
      <w:tr w:rsidR="00754BD6" w:rsidRPr="00754BD6" w14:paraId="650833AA" w14:textId="77777777" w:rsidTr="00886DBE">
        <w:trPr>
          <w:gridAfter w:val="2"/>
          <w:wAfter w:w="4538" w:type="dxa"/>
        </w:trPr>
        <w:tc>
          <w:tcPr>
            <w:tcW w:w="4524" w:type="dxa"/>
          </w:tcPr>
          <w:p w14:paraId="5DE840A0" w14:textId="77777777" w:rsidR="00754BD6" w:rsidRPr="00927455" w:rsidRDefault="00754BD6" w:rsidP="004F3A88">
            <w:pPr>
              <w:jc w:val="both"/>
              <w:rPr>
                <w:lang w:val="fr-BE"/>
              </w:rPr>
            </w:pPr>
            <w:r w:rsidRPr="00927455">
              <w:rPr>
                <w:lang w:val="fr-BE"/>
              </w:rPr>
              <w:lastRenderedPageBreak/>
              <w:t>2° dans le point 2° les mots « à défaut de marquage CE » sont complétés par les mots « ou à défaut d’informations sur le comportement au feu de l’ensemble du complexe de toiture accompagnant le marquage CE » ;</w:t>
            </w:r>
          </w:p>
          <w:p w14:paraId="32042B91" w14:textId="77777777" w:rsidR="00754BD6" w:rsidRPr="00927455" w:rsidRDefault="00754BD6" w:rsidP="004F3A88">
            <w:pPr>
              <w:rPr>
                <w:lang w:val="fr-BE"/>
              </w:rPr>
            </w:pPr>
          </w:p>
        </w:tc>
      </w:tr>
      <w:tr w:rsidR="00754BD6" w:rsidRPr="00754BD6" w14:paraId="044D1C06" w14:textId="77777777" w:rsidTr="00936826">
        <w:trPr>
          <w:gridAfter w:val="2"/>
          <w:wAfter w:w="4538" w:type="dxa"/>
        </w:trPr>
        <w:tc>
          <w:tcPr>
            <w:tcW w:w="4524" w:type="dxa"/>
          </w:tcPr>
          <w:p w14:paraId="63F9FD95" w14:textId="77777777" w:rsidR="00754BD6" w:rsidRPr="00927455" w:rsidRDefault="00754BD6" w:rsidP="00936826">
            <w:pPr>
              <w:rPr>
                <w:lang w:val="fr-BE"/>
              </w:rPr>
            </w:pPr>
            <w:r w:rsidRPr="00927455">
              <w:rPr>
                <w:lang w:val="fr-BE"/>
              </w:rPr>
              <w:t>3° dans le point 2°, a) les abréviations « NBN » sont abrogées à chaque fois et l’abréviation «ISO/IEC » est insérée entre l’abréviation « EN » et le numéro « 17000 » ;</w:t>
            </w:r>
          </w:p>
          <w:p w14:paraId="08822835" w14:textId="77777777" w:rsidR="00754BD6" w:rsidRPr="00927455" w:rsidRDefault="00754BD6" w:rsidP="00936826">
            <w:pPr>
              <w:rPr>
                <w:lang w:val="fr-BE"/>
              </w:rPr>
            </w:pPr>
          </w:p>
        </w:tc>
      </w:tr>
      <w:tr w:rsidR="00754BD6" w:rsidRPr="00754BD6" w14:paraId="56AD69FD" w14:textId="77777777" w:rsidTr="00936826">
        <w:trPr>
          <w:gridAfter w:val="2"/>
          <w:wAfter w:w="4538" w:type="dxa"/>
        </w:trPr>
        <w:tc>
          <w:tcPr>
            <w:tcW w:w="4524" w:type="dxa"/>
          </w:tcPr>
          <w:p w14:paraId="79485608" w14:textId="77777777" w:rsidR="00754BD6" w:rsidRPr="00927455" w:rsidRDefault="00754BD6" w:rsidP="00936826">
            <w:pPr>
              <w:rPr>
                <w:lang w:val="fr-BE"/>
              </w:rPr>
            </w:pPr>
            <w:r w:rsidRPr="00927455">
              <w:rPr>
                <w:lang w:val="fr-BE"/>
              </w:rPr>
              <w:t xml:space="preserve">4° </w:t>
            </w:r>
            <w:r w:rsidRPr="00927455">
              <w:rPr>
                <w:lang w:val="fr-FR"/>
              </w:rPr>
              <w:t xml:space="preserve">dans le point 2°, b) les mots « </w:t>
            </w:r>
            <w:r w:rsidRPr="00927455">
              <w:rPr>
                <w:lang w:val="fr-BE"/>
              </w:rPr>
              <w:t xml:space="preserve">testés selon les essais décrits dans </w:t>
            </w:r>
            <w:r w:rsidRPr="00927455">
              <w:rPr>
                <w:lang w:val="fr-FR"/>
              </w:rPr>
              <w:t xml:space="preserve">» sont remplacés par les mots « </w:t>
            </w:r>
            <w:r w:rsidRPr="00927455">
              <w:rPr>
                <w:lang w:val="fr-BE"/>
              </w:rPr>
              <w:t xml:space="preserve">évalués selon </w:t>
            </w:r>
            <w:r w:rsidRPr="00927455">
              <w:rPr>
                <w:lang w:val="fr-FR"/>
              </w:rPr>
              <w:t>».</w:t>
            </w:r>
          </w:p>
          <w:p w14:paraId="67197514" w14:textId="77777777" w:rsidR="00754BD6" w:rsidRPr="00927455" w:rsidRDefault="00754BD6" w:rsidP="00936826">
            <w:pPr>
              <w:rPr>
                <w:lang w:val="fr-BE"/>
              </w:rPr>
            </w:pPr>
          </w:p>
        </w:tc>
      </w:tr>
      <w:tr w:rsidR="00754BD6" w:rsidRPr="00754BD6" w14:paraId="1EC5725B" w14:textId="77777777" w:rsidTr="002C47D6">
        <w:trPr>
          <w:gridAfter w:val="2"/>
          <w:wAfter w:w="4538" w:type="dxa"/>
        </w:trPr>
        <w:tc>
          <w:tcPr>
            <w:tcW w:w="4524" w:type="dxa"/>
          </w:tcPr>
          <w:p w14:paraId="70945287" w14:textId="081A9F51" w:rsidR="00754BD6" w:rsidRPr="00927455" w:rsidRDefault="00754BD6" w:rsidP="002C47D6">
            <w:pPr>
              <w:rPr>
                <w:lang w:val="fr-BE"/>
              </w:rPr>
            </w:pPr>
            <w:r w:rsidRPr="00927455">
              <w:rPr>
                <w:b/>
                <w:lang w:val="fr-BE"/>
              </w:rPr>
              <w:t>Art. 12.</w:t>
            </w:r>
            <w:r w:rsidRPr="00927455">
              <w:rPr>
                <w:lang w:val="fr-BE"/>
              </w:rPr>
              <w:t xml:space="preserve"> Point 4.1 de l’annexe 1 du même arrêté royal est remplacé par ce qui suit :</w:t>
            </w:r>
          </w:p>
          <w:p w14:paraId="052EEF38" w14:textId="3E8EEE5E" w:rsidR="00754BD6" w:rsidRPr="00927455" w:rsidRDefault="00754BD6" w:rsidP="002C47D6">
            <w:pPr>
              <w:rPr>
                <w:lang w:val="fr-BE"/>
              </w:rPr>
            </w:pPr>
            <w:r w:rsidRPr="00927455">
              <w:rPr>
                <w:lang w:val="fr-BE"/>
              </w:rPr>
              <w:t xml:space="preserve">« 4.1 Chaufferie : ensemble constitué du local de chauffe et de la (des) </w:t>
            </w:r>
            <w:proofErr w:type="spellStart"/>
            <w:r w:rsidRPr="00927455">
              <w:rPr>
                <w:lang w:val="fr-BE"/>
              </w:rPr>
              <w:t>soute</w:t>
            </w:r>
            <w:proofErr w:type="spellEnd"/>
            <w:r w:rsidRPr="00927455">
              <w:rPr>
                <w:lang w:val="fr-BE"/>
              </w:rPr>
              <w:t>(s) à combustible éventuelle(s) qui le dessert. ».</w:t>
            </w:r>
          </w:p>
          <w:p w14:paraId="749BF9A7" w14:textId="77777777" w:rsidR="00754BD6" w:rsidRPr="00927455" w:rsidRDefault="00754BD6" w:rsidP="002C47D6">
            <w:pPr>
              <w:rPr>
                <w:lang w:val="fr-BE"/>
              </w:rPr>
            </w:pPr>
          </w:p>
        </w:tc>
      </w:tr>
      <w:tr w:rsidR="00754BD6" w:rsidRPr="00754BD6" w14:paraId="7AF87104" w14:textId="77777777" w:rsidTr="002C47D6">
        <w:trPr>
          <w:gridAfter w:val="2"/>
          <w:wAfter w:w="4538" w:type="dxa"/>
        </w:trPr>
        <w:tc>
          <w:tcPr>
            <w:tcW w:w="4524" w:type="dxa"/>
          </w:tcPr>
          <w:p w14:paraId="3B960948" w14:textId="0DF9B82E" w:rsidR="00754BD6" w:rsidRPr="00927455" w:rsidRDefault="00754BD6" w:rsidP="002C47D6">
            <w:pPr>
              <w:rPr>
                <w:lang w:val="fr-BE"/>
              </w:rPr>
            </w:pPr>
            <w:r w:rsidRPr="00927455">
              <w:rPr>
                <w:b/>
                <w:lang w:val="fr-BE"/>
              </w:rPr>
              <w:t>Art. 13.</w:t>
            </w:r>
            <w:r w:rsidRPr="00927455">
              <w:rPr>
                <w:lang w:val="fr-BE"/>
              </w:rPr>
              <w:t xml:space="preserve"> Point 4.2 de l’annexe 1 du même arrêté royal est remplacé par ce qui suit :</w:t>
            </w:r>
          </w:p>
          <w:p w14:paraId="05EED7EA" w14:textId="637614BA" w:rsidR="00754BD6" w:rsidRPr="00927455" w:rsidRDefault="00754BD6" w:rsidP="002C47D6">
            <w:pPr>
              <w:rPr>
                <w:lang w:val="fr-BE"/>
              </w:rPr>
            </w:pPr>
            <w:r w:rsidRPr="00927455">
              <w:rPr>
                <w:lang w:val="fr-BE"/>
              </w:rPr>
              <w:t>« 4.2 Local de chauffe : local dans lequel sont installés un ou plusieurs appareils de combustion destinés au chauffage central ou à la production d’eau chaude. ».</w:t>
            </w:r>
          </w:p>
          <w:p w14:paraId="36DDEDCC" w14:textId="77777777" w:rsidR="00754BD6" w:rsidRPr="00927455" w:rsidRDefault="00754BD6" w:rsidP="002C47D6">
            <w:pPr>
              <w:rPr>
                <w:lang w:val="fr-BE"/>
              </w:rPr>
            </w:pPr>
          </w:p>
        </w:tc>
      </w:tr>
      <w:tr w:rsidR="00754BD6" w:rsidRPr="00754BD6" w14:paraId="75D9AE8D" w14:textId="77777777" w:rsidTr="002C47D6">
        <w:trPr>
          <w:gridAfter w:val="2"/>
          <w:wAfter w:w="4538" w:type="dxa"/>
        </w:trPr>
        <w:tc>
          <w:tcPr>
            <w:tcW w:w="4524" w:type="dxa"/>
          </w:tcPr>
          <w:p w14:paraId="7F76D5EE" w14:textId="51F62CDE" w:rsidR="00754BD6" w:rsidRPr="00927455" w:rsidRDefault="00754BD6" w:rsidP="002C47D6">
            <w:pPr>
              <w:rPr>
                <w:lang w:val="fr-BE"/>
              </w:rPr>
            </w:pPr>
            <w:r w:rsidRPr="00927455">
              <w:rPr>
                <w:b/>
                <w:lang w:val="fr-BE"/>
              </w:rPr>
              <w:t>Art. 14.</w:t>
            </w:r>
            <w:r w:rsidRPr="00927455">
              <w:rPr>
                <w:lang w:val="fr-BE"/>
              </w:rPr>
              <w:t xml:space="preserve"> Point 4.3 de l’annexe 1 du même arrêté royal est remplacé par ce qui suit :</w:t>
            </w:r>
          </w:p>
          <w:p w14:paraId="0CF9F8EF" w14:textId="31BFD5BC" w:rsidR="00754BD6" w:rsidRPr="00927455" w:rsidRDefault="00754BD6" w:rsidP="002C47D6">
            <w:pPr>
              <w:rPr>
                <w:lang w:val="fr-BE"/>
              </w:rPr>
            </w:pPr>
            <w:r w:rsidRPr="00927455">
              <w:rPr>
                <w:lang w:val="fr-BE"/>
              </w:rPr>
              <w:t xml:space="preserve">« 4.3 </w:t>
            </w:r>
            <w:proofErr w:type="spellStart"/>
            <w:r w:rsidRPr="00927455">
              <w:rPr>
                <w:lang w:val="fr-BE"/>
              </w:rPr>
              <w:t>Soute</w:t>
            </w:r>
            <w:proofErr w:type="spellEnd"/>
            <w:r w:rsidRPr="00927455">
              <w:rPr>
                <w:lang w:val="fr-BE"/>
              </w:rPr>
              <w:t xml:space="preserve"> à combustible : local servant au stockage d'un combustible solide, liquide ou gazeux lorsque la charge calorifique totale du combustible stocké dépasse 15GJ. ».</w:t>
            </w:r>
          </w:p>
          <w:p w14:paraId="6CCFAAD5" w14:textId="77777777" w:rsidR="00754BD6" w:rsidRPr="00927455" w:rsidRDefault="00754BD6" w:rsidP="002C47D6">
            <w:pPr>
              <w:rPr>
                <w:lang w:val="fr-BE"/>
              </w:rPr>
            </w:pPr>
          </w:p>
        </w:tc>
      </w:tr>
      <w:tr w:rsidR="00754BD6" w:rsidRPr="00754BD6" w14:paraId="78F1E699" w14:textId="77777777" w:rsidTr="002C47D6">
        <w:trPr>
          <w:gridAfter w:val="2"/>
          <w:wAfter w:w="4538" w:type="dxa"/>
        </w:trPr>
        <w:tc>
          <w:tcPr>
            <w:tcW w:w="4524" w:type="dxa"/>
          </w:tcPr>
          <w:p w14:paraId="3ABD1E31" w14:textId="05A6A14C" w:rsidR="00754BD6" w:rsidRPr="00927455" w:rsidRDefault="00754BD6" w:rsidP="002C275A">
            <w:pPr>
              <w:rPr>
                <w:lang w:val="fr-BE"/>
              </w:rPr>
            </w:pPr>
            <w:r w:rsidRPr="00927455">
              <w:rPr>
                <w:b/>
                <w:lang w:val="fr-BE"/>
              </w:rPr>
              <w:t>Art. 15.</w:t>
            </w:r>
            <w:r w:rsidRPr="00927455">
              <w:rPr>
                <w:lang w:val="fr-BE"/>
              </w:rPr>
              <w:t xml:space="preserve"> Dans l’annexe 1 du même arrêté royal, il est inséré un point 4.11 rédigé comme suit :</w:t>
            </w:r>
          </w:p>
          <w:p w14:paraId="579F791B" w14:textId="156B3C8A" w:rsidR="00754BD6" w:rsidRPr="00927455" w:rsidRDefault="00754BD6" w:rsidP="005F5B93">
            <w:pPr>
              <w:rPr>
                <w:lang w:val="fr-BE"/>
              </w:rPr>
            </w:pPr>
            <w:r w:rsidRPr="00927455">
              <w:rPr>
                <w:lang w:val="fr-BE"/>
              </w:rPr>
              <w:t>« 4.11 Débit calorifique : quantité d'énergie apportée par unité de temps à la chambre de combustion de l’appareil de combustion par le combustible, exprimée en tenant compte du pouvoir calorifique inférieur H</w:t>
            </w:r>
            <w:r w:rsidRPr="00927455">
              <w:rPr>
                <w:vertAlign w:val="subscript"/>
                <w:lang w:val="fr-BE"/>
              </w:rPr>
              <w:t>i</w:t>
            </w:r>
            <w:r w:rsidRPr="00927455">
              <w:rPr>
                <w:lang w:val="fr-BE"/>
              </w:rPr>
              <w:t>. Aussi appelée « puissance au brûleur » ou « puissance absorbée ».</w:t>
            </w:r>
          </w:p>
          <w:p w14:paraId="1BF5ECA3" w14:textId="77777777" w:rsidR="00754BD6" w:rsidRPr="00927455" w:rsidRDefault="00754BD6" w:rsidP="005F5B93">
            <w:pPr>
              <w:rPr>
                <w:lang w:val="fr-BE"/>
              </w:rPr>
            </w:pPr>
          </w:p>
          <w:p w14:paraId="5799A13E" w14:textId="4C79AA67" w:rsidR="00754BD6" w:rsidRPr="00927455" w:rsidRDefault="00754BD6" w:rsidP="005F5B93">
            <w:pPr>
              <w:rPr>
                <w:lang w:val="fr-BE"/>
              </w:rPr>
            </w:pPr>
            <w:r w:rsidRPr="00927455">
              <w:rPr>
                <w:lang w:val="fr-BE"/>
              </w:rPr>
              <w:t>Si un appareil de combustion présente plusieurs débits calorifiques, le débit calorifique le plus élevé doit être pris en compte. ».</w:t>
            </w:r>
          </w:p>
          <w:p w14:paraId="62A5426B" w14:textId="07A171DB" w:rsidR="00754BD6" w:rsidRPr="00927455" w:rsidRDefault="00754BD6" w:rsidP="002C47D6">
            <w:pPr>
              <w:rPr>
                <w:lang w:val="fr-BE"/>
              </w:rPr>
            </w:pPr>
          </w:p>
        </w:tc>
      </w:tr>
      <w:tr w:rsidR="00754BD6" w:rsidRPr="00754BD6" w14:paraId="780D9C2A" w14:textId="77777777" w:rsidTr="00886DBE">
        <w:trPr>
          <w:gridAfter w:val="2"/>
          <w:wAfter w:w="4538" w:type="dxa"/>
        </w:trPr>
        <w:tc>
          <w:tcPr>
            <w:tcW w:w="4524" w:type="dxa"/>
          </w:tcPr>
          <w:p w14:paraId="3968811D" w14:textId="298B9D34" w:rsidR="00754BD6" w:rsidRPr="00927455" w:rsidRDefault="00754BD6" w:rsidP="00F67178">
            <w:pPr>
              <w:rPr>
                <w:lang w:val="fr-BE"/>
              </w:rPr>
            </w:pPr>
            <w:r w:rsidRPr="00927455">
              <w:rPr>
                <w:b/>
                <w:lang w:val="fr-BE"/>
              </w:rPr>
              <w:lastRenderedPageBreak/>
              <w:t>Art. 16.</w:t>
            </w:r>
            <w:r w:rsidRPr="00927455">
              <w:rPr>
                <w:lang w:val="fr-BE"/>
              </w:rPr>
              <w:t xml:space="preserve"> Dans le point 5.1.2 de l’annexe 1 du même arrêté royal, le numéro « 14600 » est remplacé par le numéro « 16034 ».</w:t>
            </w:r>
          </w:p>
          <w:p w14:paraId="792E15F7" w14:textId="77777777" w:rsidR="00754BD6" w:rsidRPr="00927455" w:rsidRDefault="00754BD6" w:rsidP="00F67178">
            <w:pPr>
              <w:rPr>
                <w:lang w:val="fr-BE"/>
              </w:rPr>
            </w:pPr>
          </w:p>
        </w:tc>
      </w:tr>
      <w:tr w:rsidR="00754BD6" w:rsidRPr="00754BD6" w14:paraId="4A6654E5" w14:textId="77777777" w:rsidTr="00886DBE">
        <w:trPr>
          <w:gridAfter w:val="2"/>
          <w:wAfter w:w="4538" w:type="dxa"/>
        </w:trPr>
        <w:tc>
          <w:tcPr>
            <w:tcW w:w="4524" w:type="dxa"/>
          </w:tcPr>
          <w:p w14:paraId="56F83832" w14:textId="12FDF64D" w:rsidR="00754BD6" w:rsidRPr="00927455" w:rsidRDefault="00754BD6" w:rsidP="00886DBE">
            <w:pPr>
              <w:rPr>
                <w:lang w:val="fr-FR"/>
              </w:rPr>
            </w:pPr>
            <w:r w:rsidRPr="00927455">
              <w:rPr>
                <w:b/>
                <w:lang w:val="fr-FR"/>
              </w:rPr>
              <w:t>Art. 17.</w:t>
            </w:r>
            <w:r w:rsidRPr="00927455">
              <w:rPr>
                <w:lang w:val="fr-FR"/>
              </w:rPr>
              <w:t xml:space="preserve"> Dans le point 5.6.1 de l’annexe 1 du même arrêté royal</w:t>
            </w:r>
            <w:r w:rsidRPr="00927455">
              <w:rPr>
                <w:lang w:val="fr-BE"/>
              </w:rPr>
              <w:t>, dans le texte néerlandais,</w:t>
            </w:r>
            <w:r w:rsidRPr="00927455">
              <w:rPr>
                <w:lang w:val="fr-FR"/>
              </w:rPr>
              <w:t xml:space="preserve"> le mot « </w:t>
            </w:r>
            <w:proofErr w:type="spellStart"/>
            <w:r w:rsidRPr="00927455">
              <w:rPr>
                <w:lang w:val="fr-BE"/>
              </w:rPr>
              <w:t>trappehuizen</w:t>
            </w:r>
            <w:proofErr w:type="spellEnd"/>
            <w:r w:rsidRPr="00927455">
              <w:rPr>
                <w:lang w:val="fr-FR"/>
              </w:rPr>
              <w:t xml:space="preserve"> » est remplacé par le mot « </w:t>
            </w:r>
            <w:proofErr w:type="spellStart"/>
            <w:r w:rsidRPr="00927455">
              <w:rPr>
                <w:lang w:val="fr-BE"/>
              </w:rPr>
              <w:t>trappenhuizen</w:t>
            </w:r>
            <w:proofErr w:type="spellEnd"/>
            <w:r w:rsidRPr="00927455">
              <w:rPr>
                <w:lang w:val="fr-FR"/>
              </w:rPr>
              <w:t xml:space="preserve"> ».</w:t>
            </w:r>
          </w:p>
          <w:p w14:paraId="0B90BB19" w14:textId="77777777" w:rsidR="00754BD6" w:rsidRPr="00927455" w:rsidRDefault="00754BD6" w:rsidP="00886DBE">
            <w:pPr>
              <w:rPr>
                <w:lang w:val="fr-FR"/>
              </w:rPr>
            </w:pPr>
          </w:p>
        </w:tc>
      </w:tr>
      <w:tr w:rsidR="00754BD6" w:rsidRPr="00927455" w14:paraId="40791F34" w14:textId="77777777" w:rsidTr="00886DBE">
        <w:trPr>
          <w:gridAfter w:val="2"/>
          <w:wAfter w:w="4538" w:type="dxa"/>
        </w:trPr>
        <w:tc>
          <w:tcPr>
            <w:tcW w:w="4524" w:type="dxa"/>
          </w:tcPr>
          <w:p w14:paraId="35E0E920" w14:textId="5532CD8C" w:rsidR="00754BD6" w:rsidRPr="00927455" w:rsidRDefault="00754BD6" w:rsidP="00A73414">
            <w:r w:rsidRPr="00927455">
              <w:rPr>
                <w:b/>
              </w:rPr>
              <w:t>Art. 18.</w:t>
            </w:r>
            <w:r w:rsidRPr="00927455">
              <w:t xml:space="preserve"> Dans le point 5.6.7 de </w:t>
            </w:r>
            <w:proofErr w:type="spellStart"/>
            <w:r w:rsidRPr="00927455">
              <w:t>l’annexe</w:t>
            </w:r>
            <w:proofErr w:type="spellEnd"/>
            <w:r w:rsidRPr="00927455">
              <w:t xml:space="preserve"> 1 du </w:t>
            </w:r>
            <w:proofErr w:type="spellStart"/>
            <w:r w:rsidRPr="00927455">
              <w:t>même</w:t>
            </w:r>
            <w:proofErr w:type="spellEnd"/>
            <w:r w:rsidRPr="00927455">
              <w:t xml:space="preserve"> </w:t>
            </w:r>
            <w:proofErr w:type="spellStart"/>
            <w:r w:rsidRPr="00927455">
              <w:t>arrêté</w:t>
            </w:r>
            <w:proofErr w:type="spellEnd"/>
            <w:r w:rsidRPr="00927455">
              <w:t xml:space="preserve"> royal, dans le </w:t>
            </w:r>
            <w:proofErr w:type="spellStart"/>
            <w:r w:rsidRPr="00927455">
              <w:t>texte</w:t>
            </w:r>
            <w:proofErr w:type="spellEnd"/>
            <w:r w:rsidRPr="00927455">
              <w:t xml:space="preserve"> néerlandais, le mot « vereiste » </w:t>
            </w:r>
            <w:proofErr w:type="spellStart"/>
            <w:r w:rsidRPr="00927455">
              <w:t>est</w:t>
            </w:r>
            <w:proofErr w:type="spellEnd"/>
            <w:r w:rsidRPr="00927455">
              <w:t xml:space="preserve"> </w:t>
            </w:r>
            <w:proofErr w:type="spellStart"/>
            <w:r w:rsidRPr="00927455">
              <w:t>inséré</w:t>
            </w:r>
            <w:proofErr w:type="spellEnd"/>
            <w:r w:rsidRPr="00927455">
              <w:t xml:space="preserve"> </w:t>
            </w:r>
            <w:proofErr w:type="spellStart"/>
            <w:r w:rsidRPr="00927455">
              <w:t>entre</w:t>
            </w:r>
            <w:proofErr w:type="spellEnd"/>
            <w:r w:rsidRPr="00927455">
              <w:t xml:space="preserve"> le mot « de » et les mots « </w:t>
            </w:r>
            <w:r w:rsidRPr="00927455">
              <w:rPr>
                <w:rFonts w:cs="Times New Roman"/>
                <w:noProof/>
                <w:lang w:eastAsia="nl-NL"/>
              </w:rPr>
              <w:t>nuttige breedtes van de vluchtruimtes van éénzelfde compartiment niet meer dan één doorgangseenheid van elkaar verschillen</w:t>
            </w:r>
            <w:r w:rsidRPr="00927455">
              <w:t xml:space="preserve"> ».</w:t>
            </w:r>
          </w:p>
          <w:p w14:paraId="105C5016" w14:textId="77777777" w:rsidR="00754BD6" w:rsidRPr="00927455" w:rsidRDefault="00754BD6" w:rsidP="00886DBE"/>
        </w:tc>
      </w:tr>
      <w:tr w:rsidR="00754BD6" w:rsidRPr="00754BD6" w14:paraId="57B0C1BF" w14:textId="77777777" w:rsidTr="00CE7C3D">
        <w:trPr>
          <w:gridAfter w:val="2"/>
          <w:wAfter w:w="4538" w:type="dxa"/>
        </w:trPr>
        <w:tc>
          <w:tcPr>
            <w:tcW w:w="4524" w:type="dxa"/>
          </w:tcPr>
          <w:p w14:paraId="41221387" w14:textId="069DF61C" w:rsidR="00754BD6" w:rsidRPr="00927455" w:rsidRDefault="00754BD6" w:rsidP="00CE7C3D">
            <w:pPr>
              <w:rPr>
                <w:lang w:val="fr-FR"/>
              </w:rPr>
            </w:pPr>
            <w:r w:rsidRPr="00927455">
              <w:rPr>
                <w:b/>
                <w:lang w:val="fr-FR"/>
              </w:rPr>
              <w:t>Art. 19.</w:t>
            </w:r>
            <w:r w:rsidRPr="00927455">
              <w:rPr>
                <w:lang w:val="fr-FR"/>
              </w:rPr>
              <w:t xml:space="preserve"> Dans le point 6.1 de l’annexe 1 du même arrêté royal</w:t>
            </w:r>
            <w:r w:rsidRPr="00927455">
              <w:rPr>
                <w:lang w:val="fr-BE"/>
              </w:rPr>
              <w:t>, dans le texte français,</w:t>
            </w:r>
            <w:r w:rsidRPr="00927455">
              <w:rPr>
                <w:lang w:val="fr-FR"/>
              </w:rPr>
              <w:t xml:space="preserve"> les mots « </w:t>
            </w:r>
            <w:r w:rsidRPr="00927455">
              <w:rPr>
                <w:lang w:val="fr-BE"/>
              </w:rPr>
              <w:t xml:space="preserve">au sol </w:t>
            </w:r>
            <w:r w:rsidRPr="00927455">
              <w:rPr>
                <w:lang w:val="fr-FR"/>
              </w:rPr>
              <w:t>» sont chaque fois abrogés.</w:t>
            </w:r>
          </w:p>
          <w:p w14:paraId="5353FA28" w14:textId="77777777" w:rsidR="00754BD6" w:rsidRPr="00927455" w:rsidRDefault="00754BD6" w:rsidP="008A5B71">
            <w:pPr>
              <w:rPr>
                <w:lang w:val="fr-FR"/>
              </w:rPr>
            </w:pPr>
          </w:p>
        </w:tc>
      </w:tr>
      <w:tr w:rsidR="00754BD6" w:rsidRPr="00754BD6" w14:paraId="713AFDD6" w14:textId="77777777" w:rsidTr="00513C3D">
        <w:trPr>
          <w:gridAfter w:val="2"/>
          <w:wAfter w:w="4538" w:type="dxa"/>
        </w:trPr>
        <w:tc>
          <w:tcPr>
            <w:tcW w:w="4524" w:type="dxa"/>
          </w:tcPr>
          <w:p w14:paraId="770986B7" w14:textId="24DA8274" w:rsidR="00754BD6" w:rsidRPr="00927455" w:rsidRDefault="00754BD6" w:rsidP="00513C3D">
            <w:pPr>
              <w:rPr>
                <w:lang w:val="fr-BE"/>
              </w:rPr>
            </w:pPr>
            <w:r w:rsidRPr="00927455">
              <w:rPr>
                <w:b/>
                <w:lang w:val="fr-BE"/>
              </w:rPr>
              <w:t>Art. 20.</w:t>
            </w:r>
            <w:r w:rsidRPr="00927455">
              <w:rPr>
                <w:lang w:val="fr-BE"/>
              </w:rPr>
              <w:t xml:space="preserve"> Dans l’annexe 1 du même arrêté royal, il est inséré un point 7, comportant les points 7.1 à 7.7 rédigés comme suit :</w:t>
            </w:r>
          </w:p>
          <w:p w14:paraId="43821A62" w14:textId="77777777" w:rsidR="00754BD6" w:rsidRPr="00927455" w:rsidRDefault="00754BD6" w:rsidP="00513C3D">
            <w:pPr>
              <w:rPr>
                <w:lang w:val="fr-BE"/>
              </w:rPr>
            </w:pPr>
          </w:p>
        </w:tc>
      </w:tr>
      <w:tr w:rsidR="00754BD6" w:rsidRPr="00927455" w14:paraId="1B131FEC" w14:textId="77777777" w:rsidTr="004F667F">
        <w:trPr>
          <w:gridAfter w:val="2"/>
          <w:wAfter w:w="4538" w:type="dxa"/>
        </w:trPr>
        <w:tc>
          <w:tcPr>
            <w:tcW w:w="4524" w:type="dxa"/>
          </w:tcPr>
          <w:p w14:paraId="1477331D" w14:textId="77777777" w:rsidR="00754BD6" w:rsidRPr="00927455" w:rsidRDefault="00754BD6" w:rsidP="003774D1">
            <w:pPr>
              <w:jc w:val="both"/>
              <w:rPr>
                <w:b/>
                <w:lang w:val="fr-BE"/>
              </w:rPr>
            </w:pPr>
            <w:r w:rsidRPr="00927455">
              <w:rPr>
                <w:b/>
                <w:lang w:val="fr-BE"/>
              </w:rPr>
              <w:t>« 7 TERMINOLOGIE RELATIVE AUX PARKINGS</w:t>
            </w:r>
          </w:p>
          <w:p w14:paraId="3BF0AC6A" w14:textId="77777777" w:rsidR="00754BD6" w:rsidRPr="00927455" w:rsidRDefault="00754BD6" w:rsidP="003774D1">
            <w:pPr>
              <w:jc w:val="both"/>
              <w:rPr>
                <w:lang w:val="fr-BE"/>
              </w:rPr>
            </w:pPr>
          </w:p>
        </w:tc>
      </w:tr>
      <w:tr w:rsidR="00754BD6" w:rsidRPr="00754BD6" w14:paraId="3ECD47E6" w14:textId="77777777" w:rsidTr="004F667F">
        <w:trPr>
          <w:gridAfter w:val="2"/>
          <w:wAfter w:w="4538" w:type="dxa"/>
        </w:trPr>
        <w:tc>
          <w:tcPr>
            <w:tcW w:w="4524" w:type="dxa"/>
          </w:tcPr>
          <w:p w14:paraId="4BBFBB3C" w14:textId="77777777" w:rsidR="00754BD6" w:rsidRPr="00927455" w:rsidRDefault="00754BD6" w:rsidP="003774D1">
            <w:pPr>
              <w:jc w:val="both"/>
              <w:rPr>
                <w:lang w:val="fr-BE"/>
              </w:rPr>
            </w:pPr>
            <w:r w:rsidRPr="00927455">
              <w:rPr>
                <w:rFonts w:cs="Times New Roman"/>
                <w:lang w:val="fr-BE" w:eastAsia="nl-NL"/>
              </w:rPr>
              <w:t xml:space="preserve">7.1 Niveau de parking : espace du parking compris entre un plancher et un plafond qui comprend les </w:t>
            </w:r>
            <w:r w:rsidRPr="00927455">
              <w:rPr>
                <w:lang w:val="fr-BE"/>
              </w:rPr>
              <w:t>zones de stationnement de véhicules et les allées de circulation et qui inclut éventuellement des locaux. Le plancher de cet espace peut être horizontal ou en pente.</w:t>
            </w:r>
          </w:p>
          <w:p w14:paraId="157EDC11" w14:textId="77777777" w:rsidR="00754BD6" w:rsidRPr="00927455" w:rsidRDefault="00754BD6" w:rsidP="003774D1">
            <w:pPr>
              <w:jc w:val="both"/>
              <w:rPr>
                <w:lang w:val="fr-BE"/>
              </w:rPr>
            </w:pPr>
          </w:p>
        </w:tc>
      </w:tr>
      <w:tr w:rsidR="00754BD6" w:rsidRPr="00754BD6" w14:paraId="2BCD63F4" w14:textId="77777777" w:rsidTr="004F667F">
        <w:trPr>
          <w:gridAfter w:val="2"/>
          <w:wAfter w:w="4538" w:type="dxa"/>
        </w:trPr>
        <w:tc>
          <w:tcPr>
            <w:tcW w:w="4524" w:type="dxa"/>
          </w:tcPr>
          <w:p w14:paraId="4CE04457" w14:textId="286171FD" w:rsidR="00754BD6" w:rsidRPr="00927455" w:rsidRDefault="00754BD6" w:rsidP="003774D1">
            <w:pPr>
              <w:jc w:val="both"/>
              <w:rPr>
                <w:rFonts w:cs="Times New Roman"/>
                <w:lang w:val="fr-BE" w:eastAsia="nl-NL"/>
              </w:rPr>
            </w:pPr>
            <w:r w:rsidRPr="00927455">
              <w:rPr>
                <w:rFonts w:cs="Times New Roman"/>
                <w:lang w:val="fr-BE" w:eastAsia="nl-NL"/>
              </w:rPr>
              <w:t>7.2 Entrée du parking : accès à ciel ouvert du parking destinée à l’intervention du service d’incendie</w:t>
            </w:r>
          </w:p>
          <w:p w14:paraId="4C27BEBE" w14:textId="0D212DA1" w:rsidR="00754BD6" w:rsidRPr="00927455" w:rsidRDefault="00754BD6" w:rsidP="003774D1">
            <w:pPr>
              <w:jc w:val="both"/>
              <w:rPr>
                <w:rFonts w:cs="Times New Roman"/>
                <w:lang w:val="fr-BE" w:eastAsia="nl-NL"/>
              </w:rPr>
            </w:pPr>
          </w:p>
        </w:tc>
      </w:tr>
      <w:tr w:rsidR="00754BD6" w:rsidRPr="00754BD6" w14:paraId="2A70A0D5" w14:textId="77777777" w:rsidTr="004F667F">
        <w:trPr>
          <w:gridAfter w:val="2"/>
          <w:wAfter w:w="4538" w:type="dxa"/>
        </w:trPr>
        <w:tc>
          <w:tcPr>
            <w:tcW w:w="4524" w:type="dxa"/>
          </w:tcPr>
          <w:p w14:paraId="6DD2F31D" w14:textId="0C42980F" w:rsidR="00754BD6" w:rsidRPr="00927455" w:rsidRDefault="00754BD6" w:rsidP="003774D1">
            <w:pPr>
              <w:jc w:val="both"/>
              <w:rPr>
                <w:rFonts w:cs="Times New Roman"/>
                <w:lang w:val="fr-BE" w:eastAsia="nl-NL"/>
              </w:rPr>
            </w:pPr>
            <w:r w:rsidRPr="00927455">
              <w:rPr>
                <w:rFonts w:cs="Times New Roman"/>
                <w:lang w:val="fr-BE" w:eastAsia="nl-NL"/>
              </w:rPr>
              <w:t xml:space="preserve">7.3 Profondeur p d’un parking en sous-sol : </w:t>
            </w:r>
          </w:p>
          <w:p w14:paraId="50C58A3B" w14:textId="77777777" w:rsidR="00754BD6" w:rsidRPr="00927455" w:rsidRDefault="00754BD6" w:rsidP="003774D1">
            <w:pPr>
              <w:jc w:val="both"/>
              <w:rPr>
                <w:rFonts w:cs="Times New Roman"/>
                <w:lang w:val="fr-BE" w:eastAsia="nl-NL"/>
              </w:rPr>
            </w:pPr>
          </w:p>
          <w:p w14:paraId="4554EC73" w14:textId="5D7E1011" w:rsidR="00754BD6" w:rsidRPr="00927455" w:rsidRDefault="00754BD6"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r w:rsidRPr="00927455">
              <w:rPr>
                <w:rFonts w:cs="Times New Roman"/>
                <w:lang w:val="fr-BE" w:eastAsia="nl-NL"/>
              </w:rPr>
              <w:t>La profondeur p d'un parking en sous-sol est conventionnellement la plus grande distance verticale entre le niveau fini d’un emplacement de stationnement quelconque au niveau de parking le plus profond et le niveau de chaque entrée du parking destinée à l’intervention du service d’incendie à cet emplacement de stationnement.</w:t>
            </w:r>
          </w:p>
          <w:p w14:paraId="65FFCAA5" w14:textId="77777777" w:rsidR="00754BD6" w:rsidRPr="00927455" w:rsidRDefault="00754BD6"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p>
          <w:p w14:paraId="210E181A" w14:textId="77777777" w:rsidR="00754BD6" w:rsidRPr="00927455" w:rsidRDefault="00754BD6"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r w:rsidRPr="00927455">
              <w:rPr>
                <w:rFonts w:cs="Times New Roman"/>
                <w:lang w:val="fr-BE" w:eastAsia="nl-NL"/>
              </w:rPr>
              <w:t xml:space="preserve">Néanmoins si l’aire de stationnement </w:t>
            </w:r>
            <w:r w:rsidRPr="00927455">
              <w:rPr>
                <w:rFonts w:cs="Times New Roman"/>
                <w:lang w:val="fr-BE" w:eastAsia="nl-NL"/>
              </w:rPr>
              <w:lastRenderedPageBreak/>
              <w:t>destinée aux véhicules du service d’incendie pour cette entrée du parking est située plus d’1 m au-dessus de celle-ci, la distance entre le niveau de cette entrée du parking et le niveau de cette aire de stationnement doit être ajoutée pour déterminer la profondeur p.</w:t>
            </w:r>
          </w:p>
          <w:p w14:paraId="34BF5019" w14:textId="77777777" w:rsidR="00754BD6" w:rsidRPr="00927455" w:rsidRDefault="00754BD6"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p>
        </w:tc>
      </w:tr>
      <w:tr w:rsidR="00754BD6" w:rsidRPr="00754BD6" w14:paraId="14F96D99" w14:textId="77777777" w:rsidTr="004F667F">
        <w:trPr>
          <w:gridAfter w:val="2"/>
          <w:wAfter w:w="4538" w:type="dxa"/>
        </w:trPr>
        <w:tc>
          <w:tcPr>
            <w:tcW w:w="4524" w:type="dxa"/>
          </w:tcPr>
          <w:p w14:paraId="14AB1250" w14:textId="22A5485A"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r w:rsidRPr="00927455">
              <w:rPr>
                <w:rFonts w:cs="Times New Roman"/>
                <w:lang w:val="fr-BE" w:eastAsia="nl-NL"/>
              </w:rPr>
              <w:lastRenderedPageBreak/>
              <w:t>7.4 Niveau de parking ouvert : niveau d’un parking qui dispose de deux façades opposées satisfaisant aux conditions suivantes :</w:t>
            </w:r>
          </w:p>
          <w:p w14:paraId="01EA4F86" w14:textId="77777777"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p>
        </w:tc>
      </w:tr>
      <w:tr w:rsidR="00754BD6" w:rsidRPr="00754BD6" w14:paraId="202B3939" w14:textId="77777777" w:rsidTr="004F667F">
        <w:trPr>
          <w:gridAfter w:val="2"/>
          <w:wAfter w:w="4538" w:type="dxa"/>
        </w:trPr>
        <w:tc>
          <w:tcPr>
            <w:tcW w:w="4524" w:type="dxa"/>
          </w:tcPr>
          <w:p w14:paraId="37B9A6FA" w14:textId="77777777"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r w:rsidRPr="00927455">
              <w:rPr>
                <w:rFonts w:cs="Times New Roman"/>
                <w:lang w:val="fr-BE" w:eastAsia="nl-NL"/>
              </w:rPr>
              <w:t>1° ces façades sont distantes de maximum 60 m, sur la totalité de leur longueur ;</w:t>
            </w:r>
          </w:p>
          <w:p w14:paraId="6847A8FF" w14:textId="77777777" w:rsidR="00754BD6" w:rsidRPr="00927455" w:rsidRDefault="00754BD6"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p>
        </w:tc>
      </w:tr>
      <w:tr w:rsidR="00754BD6" w:rsidRPr="00754BD6" w14:paraId="7EB76C10" w14:textId="77777777" w:rsidTr="004F667F">
        <w:trPr>
          <w:gridAfter w:val="2"/>
          <w:wAfter w:w="4538" w:type="dxa"/>
        </w:trPr>
        <w:tc>
          <w:tcPr>
            <w:tcW w:w="4524" w:type="dxa"/>
          </w:tcPr>
          <w:p w14:paraId="27F6EE98" w14:textId="77777777"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r w:rsidRPr="00927455">
              <w:rPr>
                <w:rFonts w:cs="Times New Roman"/>
                <w:lang w:val="fr-BE" w:eastAsia="nl-NL"/>
              </w:rPr>
              <w:t>2° chacune de ces façades comporte des ouvertures dont la surface d’ouverture utile vaut au moins 1/6 de la surface totale des parois verticales intérieures et extérieures du périmètre de ce niveau ;</w:t>
            </w:r>
          </w:p>
          <w:p w14:paraId="472C048D" w14:textId="77777777" w:rsidR="00754BD6" w:rsidRPr="00927455" w:rsidRDefault="00754BD6"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p>
        </w:tc>
      </w:tr>
      <w:tr w:rsidR="00754BD6" w:rsidRPr="00754BD6" w14:paraId="263BB2F8" w14:textId="77777777" w:rsidTr="004F667F">
        <w:trPr>
          <w:gridAfter w:val="2"/>
          <w:wAfter w:w="4538" w:type="dxa"/>
        </w:trPr>
        <w:tc>
          <w:tcPr>
            <w:tcW w:w="4524" w:type="dxa"/>
          </w:tcPr>
          <w:p w14:paraId="64D01E8B" w14:textId="77777777"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r w:rsidRPr="00927455">
              <w:rPr>
                <w:rFonts w:cs="Times New Roman"/>
                <w:lang w:val="fr-BE" w:eastAsia="nl-NL"/>
              </w:rPr>
              <w:t>3° les ouvertures sont réparties uniformément sur la longueur de chacune des deux façades ;</w:t>
            </w:r>
          </w:p>
          <w:p w14:paraId="1F3097C9" w14:textId="77777777" w:rsidR="00754BD6" w:rsidRPr="00927455" w:rsidRDefault="00754BD6"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p>
        </w:tc>
      </w:tr>
      <w:tr w:rsidR="00754BD6" w:rsidRPr="00754BD6" w14:paraId="667FEBBF" w14:textId="77777777" w:rsidTr="004F667F">
        <w:trPr>
          <w:gridAfter w:val="2"/>
          <w:wAfter w:w="4538" w:type="dxa"/>
        </w:trPr>
        <w:tc>
          <w:tcPr>
            <w:tcW w:w="4524" w:type="dxa"/>
          </w:tcPr>
          <w:p w14:paraId="1952B5E3" w14:textId="77777777"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r w:rsidRPr="00927455">
              <w:rPr>
                <w:rFonts w:cs="Times New Roman"/>
                <w:lang w:val="fr-BE" w:eastAsia="nl-NL"/>
              </w:rPr>
              <w:t>4° entre ces deux façades, des obstacles éventuels sont admis, pour autant que la surface utile d’écoulement d’air soit au moins égale à la surface des ouvertures requise dans chacune de ces façades ;</w:t>
            </w:r>
          </w:p>
          <w:p w14:paraId="15187652" w14:textId="77777777" w:rsidR="00754BD6" w:rsidRPr="00927455" w:rsidRDefault="00754BD6"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p>
        </w:tc>
      </w:tr>
      <w:tr w:rsidR="00754BD6" w:rsidRPr="00754BD6" w14:paraId="2AD96274" w14:textId="77777777" w:rsidTr="004F667F">
        <w:trPr>
          <w:gridAfter w:val="2"/>
          <w:wAfter w:w="4538" w:type="dxa"/>
        </w:trPr>
        <w:tc>
          <w:tcPr>
            <w:tcW w:w="4524" w:type="dxa"/>
          </w:tcPr>
          <w:p w14:paraId="789A9089" w14:textId="77777777"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r w:rsidRPr="00927455">
              <w:rPr>
                <w:rFonts w:cs="Times New Roman"/>
                <w:lang w:val="fr-BE" w:eastAsia="nl-NL"/>
              </w:rPr>
              <w:t>5° la distance horizontale à ciel ouvert entre ces façades et tout obstacle extérieur doit être d’au moins 5 m.</w:t>
            </w:r>
          </w:p>
          <w:p w14:paraId="5CA7C264" w14:textId="77777777"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p>
        </w:tc>
      </w:tr>
      <w:tr w:rsidR="00754BD6" w:rsidRPr="00754BD6" w14:paraId="7762EFDF" w14:textId="77777777" w:rsidTr="004F667F">
        <w:trPr>
          <w:gridAfter w:val="2"/>
          <w:wAfter w:w="4538" w:type="dxa"/>
        </w:trPr>
        <w:tc>
          <w:tcPr>
            <w:tcW w:w="4524" w:type="dxa"/>
          </w:tcPr>
          <w:p w14:paraId="2F3AD5FE" w14:textId="24F57826" w:rsidR="00754BD6" w:rsidRPr="00927455" w:rsidRDefault="00754BD6"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r w:rsidRPr="00927455">
              <w:rPr>
                <w:rFonts w:cs="Times New Roman"/>
                <w:lang w:val="fr-BE" w:eastAsia="nl-NL"/>
              </w:rPr>
              <w:t>7.5 Parking ouvert : parking dont chaque niveau est un niveau de parking ouvert, tel que défini au point 7.4.</w:t>
            </w:r>
          </w:p>
          <w:p w14:paraId="7F3034B5" w14:textId="77777777" w:rsidR="00754BD6" w:rsidRPr="00927455" w:rsidRDefault="00754BD6" w:rsidP="003774D1">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p>
        </w:tc>
      </w:tr>
      <w:tr w:rsidR="00754BD6" w:rsidRPr="00754BD6" w14:paraId="3F596735" w14:textId="77777777" w:rsidTr="004F667F">
        <w:trPr>
          <w:gridAfter w:val="2"/>
          <w:wAfter w:w="4538" w:type="dxa"/>
        </w:trPr>
        <w:tc>
          <w:tcPr>
            <w:tcW w:w="4524" w:type="dxa"/>
          </w:tcPr>
          <w:p w14:paraId="3F880ACE" w14:textId="74D4E545"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fr-BE"/>
              </w:rPr>
            </w:pPr>
            <w:r w:rsidRPr="00927455">
              <w:rPr>
                <w:lang w:val="fr-BE"/>
              </w:rPr>
              <w:t xml:space="preserve">7.6 Ascenseur voiture : ascenseur utilisé pour déplacer les </w:t>
            </w:r>
            <w:r w:rsidRPr="00927455">
              <w:rPr>
                <w:rFonts w:cs="Times New Roman"/>
                <w:lang w:val="fr-BE" w:eastAsia="nl-NL"/>
              </w:rPr>
              <w:t xml:space="preserve">véhicules avec leurs passagers </w:t>
            </w:r>
            <w:r w:rsidRPr="00927455">
              <w:rPr>
                <w:lang w:val="fr-BE"/>
              </w:rPr>
              <w:t>entre les différents niveaux de parking.</w:t>
            </w:r>
          </w:p>
          <w:p w14:paraId="61136011" w14:textId="77777777"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cs="Times New Roman"/>
                <w:lang w:val="fr-BE" w:eastAsia="nl-NL"/>
              </w:rPr>
            </w:pPr>
          </w:p>
        </w:tc>
      </w:tr>
      <w:tr w:rsidR="00754BD6" w:rsidRPr="00754BD6" w14:paraId="761A7E68" w14:textId="77777777" w:rsidTr="004F667F">
        <w:trPr>
          <w:gridAfter w:val="2"/>
          <w:wAfter w:w="4538" w:type="dxa"/>
        </w:trPr>
        <w:tc>
          <w:tcPr>
            <w:tcW w:w="4524" w:type="dxa"/>
          </w:tcPr>
          <w:p w14:paraId="6BF98380" w14:textId="2B729F4D"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fr-BE"/>
              </w:rPr>
            </w:pPr>
            <w:r w:rsidRPr="00927455">
              <w:rPr>
                <w:lang w:val="fr-BE"/>
              </w:rPr>
              <w:t>7.7 Box de parking : espace intérieur d’un parking limité par des parois, prévu pour stationner un ou des véhicules. ».</w:t>
            </w:r>
          </w:p>
          <w:p w14:paraId="5E36C46D" w14:textId="77777777"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fr-BE"/>
              </w:rPr>
            </w:pPr>
          </w:p>
        </w:tc>
      </w:tr>
      <w:tr w:rsidR="00754BD6" w:rsidRPr="00754BD6" w14:paraId="1B07359A" w14:textId="77777777" w:rsidTr="004F667F">
        <w:trPr>
          <w:gridAfter w:val="2"/>
          <w:wAfter w:w="4538" w:type="dxa"/>
        </w:trPr>
        <w:tc>
          <w:tcPr>
            <w:tcW w:w="4524" w:type="dxa"/>
          </w:tcPr>
          <w:p w14:paraId="7F8B3899" w14:textId="77777777" w:rsidR="00754BD6" w:rsidRPr="00927455" w:rsidRDefault="00754BD6" w:rsidP="009111D9">
            <w:pPr>
              <w:widowControl w:val="0"/>
              <w:tabs>
                <w:tab w:val="left" w:pos="-549"/>
                <w:tab w:val="left" w:pos="0"/>
                <w:tab w:val="left" w:pos="989"/>
                <w:tab w:val="left" w:pos="1273"/>
                <w:tab w:val="left" w:pos="1557"/>
                <w:tab w:val="left" w:pos="1840"/>
                <w:tab w:val="left" w:pos="212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fr-BE"/>
              </w:rPr>
            </w:pPr>
          </w:p>
        </w:tc>
      </w:tr>
      <w:tr w:rsidR="00754BD6" w:rsidRPr="00754BD6" w14:paraId="7EDA6371" w14:textId="77777777" w:rsidTr="00EF4F8D">
        <w:trPr>
          <w:gridAfter w:val="2"/>
          <w:wAfter w:w="4538" w:type="dxa"/>
        </w:trPr>
        <w:tc>
          <w:tcPr>
            <w:tcW w:w="4524" w:type="dxa"/>
          </w:tcPr>
          <w:p w14:paraId="22645EC5" w14:textId="1A681B8F" w:rsidR="00754BD6" w:rsidRPr="00927455" w:rsidRDefault="00754BD6" w:rsidP="003774D1">
            <w:pPr>
              <w:rPr>
                <w:b/>
                <w:lang w:val="fr-FR"/>
              </w:rPr>
            </w:pPr>
            <w:r w:rsidRPr="00927455">
              <w:rPr>
                <w:b/>
                <w:lang w:val="fr-FR"/>
              </w:rPr>
              <w:t xml:space="preserve">Chapitre 3. Modifications de l’annexe 2/1 de l’arrêté royal du 7 juillet 1994 fixant les normes de base en matière de prévention contre l'incendie et </w:t>
            </w:r>
            <w:r w:rsidRPr="00927455">
              <w:rPr>
                <w:b/>
                <w:lang w:val="fr-FR"/>
              </w:rPr>
              <w:lastRenderedPageBreak/>
              <w:t xml:space="preserve">l'explosion, auxquelles les </w:t>
            </w:r>
            <w:r>
              <w:rPr>
                <w:b/>
                <w:lang w:val="fr-FR"/>
              </w:rPr>
              <w:t>bâtiments</w:t>
            </w:r>
            <w:r w:rsidRPr="00927455">
              <w:rPr>
                <w:b/>
                <w:lang w:val="fr-FR"/>
              </w:rPr>
              <w:t xml:space="preserve"> doivent satisfaire</w:t>
            </w:r>
          </w:p>
          <w:p w14:paraId="7F947F08" w14:textId="77777777" w:rsidR="00754BD6" w:rsidRPr="00927455" w:rsidRDefault="00754BD6" w:rsidP="003774D1">
            <w:pPr>
              <w:rPr>
                <w:b/>
                <w:lang w:val="fr-FR"/>
              </w:rPr>
            </w:pPr>
          </w:p>
        </w:tc>
      </w:tr>
      <w:tr w:rsidR="00754BD6" w:rsidRPr="00754BD6" w14:paraId="28C9E9D9" w14:textId="77777777" w:rsidTr="00EF4F8D">
        <w:trPr>
          <w:gridAfter w:val="2"/>
          <w:wAfter w:w="4538" w:type="dxa"/>
        </w:trPr>
        <w:tc>
          <w:tcPr>
            <w:tcW w:w="4524" w:type="dxa"/>
          </w:tcPr>
          <w:p w14:paraId="6623D800" w14:textId="69D168E7" w:rsidR="00754BD6" w:rsidRPr="00927455" w:rsidRDefault="00754BD6" w:rsidP="00496822">
            <w:pPr>
              <w:rPr>
                <w:lang w:val="fr-FR"/>
              </w:rPr>
            </w:pPr>
            <w:r w:rsidRPr="00927455">
              <w:rPr>
                <w:b/>
                <w:lang w:val="fr-FR"/>
              </w:rPr>
              <w:lastRenderedPageBreak/>
              <w:t>Art. 21.</w:t>
            </w:r>
            <w:r w:rsidRPr="00927455">
              <w:rPr>
                <w:lang w:val="fr-FR"/>
              </w:rPr>
              <w:t xml:space="preserve"> Dans le même arrêté royal l’annexe 2/1 est remplacée par l’annexe 1 jointe au présent arrêté.</w:t>
            </w:r>
          </w:p>
          <w:p w14:paraId="08225956" w14:textId="77777777" w:rsidR="00754BD6" w:rsidRPr="00927455" w:rsidRDefault="00754BD6" w:rsidP="003774D1">
            <w:pPr>
              <w:rPr>
                <w:strike/>
                <w:lang w:val="fr-FR"/>
              </w:rPr>
            </w:pPr>
          </w:p>
        </w:tc>
      </w:tr>
      <w:tr w:rsidR="00754BD6" w:rsidRPr="00754BD6" w14:paraId="787AC11F" w14:textId="77777777" w:rsidTr="00EF4F8D">
        <w:trPr>
          <w:gridAfter w:val="2"/>
          <w:wAfter w:w="4538" w:type="dxa"/>
        </w:trPr>
        <w:tc>
          <w:tcPr>
            <w:tcW w:w="4524" w:type="dxa"/>
          </w:tcPr>
          <w:p w14:paraId="20CD2114" w14:textId="77777777" w:rsidR="00754BD6" w:rsidRPr="00927455" w:rsidRDefault="00754BD6" w:rsidP="003774D1">
            <w:pPr>
              <w:rPr>
                <w:i/>
                <w:lang w:val="fr-BE"/>
              </w:rPr>
            </w:pPr>
          </w:p>
        </w:tc>
      </w:tr>
      <w:tr w:rsidR="00754BD6" w:rsidRPr="00754BD6" w14:paraId="5469729A" w14:textId="77777777" w:rsidTr="002E05D6">
        <w:trPr>
          <w:gridAfter w:val="2"/>
          <w:wAfter w:w="4538" w:type="dxa"/>
        </w:trPr>
        <w:tc>
          <w:tcPr>
            <w:tcW w:w="4524" w:type="dxa"/>
          </w:tcPr>
          <w:p w14:paraId="48A78918" w14:textId="47B5CD7F" w:rsidR="00754BD6" w:rsidRPr="00927455" w:rsidRDefault="00754BD6" w:rsidP="003774D1">
            <w:pPr>
              <w:rPr>
                <w:b/>
                <w:lang w:val="fr-FR"/>
              </w:rPr>
            </w:pPr>
            <w:r w:rsidRPr="00927455">
              <w:rPr>
                <w:b/>
                <w:lang w:val="fr-FR"/>
              </w:rPr>
              <w:t xml:space="preserve">Chapitre 4. Modifications de l’annexe 2/1 de l’arrêté royal du 7 juillet 1994 fixant les normes de base en matière de prévention contre l'incendie et l'explosion, auxquelles les </w:t>
            </w:r>
            <w:r>
              <w:rPr>
                <w:b/>
                <w:lang w:val="fr-FR"/>
              </w:rPr>
              <w:t>bâtiments</w:t>
            </w:r>
            <w:r w:rsidRPr="00927455">
              <w:rPr>
                <w:b/>
                <w:lang w:val="fr-FR"/>
              </w:rPr>
              <w:t xml:space="preserve"> doivent satisfaire</w:t>
            </w:r>
          </w:p>
          <w:p w14:paraId="5E433C34" w14:textId="77777777" w:rsidR="00754BD6" w:rsidRPr="00927455" w:rsidRDefault="00754BD6" w:rsidP="003774D1">
            <w:pPr>
              <w:rPr>
                <w:b/>
                <w:lang w:val="fr-FR"/>
              </w:rPr>
            </w:pPr>
          </w:p>
        </w:tc>
      </w:tr>
      <w:tr w:rsidR="00754BD6" w:rsidRPr="00754BD6" w14:paraId="7A68E26F" w14:textId="77777777" w:rsidTr="00075AB6">
        <w:trPr>
          <w:gridAfter w:val="2"/>
          <w:wAfter w:w="4538" w:type="dxa"/>
        </w:trPr>
        <w:tc>
          <w:tcPr>
            <w:tcW w:w="4524" w:type="dxa"/>
          </w:tcPr>
          <w:p w14:paraId="5CE35C78" w14:textId="529DBED5" w:rsidR="00754BD6" w:rsidRPr="00927455" w:rsidRDefault="00754BD6" w:rsidP="00075AB6">
            <w:pPr>
              <w:rPr>
                <w:lang w:val="fr-FR"/>
              </w:rPr>
            </w:pPr>
            <w:r w:rsidRPr="00927455">
              <w:rPr>
                <w:b/>
                <w:lang w:val="fr-FR"/>
              </w:rPr>
              <w:t>Art. 22.</w:t>
            </w:r>
            <w:r w:rsidRPr="00927455">
              <w:rPr>
                <w:lang w:val="fr-FR"/>
              </w:rPr>
              <w:t xml:space="preserve"> Dans le même arrêté royal l’annexe 3/1 est remplacée par l’annexe 2 jointe au présent arrêté.</w:t>
            </w:r>
          </w:p>
          <w:p w14:paraId="195F5C69" w14:textId="77777777" w:rsidR="00754BD6" w:rsidRPr="00927455" w:rsidRDefault="00754BD6" w:rsidP="00075AB6">
            <w:pPr>
              <w:rPr>
                <w:strike/>
                <w:lang w:val="fr-FR"/>
              </w:rPr>
            </w:pPr>
          </w:p>
        </w:tc>
      </w:tr>
      <w:tr w:rsidR="00754BD6" w:rsidRPr="00754BD6" w14:paraId="49FE2007" w14:textId="77777777" w:rsidTr="00075AB6">
        <w:trPr>
          <w:gridAfter w:val="2"/>
          <w:wAfter w:w="4538" w:type="dxa"/>
        </w:trPr>
        <w:tc>
          <w:tcPr>
            <w:tcW w:w="4524" w:type="dxa"/>
          </w:tcPr>
          <w:p w14:paraId="05F603D8" w14:textId="77777777" w:rsidR="00754BD6" w:rsidRPr="00927455" w:rsidRDefault="00754BD6" w:rsidP="00075AB6">
            <w:pPr>
              <w:rPr>
                <w:i/>
                <w:lang w:val="fr-FR"/>
              </w:rPr>
            </w:pPr>
          </w:p>
        </w:tc>
      </w:tr>
      <w:tr w:rsidR="00754BD6" w:rsidRPr="00754BD6" w14:paraId="22AC7B2E" w14:textId="77777777" w:rsidTr="002E05D6">
        <w:trPr>
          <w:gridAfter w:val="2"/>
          <w:wAfter w:w="4538" w:type="dxa"/>
        </w:trPr>
        <w:tc>
          <w:tcPr>
            <w:tcW w:w="4524" w:type="dxa"/>
          </w:tcPr>
          <w:p w14:paraId="671DD032" w14:textId="2BF04739" w:rsidR="00754BD6" w:rsidRPr="00927455" w:rsidRDefault="00754BD6" w:rsidP="003774D1">
            <w:pPr>
              <w:rPr>
                <w:b/>
                <w:lang w:val="fr-FR"/>
              </w:rPr>
            </w:pPr>
            <w:r w:rsidRPr="00927455">
              <w:rPr>
                <w:b/>
                <w:lang w:val="fr-FR"/>
              </w:rPr>
              <w:t xml:space="preserve">Chapitre 4. Modifications de l’annexe 2/1 de l’arrêté royal du 7 juillet 1994 fixant les normes de base en matière de prévention contre l'incendie et l'explosion, auxquelles les </w:t>
            </w:r>
            <w:r>
              <w:rPr>
                <w:b/>
                <w:lang w:val="fr-FR"/>
              </w:rPr>
              <w:t>bâtiments</w:t>
            </w:r>
            <w:r w:rsidRPr="00927455">
              <w:rPr>
                <w:b/>
                <w:lang w:val="fr-FR"/>
              </w:rPr>
              <w:t xml:space="preserve"> doivent satisfaire</w:t>
            </w:r>
          </w:p>
          <w:p w14:paraId="7DC8FD5B" w14:textId="77777777" w:rsidR="00754BD6" w:rsidRPr="00927455" w:rsidRDefault="00754BD6" w:rsidP="003774D1">
            <w:pPr>
              <w:rPr>
                <w:b/>
                <w:lang w:val="fr-FR"/>
              </w:rPr>
            </w:pPr>
          </w:p>
        </w:tc>
      </w:tr>
      <w:tr w:rsidR="00754BD6" w:rsidRPr="00754BD6" w14:paraId="123243BC" w14:textId="77777777" w:rsidTr="00075AB6">
        <w:trPr>
          <w:gridAfter w:val="2"/>
          <w:wAfter w:w="4538" w:type="dxa"/>
        </w:trPr>
        <w:tc>
          <w:tcPr>
            <w:tcW w:w="4524" w:type="dxa"/>
          </w:tcPr>
          <w:p w14:paraId="0EA84C92" w14:textId="5DDD89EC" w:rsidR="00754BD6" w:rsidRPr="00927455" w:rsidRDefault="00754BD6" w:rsidP="00075AB6">
            <w:pPr>
              <w:rPr>
                <w:lang w:val="fr-FR"/>
              </w:rPr>
            </w:pPr>
            <w:r w:rsidRPr="00927455">
              <w:rPr>
                <w:b/>
                <w:lang w:val="fr-FR"/>
              </w:rPr>
              <w:t>Art. 23.</w:t>
            </w:r>
            <w:r w:rsidRPr="00927455">
              <w:rPr>
                <w:lang w:val="fr-FR"/>
              </w:rPr>
              <w:t xml:space="preserve"> Dans le même arrêté royal l’annexe 4/1 est remplacée par l’annexe 3 jointe au présent arrêté.</w:t>
            </w:r>
          </w:p>
          <w:p w14:paraId="698E4677" w14:textId="77777777" w:rsidR="00754BD6" w:rsidRPr="00927455" w:rsidRDefault="00754BD6" w:rsidP="00075AB6">
            <w:pPr>
              <w:rPr>
                <w:strike/>
                <w:lang w:val="fr-FR"/>
              </w:rPr>
            </w:pPr>
          </w:p>
        </w:tc>
      </w:tr>
      <w:tr w:rsidR="00754BD6" w:rsidRPr="00754BD6" w14:paraId="4B858594" w14:textId="77777777" w:rsidTr="004F667F">
        <w:trPr>
          <w:gridAfter w:val="2"/>
          <w:wAfter w:w="4538" w:type="dxa"/>
        </w:trPr>
        <w:tc>
          <w:tcPr>
            <w:tcW w:w="4524" w:type="dxa"/>
          </w:tcPr>
          <w:p w14:paraId="6EFF1996" w14:textId="77777777" w:rsidR="00754BD6" w:rsidRPr="00927455" w:rsidRDefault="00754BD6" w:rsidP="003774D1">
            <w:pPr>
              <w:rPr>
                <w:b/>
                <w:strike/>
                <w:lang w:val="fr-BE"/>
              </w:rPr>
            </w:pPr>
          </w:p>
        </w:tc>
      </w:tr>
      <w:tr w:rsidR="00754BD6" w:rsidRPr="00754BD6" w14:paraId="0C976C6D" w14:textId="77777777" w:rsidTr="002E05D6">
        <w:trPr>
          <w:gridAfter w:val="2"/>
          <w:wAfter w:w="4538" w:type="dxa"/>
        </w:trPr>
        <w:tc>
          <w:tcPr>
            <w:tcW w:w="4524" w:type="dxa"/>
          </w:tcPr>
          <w:p w14:paraId="3283CEB4" w14:textId="7BB800B1" w:rsidR="00754BD6" w:rsidRPr="00927455" w:rsidRDefault="00754BD6" w:rsidP="003774D1">
            <w:pPr>
              <w:rPr>
                <w:b/>
                <w:lang w:val="fr-FR"/>
              </w:rPr>
            </w:pPr>
            <w:r w:rsidRPr="00927455">
              <w:rPr>
                <w:b/>
                <w:lang w:val="fr-FR"/>
              </w:rPr>
              <w:t xml:space="preserve">Chapitre 4. Modifications de l’annexe 2/1 de l’arrêté royal du 7 juillet 1994 fixant les normes de base en matière de prévention contre l'incendie et l'explosion, auxquelles les </w:t>
            </w:r>
            <w:r>
              <w:rPr>
                <w:b/>
                <w:lang w:val="fr-FR"/>
              </w:rPr>
              <w:t>bâtiments</w:t>
            </w:r>
            <w:r w:rsidRPr="00927455">
              <w:rPr>
                <w:b/>
                <w:lang w:val="fr-FR"/>
              </w:rPr>
              <w:t xml:space="preserve"> doivent satisfaire</w:t>
            </w:r>
          </w:p>
          <w:p w14:paraId="059DAA35" w14:textId="77777777" w:rsidR="00754BD6" w:rsidRPr="00927455" w:rsidRDefault="00754BD6" w:rsidP="003774D1">
            <w:pPr>
              <w:rPr>
                <w:b/>
                <w:lang w:val="fr-FR"/>
              </w:rPr>
            </w:pPr>
          </w:p>
        </w:tc>
      </w:tr>
      <w:tr w:rsidR="00754BD6" w:rsidRPr="00754BD6" w14:paraId="016D4105" w14:textId="77777777" w:rsidTr="007D77F0">
        <w:trPr>
          <w:gridAfter w:val="2"/>
          <w:wAfter w:w="4538" w:type="dxa"/>
        </w:trPr>
        <w:tc>
          <w:tcPr>
            <w:tcW w:w="4524" w:type="dxa"/>
          </w:tcPr>
          <w:p w14:paraId="482D24AA" w14:textId="204772A4" w:rsidR="00754BD6" w:rsidRPr="00927455" w:rsidRDefault="00754BD6" w:rsidP="007D77F0">
            <w:pPr>
              <w:rPr>
                <w:lang w:val="fr-BE"/>
              </w:rPr>
            </w:pPr>
            <w:r w:rsidRPr="00927455">
              <w:rPr>
                <w:b/>
                <w:lang w:val="fr-BE"/>
              </w:rPr>
              <w:t>Art. 24.</w:t>
            </w:r>
            <w:r w:rsidRPr="00927455">
              <w:rPr>
                <w:lang w:val="fr-BE"/>
              </w:rPr>
              <w:t xml:space="preserve"> Dans le point 3, tableau I, de l’annexe 5/1 </w:t>
            </w:r>
            <w:r w:rsidRPr="00927455">
              <w:rPr>
                <w:lang w:val="fr-FR"/>
              </w:rPr>
              <w:t>du même arrêté royal</w:t>
            </w:r>
            <w:r w:rsidRPr="00927455">
              <w:rPr>
                <w:lang w:val="fr-BE"/>
              </w:rPr>
              <w:t>, les modifications suivantes sont apportées :</w:t>
            </w:r>
          </w:p>
          <w:p w14:paraId="06E45A6A" w14:textId="77777777" w:rsidR="00754BD6" w:rsidRPr="00927455" w:rsidRDefault="00754BD6" w:rsidP="007D77F0">
            <w:pPr>
              <w:rPr>
                <w:lang w:val="fr-BE"/>
              </w:rPr>
            </w:pPr>
          </w:p>
        </w:tc>
      </w:tr>
      <w:tr w:rsidR="00754BD6" w:rsidRPr="00754BD6" w14:paraId="5B0BDF0C" w14:textId="77777777" w:rsidTr="007D77F0">
        <w:trPr>
          <w:gridAfter w:val="2"/>
          <w:wAfter w:w="4538" w:type="dxa"/>
        </w:trPr>
        <w:tc>
          <w:tcPr>
            <w:tcW w:w="4524" w:type="dxa"/>
          </w:tcPr>
          <w:p w14:paraId="749BA445" w14:textId="621C389B" w:rsidR="00754BD6" w:rsidRPr="00927455" w:rsidRDefault="00754BD6" w:rsidP="0048054A">
            <w:pPr>
              <w:rPr>
                <w:rFonts w:cs="Arial"/>
                <w:sz w:val="21"/>
                <w:szCs w:val="21"/>
                <w:shd w:val="clear" w:color="auto" w:fill="FFFFFF"/>
                <w:lang w:val="fr-BE"/>
              </w:rPr>
            </w:pPr>
            <w:r w:rsidRPr="00927455">
              <w:rPr>
                <w:lang w:val="fr-BE"/>
              </w:rPr>
              <w:t>1° dans la ligne « </w:t>
            </w:r>
            <w:r w:rsidRPr="00927455">
              <w:rPr>
                <w:rFonts w:cs="Arial"/>
                <w:sz w:val="21"/>
                <w:szCs w:val="21"/>
                <w:shd w:val="clear" w:color="auto" w:fill="FFFFFF"/>
                <w:lang w:val="fr-BE"/>
              </w:rPr>
              <w:t>Sols » de la ligne « Locaux techniques, parkings, salles des machines, gaines techniques », les formules « </w:t>
            </w:r>
            <w:r w:rsidRPr="00927455">
              <w:rPr>
                <w:sz w:val="18"/>
                <w:szCs w:val="18"/>
                <w:lang w:val="fr-BE"/>
              </w:rPr>
              <w:t>A2</w:t>
            </w:r>
            <w:r w:rsidRPr="00927455">
              <w:rPr>
                <w:sz w:val="18"/>
                <w:szCs w:val="18"/>
                <w:vertAlign w:val="subscript"/>
                <w:lang w:val="fr-BE"/>
              </w:rPr>
              <w:t>Fl</w:t>
            </w:r>
            <w:r w:rsidRPr="00927455">
              <w:rPr>
                <w:sz w:val="18"/>
                <w:szCs w:val="18"/>
                <w:lang w:val="fr-BE"/>
              </w:rPr>
              <w:t>-s2</w:t>
            </w:r>
            <w:r w:rsidRPr="00927455">
              <w:rPr>
                <w:rFonts w:cs="Arial"/>
                <w:sz w:val="21"/>
                <w:szCs w:val="21"/>
                <w:shd w:val="clear" w:color="auto" w:fill="FFFFFF"/>
                <w:lang w:val="fr-BE"/>
              </w:rPr>
              <w:t> » dans les colonnes B.E., B.M. et B.B. sont à chaque fois complétées par « </w:t>
            </w:r>
            <w:r w:rsidRPr="00927455">
              <w:rPr>
                <w:sz w:val="18"/>
                <w:szCs w:val="18"/>
                <w:lang w:val="fr-BE"/>
              </w:rPr>
              <w:t>B</w:t>
            </w:r>
            <w:r w:rsidRPr="00927455">
              <w:rPr>
                <w:sz w:val="18"/>
                <w:szCs w:val="18"/>
                <w:vertAlign w:val="subscript"/>
                <w:lang w:val="fr-BE"/>
              </w:rPr>
              <w:t>Fl</w:t>
            </w:r>
            <w:r w:rsidRPr="00927455">
              <w:rPr>
                <w:sz w:val="18"/>
                <w:szCs w:val="18"/>
                <w:lang w:val="fr-BE"/>
              </w:rPr>
              <w:t>-s2**** »</w:t>
            </w:r>
            <w:r w:rsidRPr="00927455">
              <w:rPr>
                <w:rFonts w:cs="Arial"/>
                <w:sz w:val="21"/>
                <w:szCs w:val="21"/>
                <w:shd w:val="clear" w:color="auto" w:fill="FFFFFF"/>
                <w:lang w:val="fr-BE"/>
              </w:rPr>
              <w:t xml:space="preserve"> ;</w:t>
            </w:r>
          </w:p>
          <w:p w14:paraId="3C927E81" w14:textId="77777777" w:rsidR="00754BD6" w:rsidRPr="00927455" w:rsidRDefault="00754BD6" w:rsidP="00291C0B">
            <w:pPr>
              <w:rPr>
                <w:lang w:val="fr-BE"/>
              </w:rPr>
            </w:pPr>
          </w:p>
        </w:tc>
      </w:tr>
      <w:tr w:rsidR="00754BD6" w:rsidRPr="00754BD6" w14:paraId="73BC9564" w14:textId="77777777" w:rsidTr="007D77F0">
        <w:trPr>
          <w:gridAfter w:val="2"/>
          <w:wAfter w:w="4538" w:type="dxa"/>
        </w:trPr>
        <w:tc>
          <w:tcPr>
            <w:tcW w:w="4524" w:type="dxa"/>
          </w:tcPr>
          <w:p w14:paraId="65E7412F" w14:textId="3C5D7DBB" w:rsidR="00754BD6" w:rsidRPr="00927455" w:rsidRDefault="00754BD6" w:rsidP="004A247E">
            <w:pPr>
              <w:rPr>
                <w:lang w:val="fr-BE"/>
              </w:rPr>
            </w:pPr>
            <w:r w:rsidRPr="00927455">
              <w:rPr>
                <w:lang w:val="fr-BE"/>
              </w:rPr>
              <w:t xml:space="preserve">2° dans la première colonne, les mots « Locaux techniques, parkings, salles des machines, gaines techniques » sont complétés par les mots </w:t>
            </w:r>
            <w:r w:rsidRPr="00927455">
              <w:rPr>
                <w:rFonts w:cs="Arial"/>
                <w:sz w:val="21"/>
                <w:szCs w:val="21"/>
                <w:shd w:val="clear" w:color="auto" w:fill="FFFFFF"/>
                <w:lang w:val="fr-BE"/>
              </w:rPr>
              <w:t xml:space="preserve">« , gaines d’ascenseurs ou de monte-charges » et, dans le texte néerlandais, le mot </w:t>
            </w:r>
            <w:r w:rsidRPr="00927455">
              <w:rPr>
                <w:lang w:val="fr-BE"/>
              </w:rPr>
              <w:lastRenderedPageBreak/>
              <w:t>« </w:t>
            </w:r>
            <w:proofErr w:type="spellStart"/>
            <w:r w:rsidRPr="00927455">
              <w:rPr>
                <w:lang w:val="fr-BE"/>
              </w:rPr>
              <w:t>parkeerruimten</w:t>
            </w:r>
            <w:proofErr w:type="spellEnd"/>
            <w:r w:rsidRPr="00927455">
              <w:rPr>
                <w:lang w:val="fr-BE"/>
              </w:rPr>
              <w:t> » est remplacé par le mot « parkings » ;</w:t>
            </w:r>
          </w:p>
        </w:tc>
      </w:tr>
      <w:tr w:rsidR="00754BD6" w:rsidRPr="00754BD6" w14:paraId="27B0AEFF" w14:textId="77777777" w:rsidTr="007D77F0">
        <w:trPr>
          <w:gridAfter w:val="2"/>
          <w:wAfter w:w="4538" w:type="dxa"/>
        </w:trPr>
        <w:tc>
          <w:tcPr>
            <w:tcW w:w="4524" w:type="dxa"/>
          </w:tcPr>
          <w:p w14:paraId="37C8A6B8" w14:textId="087CD07C" w:rsidR="00754BD6" w:rsidRPr="00927455" w:rsidRDefault="00754BD6" w:rsidP="00291C0B">
            <w:pPr>
              <w:rPr>
                <w:lang w:val="fr-BE"/>
              </w:rPr>
            </w:pPr>
            <w:r w:rsidRPr="00927455">
              <w:rPr>
                <w:lang w:val="fr-BE"/>
              </w:rPr>
              <w:lastRenderedPageBreak/>
              <w:t xml:space="preserve">3° dans la dernière ligne, les notes de bas de page sont complétées par la note de bas de page suivante : </w:t>
            </w:r>
            <w:r w:rsidRPr="00927455">
              <w:rPr>
                <w:rFonts w:cs="Arial"/>
                <w:sz w:val="21"/>
                <w:szCs w:val="21"/>
                <w:shd w:val="clear" w:color="auto" w:fill="FFFFFF"/>
                <w:lang w:val="fr-BE"/>
              </w:rPr>
              <w:t xml:space="preserve">« **** pour parkings ». </w:t>
            </w:r>
          </w:p>
        </w:tc>
      </w:tr>
      <w:tr w:rsidR="00754BD6" w:rsidRPr="00754BD6" w14:paraId="18B2879D" w14:textId="77777777" w:rsidTr="007262A6">
        <w:trPr>
          <w:gridAfter w:val="2"/>
          <w:wAfter w:w="4538" w:type="dxa"/>
        </w:trPr>
        <w:tc>
          <w:tcPr>
            <w:tcW w:w="4524" w:type="dxa"/>
          </w:tcPr>
          <w:p w14:paraId="3E35B963" w14:textId="2D7B6A59" w:rsidR="00754BD6" w:rsidRPr="00927455" w:rsidRDefault="00754BD6" w:rsidP="007262A6">
            <w:pPr>
              <w:rPr>
                <w:lang w:val="fr-FR"/>
              </w:rPr>
            </w:pPr>
            <w:r w:rsidRPr="00927455">
              <w:rPr>
                <w:b/>
                <w:lang w:val="fr-BE"/>
              </w:rPr>
              <w:t>Art. 25.</w:t>
            </w:r>
            <w:r w:rsidRPr="00927455">
              <w:rPr>
                <w:lang w:val="fr-BE"/>
              </w:rPr>
              <w:t xml:space="preserve"> Dans le point 4.2 de l’annexe 5/1 du même arrêté royal, dans le texte français, le mot « généralisée » est rem</w:t>
            </w:r>
            <w:r w:rsidRPr="00927455">
              <w:rPr>
                <w:lang w:val="fr-FR"/>
              </w:rPr>
              <w:t xml:space="preserve">placé par le mot « </w:t>
            </w:r>
            <w:r w:rsidRPr="00927455">
              <w:rPr>
                <w:lang w:val="fr-BE"/>
              </w:rPr>
              <w:t>totale</w:t>
            </w:r>
            <w:r w:rsidRPr="00927455">
              <w:rPr>
                <w:lang w:val="fr-FR"/>
              </w:rPr>
              <w:t xml:space="preserve"> ».</w:t>
            </w:r>
          </w:p>
          <w:p w14:paraId="2E15E302" w14:textId="77777777" w:rsidR="00754BD6" w:rsidRPr="00927455" w:rsidRDefault="00754BD6" w:rsidP="007262A6">
            <w:pPr>
              <w:rPr>
                <w:lang w:val="fr-FR"/>
              </w:rPr>
            </w:pPr>
          </w:p>
        </w:tc>
      </w:tr>
      <w:tr w:rsidR="00754BD6" w:rsidRPr="00754BD6" w14:paraId="72F1BCA7" w14:textId="77777777" w:rsidTr="004F667F">
        <w:trPr>
          <w:gridAfter w:val="2"/>
          <w:wAfter w:w="4538" w:type="dxa"/>
        </w:trPr>
        <w:tc>
          <w:tcPr>
            <w:tcW w:w="4524" w:type="dxa"/>
          </w:tcPr>
          <w:p w14:paraId="40EECC06" w14:textId="01A868C5" w:rsidR="00754BD6" w:rsidRPr="00927455" w:rsidRDefault="00754BD6" w:rsidP="003774D1">
            <w:pPr>
              <w:rPr>
                <w:lang w:val="fr-BE"/>
              </w:rPr>
            </w:pPr>
            <w:r w:rsidRPr="00927455">
              <w:rPr>
                <w:b/>
                <w:lang w:val="fr-BE"/>
              </w:rPr>
              <w:t>Art. 26.</w:t>
            </w:r>
            <w:r w:rsidRPr="00927455">
              <w:rPr>
                <w:lang w:val="fr-BE"/>
              </w:rPr>
              <w:t xml:space="preserve"> Le point 6 de l’annexe 5/1 </w:t>
            </w:r>
            <w:r w:rsidRPr="00927455">
              <w:rPr>
                <w:lang w:val="fr-FR"/>
              </w:rPr>
              <w:t>du même arrêté royal</w:t>
            </w:r>
            <w:r w:rsidRPr="00927455">
              <w:rPr>
                <w:lang w:val="fr-BE"/>
              </w:rPr>
              <w:t>, est remplacé par un point 6, comportant les points 6.1 à 6.4, rédigé comme suit :</w:t>
            </w:r>
          </w:p>
          <w:p w14:paraId="2415C9F7" w14:textId="77777777" w:rsidR="00754BD6" w:rsidRPr="00927455" w:rsidRDefault="00754BD6" w:rsidP="003774D1">
            <w:pPr>
              <w:rPr>
                <w:lang w:val="fr-BE"/>
              </w:rPr>
            </w:pPr>
          </w:p>
        </w:tc>
      </w:tr>
      <w:tr w:rsidR="00754BD6" w:rsidRPr="00927455" w14:paraId="60C9AF82" w14:textId="77777777" w:rsidTr="004F667F">
        <w:trPr>
          <w:gridAfter w:val="2"/>
          <w:wAfter w:w="4538" w:type="dxa"/>
        </w:trPr>
        <w:tc>
          <w:tcPr>
            <w:tcW w:w="4524" w:type="dxa"/>
          </w:tcPr>
          <w:p w14:paraId="1F6831DB" w14:textId="77777777" w:rsidR="00754BD6" w:rsidRPr="00927455" w:rsidRDefault="00754BD6" w:rsidP="003774D1">
            <w:pPr>
              <w:rPr>
                <w:b/>
              </w:rPr>
            </w:pPr>
            <w:r w:rsidRPr="00927455">
              <w:rPr>
                <w:b/>
              </w:rPr>
              <w:t>6 FACADES</w:t>
            </w:r>
          </w:p>
          <w:p w14:paraId="7B4D552E" w14:textId="77777777" w:rsidR="00754BD6" w:rsidRPr="00927455" w:rsidRDefault="00754BD6" w:rsidP="003774D1">
            <w:pPr>
              <w:rPr>
                <w:b/>
              </w:rPr>
            </w:pPr>
          </w:p>
        </w:tc>
      </w:tr>
      <w:tr w:rsidR="00754BD6" w:rsidRPr="00927455" w14:paraId="051BE19E" w14:textId="77777777" w:rsidTr="004F667F">
        <w:trPr>
          <w:gridAfter w:val="2"/>
          <w:wAfter w:w="4538" w:type="dxa"/>
        </w:trPr>
        <w:tc>
          <w:tcPr>
            <w:tcW w:w="4524" w:type="dxa"/>
          </w:tcPr>
          <w:p w14:paraId="1A793C8C" w14:textId="77777777" w:rsidR="00754BD6" w:rsidRPr="00927455" w:rsidRDefault="00754BD6" w:rsidP="003774D1">
            <w:pPr>
              <w:rPr>
                <w:b/>
              </w:rPr>
            </w:pPr>
            <w:r w:rsidRPr="00927455">
              <w:rPr>
                <w:b/>
              </w:rPr>
              <w:t xml:space="preserve">6.1 Façades du </w:t>
            </w:r>
            <w:proofErr w:type="spellStart"/>
            <w:r w:rsidRPr="00927455">
              <w:rPr>
                <w:b/>
              </w:rPr>
              <w:t>bâtiment</w:t>
            </w:r>
            <w:proofErr w:type="spellEnd"/>
          </w:p>
          <w:p w14:paraId="38147D68" w14:textId="77777777" w:rsidR="00754BD6" w:rsidRPr="00927455" w:rsidRDefault="00754BD6" w:rsidP="003774D1">
            <w:pPr>
              <w:rPr>
                <w:b/>
              </w:rPr>
            </w:pPr>
          </w:p>
        </w:tc>
      </w:tr>
      <w:tr w:rsidR="00754BD6" w:rsidRPr="00754BD6" w14:paraId="1639A0FB" w14:textId="77777777" w:rsidTr="004F667F">
        <w:trPr>
          <w:gridAfter w:val="2"/>
          <w:wAfter w:w="4538" w:type="dxa"/>
        </w:trPr>
        <w:tc>
          <w:tcPr>
            <w:tcW w:w="4524" w:type="dxa"/>
          </w:tcPr>
          <w:p w14:paraId="3BC7470A" w14:textId="77777777" w:rsidR="00754BD6" w:rsidRPr="00927455" w:rsidRDefault="00754BD6" w:rsidP="00E21611">
            <w:pPr>
              <w:rPr>
                <w:lang w:val="fr-BE"/>
              </w:rPr>
            </w:pPr>
            <w:r w:rsidRPr="00927455">
              <w:rPr>
                <w:lang w:val="fr-BE"/>
              </w:rPr>
              <w:t>6.1.1 Les exigences en matière de réaction au feu applicables aux produits utilisés pour les revêtements de façades sont indiquées dans le tableau V.</w:t>
            </w:r>
          </w:p>
          <w:p w14:paraId="66FD15C9" w14:textId="77777777" w:rsidR="00754BD6" w:rsidRPr="00927455" w:rsidRDefault="00754BD6" w:rsidP="00E21611">
            <w:pPr>
              <w:rPr>
                <w:lang w:val="fr-BE"/>
              </w:rPr>
            </w:pPr>
          </w:p>
        </w:tc>
      </w:tr>
      <w:tr w:rsidR="00754BD6" w:rsidRPr="00754BD6" w14:paraId="1F26E02A" w14:textId="77777777" w:rsidTr="004F667F">
        <w:trPr>
          <w:gridAfter w:val="2"/>
          <w:wAfter w:w="4538" w:type="dxa"/>
        </w:trPr>
        <w:tc>
          <w:tcPr>
            <w:tcW w:w="4524" w:type="dxa"/>
          </w:tcPr>
          <w:p w14:paraId="52EB1238" w14:textId="77777777" w:rsidR="00754BD6" w:rsidRPr="00927455" w:rsidRDefault="00754BD6" w:rsidP="003774D1">
            <w:pPr>
              <w:rPr>
                <w:lang w:val="fr-BE"/>
              </w:rPr>
            </w:pPr>
          </w:p>
        </w:tc>
      </w:tr>
      <w:tr w:rsidR="008A5C17" w:rsidRPr="00927455" w14:paraId="25588978" w14:textId="77777777" w:rsidTr="004F667F">
        <w:tc>
          <w:tcPr>
            <w:tcW w:w="4538" w:type="dxa"/>
            <w:gridSpan w:val="2"/>
          </w:tcPr>
          <w:p w14:paraId="6BBC397B" w14:textId="77777777" w:rsidR="007D77F0" w:rsidRPr="00927455" w:rsidRDefault="007D77F0" w:rsidP="003774D1"/>
          <w:p w14:paraId="2EF6131A" w14:textId="77777777" w:rsidR="00E21611" w:rsidRPr="00927455" w:rsidRDefault="00E21611" w:rsidP="003774D1"/>
        </w:tc>
        <w:tc>
          <w:tcPr>
            <w:tcW w:w="4524" w:type="dxa"/>
          </w:tcPr>
          <w:p w14:paraId="3147AA2F" w14:textId="77777777" w:rsidR="007D77F0" w:rsidRPr="00927455" w:rsidRDefault="007D77F0" w:rsidP="003774D1"/>
        </w:tc>
      </w:tr>
    </w:tbl>
    <w:tbl>
      <w:tblPr>
        <w:tblStyle w:val="Tabelraster4"/>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853"/>
      </w:tblGrid>
      <w:tr w:rsidR="008A5C17" w:rsidRPr="00754BD6" w14:paraId="0559C8AE" w14:textId="77777777" w:rsidTr="00E21611">
        <w:tc>
          <w:tcPr>
            <w:tcW w:w="9853" w:type="dxa"/>
            <w:tcMar>
              <w:right w:w="0" w:type="dxa"/>
            </w:tcMar>
          </w:tcPr>
          <w:p w14:paraId="509E8381" w14:textId="77777777" w:rsidR="00E21611" w:rsidRPr="00927455" w:rsidRDefault="00E21611" w:rsidP="00F93AB4">
            <w:pPr>
              <w:jc w:val="both"/>
              <w:rPr>
                <w:sz w:val="18"/>
                <w:szCs w:val="18"/>
                <w:lang w:val="fr-BE"/>
              </w:rPr>
            </w:pPr>
            <w:r w:rsidRPr="00927455">
              <w:rPr>
                <w:sz w:val="18"/>
                <w:szCs w:val="18"/>
                <w:lang w:val="fr-BE"/>
              </w:rPr>
              <w:t>TABLEAU V : FAÇADES</w:t>
            </w:r>
          </w:p>
          <w:p w14:paraId="6C27CD91" w14:textId="77777777" w:rsidR="00E21611" w:rsidRPr="00927455" w:rsidRDefault="00E21611" w:rsidP="00F93AB4">
            <w:pPr>
              <w:jc w:val="both"/>
              <w:rPr>
                <w:sz w:val="18"/>
                <w:szCs w:val="18"/>
                <w:lang w:val="fr-B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90"/>
              <w:gridCol w:w="2155"/>
              <w:gridCol w:w="2324"/>
              <w:gridCol w:w="1191"/>
              <w:gridCol w:w="1191"/>
              <w:gridCol w:w="794"/>
              <w:gridCol w:w="794"/>
            </w:tblGrid>
            <w:tr w:rsidR="008A5C17" w:rsidRPr="00927455" w14:paraId="7CF3EE05" w14:textId="77777777" w:rsidTr="00F93AB4">
              <w:tc>
                <w:tcPr>
                  <w:tcW w:w="5669" w:type="dxa"/>
                  <w:gridSpan w:val="3"/>
                  <w:vMerge w:val="restart"/>
                  <w:tcBorders>
                    <w:top w:val="single" w:sz="4" w:space="0" w:color="auto"/>
                  </w:tcBorders>
                </w:tcPr>
                <w:p w14:paraId="4E062E7C" w14:textId="77777777" w:rsidR="00E21611" w:rsidRPr="00927455" w:rsidRDefault="00E21611" w:rsidP="00F93AB4">
                  <w:pPr>
                    <w:rPr>
                      <w:b/>
                      <w:sz w:val="18"/>
                      <w:szCs w:val="18"/>
                      <w:lang w:val="fr-BE"/>
                    </w:rPr>
                  </w:pPr>
                  <w:r w:rsidRPr="00927455">
                    <w:rPr>
                      <w:b/>
                      <w:sz w:val="18"/>
                      <w:szCs w:val="18"/>
                      <w:lang w:val="fr-BE"/>
                    </w:rPr>
                    <w:tab/>
                    <w:t>type</w:t>
                  </w:r>
                </w:p>
              </w:tc>
              <w:tc>
                <w:tcPr>
                  <w:tcW w:w="1191" w:type="dxa"/>
                  <w:vMerge w:val="restart"/>
                  <w:tcBorders>
                    <w:top w:val="single" w:sz="4" w:space="0" w:color="auto"/>
                  </w:tcBorders>
                </w:tcPr>
                <w:p w14:paraId="5E3219CC" w14:textId="77777777" w:rsidR="00E21611" w:rsidRPr="00927455" w:rsidRDefault="00E21611" w:rsidP="00F93AB4">
                  <w:pPr>
                    <w:jc w:val="center"/>
                    <w:rPr>
                      <w:b/>
                      <w:sz w:val="18"/>
                      <w:szCs w:val="18"/>
                      <w:lang w:val="fr-BE"/>
                    </w:rPr>
                  </w:pPr>
                  <w:r w:rsidRPr="00927455">
                    <w:rPr>
                      <w:b/>
                      <w:sz w:val="18"/>
                      <w:szCs w:val="18"/>
                      <w:lang w:val="fr-BE"/>
                    </w:rPr>
                    <w:t>B.E.</w:t>
                  </w:r>
                </w:p>
              </w:tc>
              <w:tc>
                <w:tcPr>
                  <w:tcW w:w="1191" w:type="dxa"/>
                  <w:vMerge w:val="restart"/>
                  <w:tcBorders>
                    <w:top w:val="single" w:sz="4" w:space="0" w:color="auto"/>
                  </w:tcBorders>
                </w:tcPr>
                <w:p w14:paraId="43147D47" w14:textId="77777777" w:rsidR="00E21611" w:rsidRPr="00927455" w:rsidRDefault="00E21611" w:rsidP="00F93AB4">
                  <w:pPr>
                    <w:jc w:val="center"/>
                    <w:rPr>
                      <w:b/>
                      <w:sz w:val="18"/>
                      <w:szCs w:val="18"/>
                      <w:lang w:val="fr-BE"/>
                    </w:rPr>
                  </w:pPr>
                  <w:r w:rsidRPr="00927455">
                    <w:rPr>
                      <w:b/>
                      <w:sz w:val="18"/>
                      <w:szCs w:val="18"/>
                      <w:lang w:val="fr-BE"/>
                    </w:rPr>
                    <w:t>B.M.</w:t>
                  </w:r>
                </w:p>
              </w:tc>
              <w:tc>
                <w:tcPr>
                  <w:tcW w:w="1588" w:type="dxa"/>
                  <w:gridSpan w:val="2"/>
                </w:tcPr>
                <w:p w14:paraId="0416E24A" w14:textId="77777777" w:rsidR="00E21611" w:rsidRPr="00927455" w:rsidRDefault="00E21611" w:rsidP="00F93AB4">
                  <w:pPr>
                    <w:jc w:val="center"/>
                    <w:rPr>
                      <w:b/>
                      <w:sz w:val="18"/>
                      <w:szCs w:val="18"/>
                      <w:lang w:val="fr-BE"/>
                    </w:rPr>
                  </w:pPr>
                  <w:r w:rsidRPr="00927455">
                    <w:rPr>
                      <w:b/>
                      <w:sz w:val="18"/>
                      <w:szCs w:val="18"/>
                      <w:lang w:val="fr-BE"/>
                    </w:rPr>
                    <w:t>B.B.</w:t>
                  </w:r>
                </w:p>
              </w:tc>
            </w:tr>
            <w:tr w:rsidR="008A5C17" w:rsidRPr="00927455" w14:paraId="0910D788" w14:textId="77777777" w:rsidTr="00F93AB4">
              <w:tc>
                <w:tcPr>
                  <w:tcW w:w="5669" w:type="dxa"/>
                  <w:gridSpan w:val="3"/>
                  <w:vMerge/>
                  <w:vAlign w:val="center"/>
                </w:tcPr>
                <w:p w14:paraId="34FF3E69" w14:textId="77777777" w:rsidR="00E21611" w:rsidRPr="00927455" w:rsidRDefault="00E21611" w:rsidP="00F93AB4">
                  <w:pPr>
                    <w:rPr>
                      <w:b/>
                      <w:sz w:val="18"/>
                      <w:szCs w:val="18"/>
                      <w:lang w:val="fr-BE"/>
                    </w:rPr>
                  </w:pPr>
                </w:p>
              </w:tc>
              <w:tc>
                <w:tcPr>
                  <w:tcW w:w="1191" w:type="dxa"/>
                  <w:vMerge/>
                </w:tcPr>
                <w:p w14:paraId="3F0A2114" w14:textId="77777777" w:rsidR="00E21611" w:rsidRPr="00927455" w:rsidRDefault="00E21611" w:rsidP="00F93AB4">
                  <w:pPr>
                    <w:jc w:val="center"/>
                    <w:rPr>
                      <w:b/>
                      <w:sz w:val="18"/>
                      <w:szCs w:val="18"/>
                      <w:lang w:val="fr-BE"/>
                    </w:rPr>
                  </w:pPr>
                </w:p>
              </w:tc>
              <w:tc>
                <w:tcPr>
                  <w:tcW w:w="1191" w:type="dxa"/>
                  <w:vMerge/>
                </w:tcPr>
                <w:p w14:paraId="02A3DB6E" w14:textId="77777777" w:rsidR="00E21611" w:rsidRPr="00927455" w:rsidRDefault="00E21611" w:rsidP="00F93AB4">
                  <w:pPr>
                    <w:jc w:val="center"/>
                    <w:rPr>
                      <w:b/>
                      <w:sz w:val="18"/>
                      <w:szCs w:val="18"/>
                      <w:lang w:val="fr-BE"/>
                    </w:rPr>
                  </w:pPr>
                </w:p>
              </w:tc>
              <w:tc>
                <w:tcPr>
                  <w:tcW w:w="794" w:type="dxa"/>
                </w:tcPr>
                <w:p w14:paraId="6325B24C" w14:textId="77777777" w:rsidR="00E21611" w:rsidRPr="00927455" w:rsidRDefault="00E21611" w:rsidP="00F93AB4">
                  <w:pPr>
                    <w:jc w:val="center"/>
                    <w:rPr>
                      <w:b/>
                      <w:sz w:val="18"/>
                      <w:szCs w:val="18"/>
                      <w:lang w:val="fr-BE"/>
                    </w:rPr>
                  </w:pPr>
                  <w:r w:rsidRPr="00927455">
                    <w:rPr>
                      <w:b/>
                      <w:sz w:val="18"/>
                      <w:szCs w:val="18"/>
                      <w:lang w:val="fr-BE"/>
                    </w:rPr>
                    <w:t>1</w:t>
                  </w:r>
                </w:p>
              </w:tc>
              <w:tc>
                <w:tcPr>
                  <w:tcW w:w="794" w:type="dxa"/>
                </w:tcPr>
                <w:p w14:paraId="3835F550" w14:textId="77777777" w:rsidR="00E21611" w:rsidRPr="00927455" w:rsidRDefault="00E21611" w:rsidP="00F93AB4">
                  <w:pPr>
                    <w:jc w:val="center"/>
                    <w:rPr>
                      <w:b/>
                      <w:sz w:val="18"/>
                      <w:szCs w:val="18"/>
                      <w:lang w:val="fr-BE"/>
                    </w:rPr>
                  </w:pPr>
                  <w:r w:rsidRPr="00927455">
                    <w:rPr>
                      <w:b/>
                      <w:sz w:val="18"/>
                      <w:szCs w:val="18"/>
                      <w:lang w:val="fr-BE"/>
                    </w:rPr>
                    <w:t>2 et 3</w:t>
                  </w:r>
                </w:p>
              </w:tc>
            </w:tr>
            <w:tr w:rsidR="008A5C17" w:rsidRPr="00927455" w14:paraId="4623CBBD" w14:textId="77777777" w:rsidTr="00F93AB4">
              <w:tc>
                <w:tcPr>
                  <w:tcW w:w="3345" w:type="dxa"/>
                  <w:gridSpan w:val="2"/>
                </w:tcPr>
                <w:p w14:paraId="66292B3C" w14:textId="77777777" w:rsidR="00E21611" w:rsidRPr="00927455" w:rsidRDefault="00E21611" w:rsidP="00F93AB4">
                  <w:pPr>
                    <w:rPr>
                      <w:sz w:val="18"/>
                      <w:szCs w:val="18"/>
                      <w:lang w:val="fr-BE"/>
                    </w:rPr>
                  </w:pPr>
                  <w:r w:rsidRPr="00927455">
                    <w:rPr>
                      <w:b/>
                      <w:sz w:val="18"/>
                      <w:szCs w:val="18"/>
                      <w:lang w:val="fr-BE"/>
                    </w:rPr>
                    <w:t xml:space="preserve">Type de composants de la façade </w:t>
                  </w:r>
                  <w:r w:rsidRPr="00927455">
                    <w:rPr>
                      <w:sz w:val="18"/>
                      <w:szCs w:val="18"/>
                      <w:vertAlign w:val="superscript"/>
                      <w:lang w:val="fr-BE"/>
                    </w:rPr>
                    <w:t>(5)</w:t>
                  </w:r>
                </w:p>
              </w:tc>
              <w:tc>
                <w:tcPr>
                  <w:tcW w:w="2324" w:type="dxa"/>
                </w:tcPr>
                <w:p w14:paraId="546C8ACA" w14:textId="77777777" w:rsidR="00E21611" w:rsidRPr="00927455" w:rsidRDefault="00E21611" w:rsidP="00F93AB4">
                  <w:pPr>
                    <w:rPr>
                      <w:sz w:val="18"/>
                      <w:szCs w:val="18"/>
                      <w:lang w:val="fr-BE"/>
                    </w:rPr>
                  </w:pPr>
                  <w:r w:rsidRPr="00927455">
                    <w:rPr>
                      <w:b/>
                      <w:sz w:val="18"/>
                      <w:szCs w:val="18"/>
                      <w:lang w:val="fr-BE"/>
                    </w:rPr>
                    <w:t>Conditions</w:t>
                  </w:r>
                </w:p>
              </w:tc>
              <w:tc>
                <w:tcPr>
                  <w:tcW w:w="1191" w:type="dxa"/>
                  <w:vAlign w:val="center"/>
                </w:tcPr>
                <w:p w14:paraId="63155A19" w14:textId="77777777" w:rsidR="00E21611" w:rsidRPr="00927455" w:rsidRDefault="00E21611" w:rsidP="00F93AB4">
                  <w:pPr>
                    <w:jc w:val="center"/>
                    <w:rPr>
                      <w:sz w:val="18"/>
                      <w:szCs w:val="18"/>
                      <w:lang w:val="fr-BE"/>
                    </w:rPr>
                  </w:pPr>
                </w:p>
              </w:tc>
              <w:tc>
                <w:tcPr>
                  <w:tcW w:w="1191" w:type="dxa"/>
                  <w:vAlign w:val="center"/>
                </w:tcPr>
                <w:p w14:paraId="452E4E71" w14:textId="77777777" w:rsidR="00E21611" w:rsidRPr="00927455" w:rsidRDefault="00E21611" w:rsidP="00F93AB4">
                  <w:pPr>
                    <w:jc w:val="center"/>
                    <w:rPr>
                      <w:sz w:val="18"/>
                      <w:szCs w:val="18"/>
                      <w:lang w:val="fr-BE"/>
                    </w:rPr>
                  </w:pPr>
                </w:p>
              </w:tc>
              <w:tc>
                <w:tcPr>
                  <w:tcW w:w="794" w:type="dxa"/>
                  <w:vAlign w:val="center"/>
                </w:tcPr>
                <w:p w14:paraId="1C842B55" w14:textId="77777777" w:rsidR="00E21611" w:rsidRPr="00927455" w:rsidRDefault="00E21611" w:rsidP="00F93AB4">
                  <w:pPr>
                    <w:jc w:val="center"/>
                    <w:rPr>
                      <w:sz w:val="18"/>
                      <w:szCs w:val="18"/>
                      <w:lang w:val="fr-BE"/>
                    </w:rPr>
                  </w:pPr>
                </w:p>
              </w:tc>
              <w:tc>
                <w:tcPr>
                  <w:tcW w:w="794" w:type="dxa"/>
                  <w:vAlign w:val="center"/>
                </w:tcPr>
                <w:p w14:paraId="157F0D09" w14:textId="77777777" w:rsidR="00E21611" w:rsidRPr="00927455" w:rsidRDefault="00E21611" w:rsidP="00F93AB4">
                  <w:pPr>
                    <w:jc w:val="center"/>
                    <w:rPr>
                      <w:sz w:val="18"/>
                      <w:szCs w:val="18"/>
                      <w:lang w:val="fr-BE"/>
                    </w:rPr>
                  </w:pPr>
                </w:p>
              </w:tc>
            </w:tr>
            <w:tr w:rsidR="008A5C17" w:rsidRPr="00927455" w14:paraId="104B60ED" w14:textId="77777777" w:rsidTr="00F93AB4">
              <w:tc>
                <w:tcPr>
                  <w:tcW w:w="3345" w:type="dxa"/>
                  <w:gridSpan w:val="2"/>
                  <w:tcMar>
                    <w:left w:w="28" w:type="dxa"/>
                    <w:right w:w="28" w:type="dxa"/>
                  </w:tcMar>
                  <w:vAlign w:val="center"/>
                </w:tcPr>
                <w:p w14:paraId="664BF7B6" w14:textId="77777777" w:rsidR="00E21611" w:rsidRPr="00927455" w:rsidRDefault="00E21611" w:rsidP="00F93AB4">
                  <w:pPr>
                    <w:rPr>
                      <w:sz w:val="18"/>
                      <w:szCs w:val="18"/>
                      <w:lang w:val="fr-BE"/>
                    </w:rPr>
                  </w:pPr>
                  <w:r w:rsidRPr="00927455">
                    <w:rPr>
                      <w:sz w:val="18"/>
                      <w:szCs w:val="18"/>
                      <w:lang w:val="fr-BE"/>
                    </w:rPr>
                    <w:t xml:space="preserve">Revêtement extérieur </w:t>
                  </w:r>
                  <w:r w:rsidRPr="00927455">
                    <w:rPr>
                      <w:sz w:val="18"/>
                      <w:szCs w:val="18"/>
                      <w:vertAlign w:val="superscript"/>
                      <w:lang w:val="fr-BE"/>
                    </w:rPr>
                    <w:t>(6)</w:t>
                  </w:r>
                </w:p>
              </w:tc>
              <w:tc>
                <w:tcPr>
                  <w:tcW w:w="2324" w:type="dxa"/>
                  <w:tcMar>
                    <w:left w:w="28" w:type="dxa"/>
                    <w:right w:w="28" w:type="dxa"/>
                  </w:tcMar>
                  <w:vAlign w:val="center"/>
                </w:tcPr>
                <w:p w14:paraId="0B6AEA18" w14:textId="77777777" w:rsidR="00E21611" w:rsidRPr="00927455" w:rsidRDefault="00E21611" w:rsidP="00F93AB4">
                  <w:pPr>
                    <w:rPr>
                      <w:sz w:val="18"/>
                      <w:szCs w:val="18"/>
                      <w:lang w:val="fr-BE"/>
                    </w:rPr>
                  </w:pPr>
                  <w:r w:rsidRPr="00927455">
                    <w:rPr>
                      <w:sz w:val="18"/>
                      <w:szCs w:val="18"/>
                      <w:lang w:val="fr-BE"/>
                    </w:rPr>
                    <w:t xml:space="preserve">En conditions d’application finale </w:t>
                  </w:r>
                  <w:r w:rsidRPr="00927455">
                    <w:rPr>
                      <w:sz w:val="18"/>
                      <w:szCs w:val="18"/>
                      <w:vertAlign w:val="superscript"/>
                      <w:lang w:val="fr-BE"/>
                    </w:rPr>
                    <w:t>(1)</w:t>
                  </w:r>
                </w:p>
              </w:tc>
              <w:tc>
                <w:tcPr>
                  <w:tcW w:w="1191" w:type="dxa"/>
                  <w:tcMar>
                    <w:left w:w="28" w:type="dxa"/>
                    <w:right w:w="28" w:type="dxa"/>
                  </w:tcMar>
                  <w:vAlign w:val="center"/>
                </w:tcPr>
                <w:p w14:paraId="1FA3608E" w14:textId="77777777" w:rsidR="00E21611" w:rsidRPr="00927455" w:rsidRDefault="00E21611" w:rsidP="00F93AB4">
                  <w:pPr>
                    <w:jc w:val="center"/>
                    <w:rPr>
                      <w:sz w:val="18"/>
                      <w:szCs w:val="18"/>
                      <w:lang w:val="fr-BE"/>
                    </w:rPr>
                  </w:pPr>
                  <w:r w:rsidRPr="00927455">
                    <w:rPr>
                      <w:sz w:val="18"/>
                      <w:szCs w:val="18"/>
                      <w:lang w:val="fr-BE"/>
                    </w:rPr>
                    <w:t>A2-s3, d0</w:t>
                  </w:r>
                </w:p>
              </w:tc>
              <w:tc>
                <w:tcPr>
                  <w:tcW w:w="1191" w:type="dxa"/>
                  <w:tcMar>
                    <w:left w:w="28" w:type="dxa"/>
                    <w:right w:w="28" w:type="dxa"/>
                  </w:tcMar>
                  <w:vAlign w:val="center"/>
                </w:tcPr>
                <w:p w14:paraId="59BBE626" w14:textId="77777777" w:rsidR="00E21611" w:rsidRPr="00927455" w:rsidRDefault="00E21611" w:rsidP="00F93AB4">
                  <w:pPr>
                    <w:jc w:val="center"/>
                    <w:rPr>
                      <w:sz w:val="18"/>
                      <w:szCs w:val="18"/>
                      <w:lang w:val="fr-BE"/>
                    </w:rPr>
                  </w:pPr>
                  <w:r w:rsidRPr="00927455">
                    <w:rPr>
                      <w:sz w:val="18"/>
                      <w:szCs w:val="18"/>
                      <w:lang w:val="fr-BE"/>
                    </w:rPr>
                    <w:t>B-s3, d1</w:t>
                  </w:r>
                </w:p>
              </w:tc>
              <w:tc>
                <w:tcPr>
                  <w:tcW w:w="794" w:type="dxa"/>
                  <w:tcMar>
                    <w:left w:w="28" w:type="dxa"/>
                    <w:right w:w="28" w:type="dxa"/>
                  </w:tcMar>
                  <w:vAlign w:val="center"/>
                </w:tcPr>
                <w:p w14:paraId="18793359" w14:textId="77777777" w:rsidR="00E21611" w:rsidRPr="00927455" w:rsidRDefault="00E21611" w:rsidP="00F93AB4">
                  <w:pPr>
                    <w:jc w:val="center"/>
                    <w:rPr>
                      <w:sz w:val="18"/>
                      <w:szCs w:val="18"/>
                      <w:lang w:val="fr-BE"/>
                    </w:rPr>
                  </w:pPr>
                  <w:r w:rsidRPr="00927455">
                    <w:rPr>
                      <w:sz w:val="18"/>
                      <w:szCs w:val="18"/>
                      <w:lang w:val="fr-BE"/>
                    </w:rPr>
                    <w:t>C-s3, d1</w:t>
                  </w:r>
                </w:p>
              </w:tc>
              <w:tc>
                <w:tcPr>
                  <w:tcW w:w="794" w:type="dxa"/>
                  <w:tcMar>
                    <w:left w:w="28" w:type="dxa"/>
                    <w:right w:w="28" w:type="dxa"/>
                  </w:tcMar>
                  <w:vAlign w:val="center"/>
                </w:tcPr>
                <w:p w14:paraId="7CB39440" w14:textId="77777777" w:rsidR="00E21611" w:rsidRPr="00927455" w:rsidRDefault="00E21611" w:rsidP="00F93AB4">
                  <w:pPr>
                    <w:jc w:val="center"/>
                    <w:rPr>
                      <w:sz w:val="18"/>
                      <w:szCs w:val="18"/>
                      <w:lang w:val="fr-BE"/>
                    </w:rPr>
                  </w:pPr>
                  <w:r w:rsidRPr="00927455">
                    <w:rPr>
                      <w:sz w:val="18"/>
                      <w:szCs w:val="18"/>
                      <w:lang w:val="fr-BE"/>
                    </w:rPr>
                    <w:t>D-s3, d1</w:t>
                  </w:r>
                </w:p>
              </w:tc>
            </w:tr>
            <w:tr w:rsidR="008A5C17" w:rsidRPr="00927455" w14:paraId="79DF4ADC" w14:textId="77777777" w:rsidTr="00F93AB4">
              <w:tc>
                <w:tcPr>
                  <w:tcW w:w="1190" w:type="dxa"/>
                  <w:vMerge w:val="restart"/>
                  <w:tcMar>
                    <w:left w:w="28" w:type="dxa"/>
                    <w:right w:w="28" w:type="dxa"/>
                  </w:tcMar>
                  <w:vAlign w:val="center"/>
                </w:tcPr>
                <w:p w14:paraId="36D2195F" w14:textId="77777777" w:rsidR="00E21611" w:rsidRPr="00927455" w:rsidRDefault="00E21611" w:rsidP="00F93AB4">
                  <w:pPr>
                    <w:rPr>
                      <w:sz w:val="18"/>
                      <w:szCs w:val="18"/>
                      <w:lang w:val="fr-BE"/>
                    </w:rPr>
                  </w:pPr>
                  <w:r w:rsidRPr="00927455">
                    <w:rPr>
                      <w:sz w:val="18"/>
                      <w:szCs w:val="18"/>
                      <w:lang w:val="fr-BE"/>
                    </w:rPr>
                    <w:t>Composants substantiels</w:t>
                  </w:r>
                  <w:r w:rsidRPr="00927455">
                    <w:rPr>
                      <w:sz w:val="18"/>
                      <w:szCs w:val="18"/>
                      <w:vertAlign w:val="superscript"/>
                      <w:lang w:val="fr-BE"/>
                    </w:rPr>
                    <w:t>(3)</w:t>
                  </w:r>
                </w:p>
              </w:tc>
              <w:tc>
                <w:tcPr>
                  <w:tcW w:w="2155" w:type="dxa"/>
                  <w:tcMar>
                    <w:left w:w="28" w:type="dxa"/>
                    <w:right w:w="28" w:type="dxa"/>
                  </w:tcMar>
                  <w:vAlign w:val="center"/>
                </w:tcPr>
                <w:p w14:paraId="352430F9" w14:textId="77777777" w:rsidR="00E21611" w:rsidRPr="00927455" w:rsidRDefault="00E21611" w:rsidP="00F93AB4">
                  <w:pPr>
                    <w:rPr>
                      <w:sz w:val="18"/>
                      <w:szCs w:val="18"/>
                      <w:lang w:val="fr-BE"/>
                    </w:rPr>
                  </w:pPr>
                  <w:r w:rsidRPr="00927455">
                    <w:rPr>
                      <w:sz w:val="18"/>
                      <w:szCs w:val="18"/>
                      <w:lang w:val="fr-BE"/>
                    </w:rPr>
                    <w:t>Tous, à l’exception du revêtement extérieur et des montants de l’ossature de la façade</w:t>
                  </w:r>
                </w:p>
              </w:tc>
              <w:tc>
                <w:tcPr>
                  <w:tcW w:w="2324" w:type="dxa"/>
                  <w:tcMar>
                    <w:left w:w="28" w:type="dxa"/>
                    <w:right w:w="28" w:type="dxa"/>
                  </w:tcMar>
                  <w:vAlign w:val="center"/>
                </w:tcPr>
                <w:p w14:paraId="487783AB" w14:textId="77777777" w:rsidR="00E21611" w:rsidRPr="00927455" w:rsidRDefault="00E21611" w:rsidP="00F93AB4">
                  <w:pPr>
                    <w:rPr>
                      <w:sz w:val="18"/>
                      <w:szCs w:val="18"/>
                      <w:vertAlign w:val="superscript"/>
                      <w:lang w:val="fr-BE"/>
                    </w:rPr>
                  </w:pPr>
                  <w:r w:rsidRPr="00927455">
                    <w:rPr>
                      <w:sz w:val="18"/>
                      <w:szCs w:val="18"/>
                      <w:lang w:val="fr-BE"/>
                    </w:rPr>
                    <w:t xml:space="preserve">Considérés isolément </w:t>
                  </w:r>
                  <w:r w:rsidRPr="00927455">
                    <w:rPr>
                      <w:sz w:val="18"/>
                      <w:szCs w:val="18"/>
                      <w:vertAlign w:val="superscript"/>
                      <w:lang w:val="fr-BE"/>
                    </w:rPr>
                    <w:t>(2)</w:t>
                  </w:r>
                </w:p>
                <w:p w14:paraId="2C030E57" w14:textId="77777777" w:rsidR="00E21611" w:rsidRPr="00927455" w:rsidRDefault="00E21611" w:rsidP="00F93AB4">
                  <w:pPr>
                    <w:rPr>
                      <w:sz w:val="18"/>
                      <w:szCs w:val="18"/>
                      <w:lang w:val="fr-BE"/>
                    </w:rPr>
                  </w:pPr>
                  <w:r w:rsidRPr="00927455">
                    <w:rPr>
                      <w:sz w:val="18"/>
                      <w:szCs w:val="18"/>
                      <w:lang w:val="fr-BE"/>
                    </w:rPr>
                    <w:t xml:space="preserve">Non-complètement protégés de l’incendie </w:t>
                  </w:r>
                  <w:r w:rsidRPr="00927455">
                    <w:rPr>
                      <w:sz w:val="18"/>
                      <w:szCs w:val="18"/>
                      <w:vertAlign w:val="superscript"/>
                      <w:lang w:val="fr-BE"/>
                    </w:rPr>
                    <w:t>(4)</w:t>
                  </w:r>
                </w:p>
              </w:tc>
              <w:tc>
                <w:tcPr>
                  <w:tcW w:w="1191" w:type="dxa"/>
                  <w:tcMar>
                    <w:left w:w="28" w:type="dxa"/>
                    <w:right w:w="28" w:type="dxa"/>
                  </w:tcMar>
                  <w:vAlign w:val="center"/>
                </w:tcPr>
                <w:p w14:paraId="0C49E392" w14:textId="77777777" w:rsidR="00E21611" w:rsidRPr="00927455" w:rsidRDefault="00E21611" w:rsidP="00F93AB4">
                  <w:pPr>
                    <w:jc w:val="center"/>
                    <w:rPr>
                      <w:sz w:val="18"/>
                      <w:szCs w:val="18"/>
                      <w:lang w:val="fr-BE"/>
                    </w:rPr>
                  </w:pPr>
                  <w:r w:rsidRPr="00927455">
                    <w:rPr>
                      <w:sz w:val="18"/>
                      <w:szCs w:val="18"/>
                      <w:lang w:val="fr-BE"/>
                    </w:rPr>
                    <w:t>A2-s3, d0</w:t>
                  </w:r>
                </w:p>
              </w:tc>
              <w:tc>
                <w:tcPr>
                  <w:tcW w:w="1191" w:type="dxa"/>
                  <w:tcMar>
                    <w:left w:w="28" w:type="dxa"/>
                    <w:right w:w="28" w:type="dxa"/>
                  </w:tcMar>
                  <w:vAlign w:val="center"/>
                </w:tcPr>
                <w:p w14:paraId="09AC01DA" w14:textId="77777777" w:rsidR="00E21611" w:rsidRPr="00927455" w:rsidRDefault="00E21611" w:rsidP="00F93AB4">
                  <w:pPr>
                    <w:jc w:val="center"/>
                    <w:rPr>
                      <w:sz w:val="18"/>
                      <w:szCs w:val="18"/>
                      <w:lang w:val="fr-BE"/>
                    </w:rPr>
                  </w:pPr>
                  <w:r w:rsidRPr="00927455">
                    <w:rPr>
                      <w:sz w:val="18"/>
                      <w:szCs w:val="18"/>
                      <w:lang w:val="fr-BE"/>
                    </w:rPr>
                    <w:t>A2-s3, d0</w:t>
                  </w:r>
                </w:p>
                <w:p w14:paraId="26CFC94F" w14:textId="77777777" w:rsidR="00E21611" w:rsidRPr="00927455" w:rsidRDefault="00E21611" w:rsidP="00F93AB4">
                  <w:pPr>
                    <w:jc w:val="center"/>
                    <w:rPr>
                      <w:b/>
                      <w:i/>
                      <w:sz w:val="18"/>
                      <w:szCs w:val="18"/>
                      <w:lang w:val="fr-BE"/>
                    </w:rPr>
                  </w:pPr>
                  <w:r w:rsidRPr="00927455">
                    <w:rPr>
                      <w:b/>
                      <w:i/>
                      <w:sz w:val="18"/>
                      <w:szCs w:val="18"/>
                      <w:lang w:val="fr-BE"/>
                    </w:rPr>
                    <w:t>OU</w:t>
                  </w:r>
                </w:p>
                <w:p w14:paraId="0C6AAF9F" w14:textId="77777777" w:rsidR="00E21611" w:rsidRPr="00927455" w:rsidRDefault="00E21611" w:rsidP="00F93AB4">
                  <w:pPr>
                    <w:jc w:val="center"/>
                    <w:rPr>
                      <w:sz w:val="18"/>
                      <w:szCs w:val="18"/>
                      <w:lang w:val="fr-BE"/>
                    </w:rPr>
                  </w:pPr>
                  <w:r w:rsidRPr="00927455">
                    <w:rPr>
                      <w:sz w:val="18"/>
                      <w:szCs w:val="18"/>
                      <w:lang w:val="fr-BE"/>
                    </w:rPr>
                    <w:t xml:space="preserve">E si solutions-type </w:t>
                  </w:r>
                  <w:r w:rsidRPr="00927455">
                    <w:rPr>
                      <w:sz w:val="18"/>
                      <w:szCs w:val="18"/>
                      <w:vertAlign w:val="superscript"/>
                      <w:lang w:val="fr-BE"/>
                    </w:rPr>
                    <w:t>(7)</w:t>
                  </w:r>
                </w:p>
              </w:tc>
              <w:tc>
                <w:tcPr>
                  <w:tcW w:w="1588" w:type="dxa"/>
                  <w:gridSpan w:val="2"/>
                  <w:tcMar>
                    <w:left w:w="28" w:type="dxa"/>
                    <w:right w:w="28" w:type="dxa"/>
                  </w:tcMar>
                  <w:vAlign w:val="center"/>
                </w:tcPr>
                <w:p w14:paraId="73E02B05" w14:textId="77777777" w:rsidR="00E21611" w:rsidRPr="00927455" w:rsidRDefault="00E21611" w:rsidP="00F93AB4">
                  <w:pPr>
                    <w:jc w:val="center"/>
                    <w:rPr>
                      <w:sz w:val="18"/>
                      <w:szCs w:val="18"/>
                      <w:lang w:val="fr-BE"/>
                    </w:rPr>
                  </w:pPr>
                  <w:r w:rsidRPr="00927455">
                    <w:rPr>
                      <w:sz w:val="18"/>
                      <w:szCs w:val="18"/>
                      <w:lang w:val="fr-BE"/>
                    </w:rPr>
                    <w:t>E</w:t>
                  </w:r>
                </w:p>
              </w:tc>
            </w:tr>
            <w:tr w:rsidR="008A5C17" w:rsidRPr="00927455" w14:paraId="0D8DDADC" w14:textId="77777777" w:rsidTr="00F93AB4">
              <w:tc>
                <w:tcPr>
                  <w:tcW w:w="1190" w:type="dxa"/>
                  <w:vMerge/>
                  <w:tcMar>
                    <w:left w:w="28" w:type="dxa"/>
                    <w:right w:w="28" w:type="dxa"/>
                  </w:tcMar>
                  <w:vAlign w:val="center"/>
                </w:tcPr>
                <w:p w14:paraId="0647D76E" w14:textId="77777777" w:rsidR="00E21611" w:rsidRPr="00927455" w:rsidRDefault="00E21611" w:rsidP="00F93AB4">
                  <w:pPr>
                    <w:rPr>
                      <w:b/>
                      <w:sz w:val="18"/>
                      <w:szCs w:val="18"/>
                      <w:lang w:val="fr-BE"/>
                    </w:rPr>
                  </w:pPr>
                </w:p>
              </w:tc>
              <w:tc>
                <w:tcPr>
                  <w:tcW w:w="2155" w:type="dxa"/>
                  <w:tcMar>
                    <w:left w:w="28" w:type="dxa"/>
                    <w:right w:w="28" w:type="dxa"/>
                  </w:tcMar>
                  <w:vAlign w:val="center"/>
                </w:tcPr>
                <w:p w14:paraId="0D205408" w14:textId="77777777" w:rsidR="00E21611" w:rsidRPr="00927455" w:rsidRDefault="00E21611" w:rsidP="00F93AB4">
                  <w:pPr>
                    <w:rPr>
                      <w:sz w:val="18"/>
                      <w:szCs w:val="18"/>
                      <w:lang w:val="fr-BE"/>
                    </w:rPr>
                  </w:pPr>
                  <w:r w:rsidRPr="00927455">
                    <w:rPr>
                      <w:sz w:val="18"/>
                      <w:szCs w:val="18"/>
                      <w:lang w:val="fr-BE"/>
                    </w:rPr>
                    <w:t>Montants de l’ossature de la façade</w:t>
                  </w:r>
                </w:p>
              </w:tc>
              <w:tc>
                <w:tcPr>
                  <w:tcW w:w="2324" w:type="dxa"/>
                  <w:tcMar>
                    <w:left w:w="28" w:type="dxa"/>
                    <w:right w:w="28" w:type="dxa"/>
                  </w:tcMar>
                  <w:vAlign w:val="center"/>
                </w:tcPr>
                <w:p w14:paraId="2C446BCF" w14:textId="77777777" w:rsidR="00E21611" w:rsidRPr="00927455" w:rsidRDefault="00E21611" w:rsidP="00F93AB4">
                  <w:pPr>
                    <w:rPr>
                      <w:sz w:val="18"/>
                      <w:szCs w:val="18"/>
                      <w:vertAlign w:val="superscript"/>
                      <w:lang w:val="fr-BE"/>
                    </w:rPr>
                  </w:pPr>
                  <w:r w:rsidRPr="00927455">
                    <w:rPr>
                      <w:sz w:val="18"/>
                      <w:szCs w:val="18"/>
                      <w:lang w:val="fr-BE"/>
                    </w:rPr>
                    <w:t xml:space="preserve">Considérés isolément </w:t>
                  </w:r>
                  <w:r w:rsidRPr="00927455">
                    <w:rPr>
                      <w:sz w:val="18"/>
                      <w:szCs w:val="18"/>
                      <w:vertAlign w:val="superscript"/>
                      <w:lang w:val="fr-BE"/>
                    </w:rPr>
                    <w:t>(2)</w:t>
                  </w:r>
                </w:p>
                <w:p w14:paraId="57E8A0D1" w14:textId="77777777" w:rsidR="00E21611" w:rsidRPr="00927455" w:rsidRDefault="00E21611" w:rsidP="00F93AB4">
                  <w:pPr>
                    <w:rPr>
                      <w:sz w:val="18"/>
                      <w:szCs w:val="18"/>
                      <w:lang w:val="fr-BE"/>
                    </w:rPr>
                  </w:pPr>
                  <w:r w:rsidRPr="00927455">
                    <w:rPr>
                      <w:sz w:val="18"/>
                      <w:szCs w:val="18"/>
                      <w:lang w:val="fr-BE"/>
                    </w:rPr>
                    <w:t xml:space="preserve">Non-complètement protégés de l’incendie </w:t>
                  </w:r>
                  <w:r w:rsidRPr="00927455">
                    <w:rPr>
                      <w:sz w:val="18"/>
                      <w:szCs w:val="18"/>
                      <w:vertAlign w:val="superscript"/>
                      <w:lang w:val="fr-BE"/>
                    </w:rPr>
                    <w:t>(4)</w:t>
                  </w:r>
                </w:p>
              </w:tc>
              <w:tc>
                <w:tcPr>
                  <w:tcW w:w="1191" w:type="dxa"/>
                  <w:tcMar>
                    <w:left w:w="28" w:type="dxa"/>
                    <w:right w:w="28" w:type="dxa"/>
                  </w:tcMar>
                  <w:vAlign w:val="center"/>
                </w:tcPr>
                <w:p w14:paraId="126E49BF" w14:textId="77777777" w:rsidR="00E21611" w:rsidRPr="00927455" w:rsidRDefault="00E21611" w:rsidP="00F93AB4">
                  <w:pPr>
                    <w:jc w:val="center"/>
                    <w:rPr>
                      <w:sz w:val="18"/>
                      <w:szCs w:val="18"/>
                      <w:lang w:val="fr-BE"/>
                    </w:rPr>
                  </w:pPr>
                  <w:r w:rsidRPr="00927455">
                    <w:rPr>
                      <w:sz w:val="18"/>
                      <w:szCs w:val="18"/>
                      <w:lang w:val="fr-BE"/>
                    </w:rPr>
                    <w:t>A1</w:t>
                  </w:r>
                </w:p>
              </w:tc>
              <w:tc>
                <w:tcPr>
                  <w:tcW w:w="1191" w:type="dxa"/>
                  <w:tcMar>
                    <w:left w:w="28" w:type="dxa"/>
                    <w:right w:w="28" w:type="dxa"/>
                  </w:tcMar>
                  <w:vAlign w:val="center"/>
                </w:tcPr>
                <w:p w14:paraId="2C0FD35E" w14:textId="77777777" w:rsidR="00E21611" w:rsidRPr="00927455" w:rsidRDefault="00E21611" w:rsidP="00F93AB4">
                  <w:pPr>
                    <w:jc w:val="center"/>
                    <w:rPr>
                      <w:sz w:val="18"/>
                      <w:szCs w:val="18"/>
                      <w:lang w:val="fr-BE"/>
                    </w:rPr>
                  </w:pPr>
                  <w:r w:rsidRPr="00927455">
                    <w:rPr>
                      <w:sz w:val="18"/>
                      <w:szCs w:val="18"/>
                      <w:lang w:val="fr-BE"/>
                    </w:rPr>
                    <w:t>A1</w:t>
                  </w:r>
                </w:p>
                <w:p w14:paraId="762C92B7" w14:textId="77777777" w:rsidR="00E21611" w:rsidRPr="00927455" w:rsidRDefault="00E21611" w:rsidP="00F93AB4">
                  <w:pPr>
                    <w:jc w:val="center"/>
                    <w:rPr>
                      <w:b/>
                      <w:i/>
                      <w:sz w:val="18"/>
                      <w:szCs w:val="18"/>
                      <w:lang w:val="fr-BE"/>
                    </w:rPr>
                  </w:pPr>
                  <w:r w:rsidRPr="00927455">
                    <w:rPr>
                      <w:b/>
                      <w:i/>
                      <w:sz w:val="18"/>
                      <w:szCs w:val="18"/>
                      <w:lang w:val="fr-BE"/>
                    </w:rPr>
                    <w:t>OU</w:t>
                  </w:r>
                </w:p>
                <w:p w14:paraId="270560F5" w14:textId="77777777" w:rsidR="00E21611" w:rsidRPr="00927455" w:rsidRDefault="00E21611" w:rsidP="00F93AB4">
                  <w:pPr>
                    <w:jc w:val="center"/>
                    <w:rPr>
                      <w:sz w:val="18"/>
                      <w:szCs w:val="18"/>
                      <w:lang w:val="fr-BE"/>
                    </w:rPr>
                  </w:pPr>
                  <w:r w:rsidRPr="00927455">
                    <w:rPr>
                      <w:sz w:val="18"/>
                      <w:szCs w:val="18"/>
                      <w:lang w:val="fr-BE"/>
                    </w:rPr>
                    <w:t>Bois</w:t>
                  </w:r>
                </w:p>
              </w:tc>
              <w:tc>
                <w:tcPr>
                  <w:tcW w:w="1588" w:type="dxa"/>
                  <w:gridSpan w:val="2"/>
                  <w:tcMar>
                    <w:left w:w="28" w:type="dxa"/>
                    <w:right w:w="28" w:type="dxa"/>
                  </w:tcMar>
                  <w:vAlign w:val="center"/>
                </w:tcPr>
                <w:p w14:paraId="14654ED4" w14:textId="77777777" w:rsidR="00E21611" w:rsidRPr="00927455" w:rsidRDefault="00E21611" w:rsidP="00F93AB4">
                  <w:pPr>
                    <w:jc w:val="center"/>
                    <w:rPr>
                      <w:sz w:val="18"/>
                      <w:szCs w:val="18"/>
                      <w:lang w:val="fr-BE"/>
                    </w:rPr>
                  </w:pPr>
                  <w:r w:rsidRPr="00927455">
                    <w:rPr>
                      <w:sz w:val="18"/>
                      <w:szCs w:val="18"/>
                      <w:lang w:val="fr-BE"/>
                    </w:rPr>
                    <w:t>/</w:t>
                  </w:r>
                </w:p>
              </w:tc>
            </w:tr>
            <w:tr w:rsidR="008A5C17" w:rsidRPr="00927455" w14:paraId="5A220E4F" w14:textId="77777777" w:rsidTr="00F93AB4">
              <w:tc>
                <w:tcPr>
                  <w:tcW w:w="1190" w:type="dxa"/>
                  <w:vMerge/>
                  <w:tcMar>
                    <w:left w:w="28" w:type="dxa"/>
                    <w:right w:w="28" w:type="dxa"/>
                  </w:tcMar>
                  <w:vAlign w:val="center"/>
                </w:tcPr>
                <w:p w14:paraId="1611D41C" w14:textId="77777777" w:rsidR="00E21611" w:rsidRPr="00927455" w:rsidRDefault="00E21611" w:rsidP="00F93AB4">
                  <w:pPr>
                    <w:rPr>
                      <w:b/>
                      <w:sz w:val="18"/>
                      <w:szCs w:val="18"/>
                      <w:lang w:val="fr-BE"/>
                    </w:rPr>
                  </w:pPr>
                </w:p>
              </w:tc>
              <w:tc>
                <w:tcPr>
                  <w:tcW w:w="2155" w:type="dxa"/>
                  <w:tcMar>
                    <w:left w:w="28" w:type="dxa"/>
                    <w:right w:w="28" w:type="dxa"/>
                  </w:tcMar>
                  <w:vAlign w:val="center"/>
                </w:tcPr>
                <w:p w14:paraId="4502F3C3" w14:textId="77777777" w:rsidR="00E21611" w:rsidRPr="00927455" w:rsidRDefault="00E21611" w:rsidP="00F93AB4">
                  <w:pPr>
                    <w:rPr>
                      <w:sz w:val="18"/>
                      <w:szCs w:val="18"/>
                      <w:lang w:val="fr-BE"/>
                    </w:rPr>
                  </w:pPr>
                  <w:r w:rsidRPr="00927455">
                    <w:rPr>
                      <w:sz w:val="18"/>
                      <w:szCs w:val="18"/>
                      <w:lang w:val="fr-BE"/>
                    </w:rPr>
                    <w:t>Tous, à l’exception du revêtement extérieur</w:t>
                  </w:r>
                </w:p>
              </w:tc>
              <w:tc>
                <w:tcPr>
                  <w:tcW w:w="2324" w:type="dxa"/>
                  <w:tcMar>
                    <w:left w:w="28" w:type="dxa"/>
                    <w:right w:w="28" w:type="dxa"/>
                  </w:tcMar>
                  <w:vAlign w:val="center"/>
                </w:tcPr>
                <w:p w14:paraId="1D4E6585" w14:textId="77777777" w:rsidR="00E21611" w:rsidRPr="00927455" w:rsidRDefault="00E21611" w:rsidP="00F93AB4">
                  <w:pPr>
                    <w:rPr>
                      <w:sz w:val="18"/>
                      <w:szCs w:val="18"/>
                      <w:lang w:val="fr-BE"/>
                    </w:rPr>
                  </w:pPr>
                  <w:r w:rsidRPr="00927455">
                    <w:rPr>
                      <w:sz w:val="18"/>
                      <w:szCs w:val="18"/>
                      <w:lang w:val="fr-BE"/>
                    </w:rPr>
                    <w:t xml:space="preserve">Considérés isolément </w:t>
                  </w:r>
                  <w:r w:rsidRPr="00927455">
                    <w:rPr>
                      <w:sz w:val="18"/>
                      <w:szCs w:val="18"/>
                      <w:vertAlign w:val="superscript"/>
                      <w:lang w:val="fr-BE"/>
                    </w:rPr>
                    <w:t>(2)</w:t>
                  </w:r>
                  <w:r w:rsidRPr="00927455">
                    <w:rPr>
                      <w:sz w:val="18"/>
                      <w:szCs w:val="18"/>
                      <w:lang w:val="fr-BE"/>
                    </w:rPr>
                    <w:t xml:space="preserve"> </w:t>
                  </w:r>
                </w:p>
                <w:p w14:paraId="63996573" w14:textId="77777777" w:rsidR="00E21611" w:rsidRPr="00927455" w:rsidRDefault="00E21611" w:rsidP="00F93AB4">
                  <w:pPr>
                    <w:rPr>
                      <w:sz w:val="18"/>
                      <w:szCs w:val="18"/>
                      <w:lang w:val="fr-BE"/>
                    </w:rPr>
                  </w:pPr>
                  <w:r w:rsidRPr="00927455">
                    <w:rPr>
                      <w:sz w:val="18"/>
                      <w:szCs w:val="18"/>
                      <w:lang w:val="fr-BE"/>
                    </w:rPr>
                    <w:t xml:space="preserve">Complètement protégés de l’incendie </w:t>
                  </w:r>
                  <w:r w:rsidRPr="00927455">
                    <w:rPr>
                      <w:sz w:val="18"/>
                      <w:szCs w:val="18"/>
                      <w:vertAlign w:val="superscript"/>
                      <w:lang w:val="fr-BE"/>
                    </w:rPr>
                    <w:t>(4)</w:t>
                  </w:r>
                </w:p>
              </w:tc>
              <w:tc>
                <w:tcPr>
                  <w:tcW w:w="1191" w:type="dxa"/>
                  <w:tcMar>
                    <w:left w:w="28" w:type="dxa"/>
                    <w:right w:w="28" w:type="dxa"/>
                  </w:tcMar>
                  <w:vAlign w:val="center"/>
                </w:tcPr>
                <w:p w14:paraId="0ED5C738" w14:textId="77777777" w:rsidR="00E21611" w:rsidRPr="00927455" w:rsidRDefault="00E21611" w:rsidP="00F93AB4">
                  <w:pPr>
                    <w:jc w:val="center"/>
                    <w:rPr>
                      <w:sz w:val="18"/>
                      <w:szCs w:val="18"/>
                      <w:vertAlign w:val="superscript"/>
                      <w:lang w:val="fr-BE"/>
                    </w:rPr>
                  </w:pPr>
                  <w:r w:rsidRPr="00927455">
                    <w:rPr>
                      <w:sz w:val="18"/>
                      <w:szCs w:val="18"/>
                      <w:lang w:val="fr-BE"/>
                    </w:rPr>
                    <w:t xml:space="preserve">E si solution-type </w:t>
                  </w:r>
                  <w:r w:rsidRPr="00927455">
                    <w:rPr>
                      <w:sz w:val="18"/>
                      <w:szCs w:val="18"/>
                      <w:vertAlign w:val="superscript"/>
                      <w:lang w:val="fr-BE"/>
                    </w:rPr>
                    <w:t>(8)</w:t>
                  </w:r>
                </w:p>
              </w:tc>
              <w:tc>
                <w:tcPr>
                  <w:tcW w:w="1191" w:type="dxa"/>
                  <w:tcMar>
                    <w:left w:w="28" w:type="dxa"/>
                    <w:right w:w="28" w:type="dxa"/>
                  </w:tcMar>
                  <w:vAlign w:val="center"/>
                </w:tcPr>
                <w:p w14:paraId="3A486C09" w14:textId="77777777" w:rsidR="00E21611" w:rsidRPr="00927455" w:rsidRDefault="00E21611" w:rsidP="00F93AB4">
                  <w:pPr>
                    <w:jc w:val="center"/>
                    <w:rPr>
                      <w:sz w:val="18"/>
                      <w:szCs w:val="18"/>
                      <w:lang w:val="fr-BE"/>
                    </w:rPr>
                  </w:pPr>
                  <w:r w:rsidRPr="00927455">
                    <w:rPr>
                      <w:sz w:val="18"/>
                      <w:szCs w:val="18"/>
                      <w:lang w:val="fr-BE"/>
                    </w:rPr>
                    <w:t>E</w:t>
                  </w:r>
                </w:p>
              </w:tc>
              <w:tc>
                <w:tcPr>
                  <w:tcW w:w="1588" w:type="dxa"/>
                  <w:gridSpan w:val="2"/>
                  <w:tcMar>
                    <w:left w:w="28" w:type="dxa"/>
                    <w:right w:w="28" w:type="dxa"/>
                  </w:tcMar>
                  <w:vAlign w:val="center"/>
                </w:tcPr>
                <w:p w14:paraId="0765740F" w14:textId="77777777" w:rsidR="00E21611" w:rsidRPr="00927455" w:rsidRDefault="00E21611" w:rsidP="00F93AB4">
                  <w:pPr>
                    <w:jc w:val="center"/>
                    <w:rPr>
                      <w:sz w:val="18"/>
                      <w:szCs w:val="18"/>
                      <w:lang w:val="fr-BE"/>
                    </w:rPr>
                  </w:pPr>
                  <w:r w:rsidRPr="00927455">
                    <w:rPr>
                      <w:sz w:val="18"/>
                      <w:szCs w:val="18"/>
                      <w:lang w:val="fr-BE"/>
                    </w:rPr>
                    <w:t>/</w:t>
                  </w:r>
                </w:p>
              </w:tc>
            </w:tr>
            <w:tr w:rsidR="008A5C17" w:rsidRPr="00927455" w14:paraId="7A90D3E4" w14:textId="77777777" w:rsidTr="00F93AB4">
              <w:tc>
                <w:tcPr>
                  <w:tcW w:w="3345" w:type="dxa"/>
                  <w:gridSpan w:val="2"/>
                  <w:tcMar>
                    <w:left w:w="28" w:type="dxa"/>
                    <w:right w:w="28" w:type="dxa"/>
                  </w:tcMar>
                  <w:vAlign w:val="center"/>
                </w:tcPr>
                <w:p w14:paraId="678BC2A4" w14:textId="77777777" w:rsidR="00E21611" w:rsidRPr="00927455" w:rsidRDefault="00E21611" w:rsidP="00F93AB4">
                  <w:pPr>
                    <w:rPr>
                      <w:sz w:val="18"/>
                      <w:szCs w:val="18"/>
                      <w:lang w:val="fr-BE"/>
                    </w:rPr>
                  </w:pPr>
                  <w:r w:rsidRPr="00927455">
                    <w:rPr>
                      <w:sz w:val="18"/>
                      <w:szCs w:val="18"/>
                      <w:lang w:val="fr-BE"/>
                    </w:rPr>
                    <w:lastRenderedPageBreak/>
                    <w:t xml:space="preserve">Composants non-substantiels </w:t>
                  </w:r>
                  <w:r w:rsidRPr="00927455">
                    <w:rPr>
                      <w:sz w:val="18"/>
                      <w:szCs w:val="18"/>
                      <w:vertAlign w:val="superscript"/>
                      <w:lang w:val="fr-BE"/>
                    </w:rPr>
                    <w:t>(3)</w:t>
                  </w:r>
                </w:p>
              </w:tc>
              <w:tc>
                <w:tcPr>
                  <w:tcW w:w="2324" w:type="dxa"/>
                  <w:tcMar>
                    <w:left w:w="28" w:type="dxa"/>
                    <w:right w:w="28" w:type="dxa"/>
                  </w:tcMar>
                  <w:vAlign w:val="center"/>
                </w:tcPr>
                <w:p w14:paraId="77B6F487" w14:textId="77777777" w:rsidR="00E21611" w:rsidRPr="00927455" w:rsidRDefault="00E21611" w:rsidP="00F93AB4">
                  <w:pPr>
                    <w:rPr>
                      <w:sz w:val="18"/>
                      <w:szCs w:val="18"/>
                      <w:lang w:val="fr-BE"/>
                    </w:rPr>
                  </w:pPr>
                  <w:r w:rsidRPr="00927455">
                    <w:rPr>
                      <w:sz w:val="18"/>
                      <w:szCs w:val="18"/>
                      <w:lang w:val="fr-BE"/>
                    </w:rPr>
                    <w:t>-</w:t>
                  </w:r>
                </w:p>
                <w:p w14:paraId="40CFCEE9" w14:textId="77777777" w:rsidR="00E21611" w:rsidRPr="00927455" w:rsidRDefault="00E21611" w:rsidP="00F93AB4">
                  <w:pPr>
                    <w:rPr>
                      <w:sz w:val="18"/>
                      <w:szCs w:val="18"/>
                      <w:lang w:val="fr-BE"/>
                    </w:rPr>
                  </w:pPr>
                </w:p>
              </w:tc>
              <w:tc>
                <w:tcPr>
                  <w:tcW w:w="1191" w:type="dxa"/>
                  <w:tcMar>
                    <w:left w:w="28" w:type="dxa"/>
                    <w:right w:w="28" w:type="dxa"/>
                  </w:tcMar>
                  <w:vAlign w:val="center"/>
                </w:tcPr>
                <w:p w14:paraId="7F41A1D3" w14:textId="77777777" w:rsidR="00E21611" w:rsidRPr="00927455" w:rsidRDefault="00E21611" w:rsidP="00F93AB4">
                  <w:pPr>
                    <w:jc w:val="center"/>
                    <w:rPr>
                      <w:sz w:val="18"/>
                      <w:szCs w:val="18"/>
                      <w:lang w:val="fr-BE"/>
                    </w:rPr>
                  </w:pPr>
                  <w:r w:rsidRPr="00927455">
                    <w:rPr>
                      <w:sz w:val="18"/>
                      <w:szCs w:val="18"/>
                      <w:lang w:val="fr-BE"/>
                    </w:rPr>
                    <w:t>/</w:t>
                  </w:r>
                </w:p>
              </w:tc>
              <w:tc>
                <w:tcPr>
                  <w:tcW w:w="1191" w:type="dxa"/>
                  <w:tcMar>
                    <w:left w:w="28" w:type="dxa"/>
                    <w:right w:w="28" w:type="dxa"/>
                  </w:tcMar>
                  <w:vAlign w:val="center"/>
                </w:tcPr>
                <w:p w14:paraId="13EA0C0C" w14:textId="77777777" w:rsidR="00E21611" w:rsidRPr="00927455" w:rsidRDefault="00E21611" w:rsidP="00F93AB4">
                  <w:pPr>
                    <w:jc w:val="center"/>
                    <w:rPr>
                      <w:sz w:val="18"/>
                      <w:szCs w:val="18"/>
                      <w:lang w:val="fr-BE"/>
                    </w:rPr>
                  </w:pPr>
                  <w:r w:rsidRPr="00927455">
                    <w:rPr>
                      <w:sz w:val="18"/>
                      <w:szCs w:val="18"/>
                      <w:lang w:val="fr-BE"/>
                    </w:rPr>
                    <w:t>/</w:t>
                  </w:r>
                </w:p>
              </w:tc>
              <w:tc>
                <w:tcPr>
                  <w:tcW w:w="1588" w:type="dxa"/>
                  <w:gridSpan w:val="2"/>
                  <w:tcMar>
                    <w:left w:w="28" w:type="dxa"/>
                    <w:right w:w="28" w:type="dxa"/>
                  </w:tcMar>
                  <w:vAlign w:val="center"/>
                </w:tcPr>
                <w:p w14:paraId="14DCED85" w14:textId="77777777" w:rsidR="00E21611" w:rsidRPr="00927455" w:rsidRDefault="00E21611" w:rsidP="00F93AB4">
                  <w:pPr>
                    <w:jc w:val="center"/>
                    <w:rPr>
                      <w:sz w:val="18"/>
                      <w:szCs w:val="18"/>
                      <w:lang w:val="fr-BE"/>
                    </w:rPr>
                  </w:pPr>
                  <w:r w:rsidRPr="00927455">
                    <w:rPr>
                      <w:sz w:val="18"/>
                      <w:szCs w:val="18"/>
                      <w:lang w:val="fr-BE"/>
                    </w:rPr>
                    <w:t>/</w:t>
                  </w:r>
                </w:p>
              </w:tc>
            </w:tr>
            <w:tr w:rsidR="008A5C17" w:rsidRPr="00754BD6" w14:paraId="194F7B3D" w14:textId="77777777" w:rsidTr="00F93AB4">
              <w:tc>
                <w:tcPr>
                  <w:tcW w:w="9639" w:type="dxa"/>
                  <w:gridSpan w:val="7"/>
                </w:tcPr>
                <w:p w14:paraId="211DC419" w14:textId="77777777" w:rsidR="00E21611" w:rsidRPr="00927455" w:rsidRDefault="00E21611" w:rsidP="00F93AB4">
                  <w:pPr>
                    <w:ind w:left="454" w:hanging="454"/>
                    <w:jc w:val="both"/>
                    <w:rPr>
                      <w:sz w:val="18"/>
                      <w:szCs w:val="18"/>
                      <w:lang w:val="fr-BE"/>
                    </w:rPr>
                  </w:pPr>
                  <w:r w:rsidRPr="00927455">
                    <w:rPr>
                      <w:sz w:val="18"/>
                      <w:szCs w:val="18"/>
                      <w:lang w:val="fr-BE"/>
                    </w:rPr>
                    <w:t>B.E.</w:t>
                  </w:r>
                  <w:r w:rsidRPr="00927455">
                    <w:rPr>
                      <w:sz w:val="18"/>
                      <w:szCs w:val="18"/>
                      <w:lang w:val="fr-BE"/>
                    </w:rPr>
                    <w:tab/>
                    <w:t>bâtiments élevés</w:t>
                  </w:r>
                </w:p>
                <w:p w14:paraId="0DF8A6B6" w14:textId="77777777" w:rsidR="00E21611" w:rsidRPr="00927455" w:rsidRDefault="00E21611" w:rsidP="00F93AB4">
                  <w:pPr>
                    <w:ind w:left="454" w:hanging="454"/>
                    <w:jc w:val="both"/>
                    <w:rPr>
                      <w:sz w:val="18"/>
                      <w:szCs w:val="18"/>
                      <w:lang w:val="fr-BE"/>
                    </w:rPr>
                  </w:pPr>
                  <w:r w:rsidRPr="00927455">
                    <w:rPr>
                      <w:sz w:val="18"/>
                      <w:szCs w:val="18"/>
                      <w:lang w:val="fr-BE"/>
                    </w:rPr>
                    <w:t>B.M.</w:t>
                  </w:r>
                  <w:r w:rsidRPr="00927455">
                    <w:rPr>
                      <w:sz w:val="18"/>
                      <w:szCs w:val="18"/>
                      <w:lang w:val="fr-BE"/>
                    </w:rPr>
                    <w:tab/>
                    <w:t>bâtiments moyens</w:t>
                  </w:r>
                </w:p>
                <w:p w14:paraId="17204D5D" w14:textId="77777777" w:rsidR="00E21611" w:rsidRPr="00927455" w:rsidRDefault="00E21611" w:rsidP="00F93AB4">
                  <w:pPr>
                    <w:ind w:left="454" w:hanging="454"/>
                    <w:jc w:val="both"/>
                    <w:rPr>
                      <w:sz w:val="18"/>
                      <w:szCs w:val="18"/>
                      <w:lang w:val="fr-BE"/>
                    </w:rPr>
                  </w:pPr>
                  <w:r w:rsidRPr="00927455">
                    <w:rPr>
                      <w:sz w:val="18"/>
                      <w:szCs w:val="18"/>
                      <w:lang w:val="fr-BE"/>
                    </w:rPr>
                    <w:t>B.B.</w:t>
                  </w:r>
                  <w:r w:rsidRPr="00927455">
                    <w:rPr>
                      <w:sz w:val="18"/>
                      <w:szCs w:val="18"/>
                      <w:lang w:val="fr-BE"/>
                    </w:rPr>
                    <w:tab/>
                    <w:t>bâtiments bas</w:t>
                  </w:r>
                </w:p>
                <w:p w14:paraId="4D44B9EF" w14:textId="77777777" w:rsidR="00E21611" w:rsidRPr="00927455" w:rsidRDefault="00E21611" w:rsidP="00F93AB4">
                  <w:pPr>
                    <w:ind w:left="454" w:hanging="454"/>
                    <w:jc w:val="both"/>
                    <w:rPr>
                      <w:sz w:val="18"/>
                      <w:szCs w:val="18"/>
                      <w:lang w:val="fr-BE"/>
                    </w:rPr>
                  </w:pPr>
                  <w:r w:rsidRPr="00927455">
                    <w:rPr>
                      <w:sz w:val="18"/>
                      <w:szCs w:val="18"/>
                      <w:lang w:val="fr-BE"/>
                    </w:rPr>
                    <w:t xml:space="preserve">  /</w:t>
                  </w:r>
                  <w:r w:rsidRPr="00927455">
                    <w:rPr>
                      <w:sz w:val="18"/>
                      <w:szCs w:val="18"/>
                      <w:lang w:val="fr-BE"/>
                    </w:rPr>
                    <w:tab/>
                    <w:t>pas d’exigences</w:t>
                  </w:r>
                </w:p>
                <w:p w14:paraId="609DD4CC" w14:textId="77777777" w:rsidR="00E21611" w:rsidRPr="00927455" w:rsidRDefault="00E21611" w:rsidP="007567AD">
                  <w:pPr>
                    <w:numPr>
                      <w:ilvl w:val="0"/>
                      <w:numId w:val="12"/>
                    </w:numPr>
                    <w:spacing w:before="57" w:after="57" w:line="230" w:lineRule="atLeast"/>
                    <w:jc w:val="both"/>
                    <w:rPr>
                      <w:sz w:val="18"/>
                      <w:szCs w:val="18"/>
                      <w:lang w:val="fr-BE"/>
                    </w:rPr>
                  </w:pPr>
                  <w:r w:rsidRPr="00927455">
                    <w:rPr>
                      <w:sz w:val="18"/>
                      <w:szCs w:val="18"/>
                      <w:lang w:val="fr-BE"/>
                    </w:rPr>
                    <w:t>c’est-à-dire y compris l’influence éventuelle des couches sous-jacentes et le mode de mise en œuvre (</w:t>
                  </w:r>
                  <w:proofErr w:type="spellStart"/>
                  <w:r w:rsidRPr="00927455">
                    <w:rPr>
                      <w:sz w:val="18"/>
                      <w:szCs w:val="18"/>
                      <w:lang w:val="fr-BE"/>
                    </w:rPr>
                    <w:t>cfr</w:t>
                  </w:r>
                  <w:proofErr w:type="spellEnd"/>
                  <w:r w:rsidRPr="00927455">
                    <w:rPr>
                      <w:sz w:val="18"/>
                      <w:szCs w:val="18"/>
                      <w:lang w:val="fr-BE"/>
                    </w:rPr>
                    <w:t xml:space="preserve">. point 3.4 de l’annexe 1). Les couches </w:t>
                  </w:r>
                  <w:r w:rsidR="00A4142B" w:rsidRPr="00927455">
                    <w:rPr>
                      <w:sz w:val="18"/>
                      <w:szCs w:val="18"/>
                      <w:lang w:val="fr-BE"/>
                    </w:rPr>
                    <w:t>sous-jacentes</w:t>
                  </w:r>
                  <w:r w:rsidRPr="00927455">
                    <w:rPr>
                      <w:sz w:val="18"/>
                      <w:szCs w:val="18"/>
                      <w:lang w:val="fr-BE"/>
                    </w:rPr>
                    <w:t xml:space="preserve"> ne doivent toutefois pas être prises en compte dans l’évaluation de la classe de réaction au feu du revêtement si elles sont protégées, depuis l’extérieur, par un élément de construction présentant :</w:t>
                  </w:r>
                </w:p>
                <w:p w14:paraId="21F9812F" w14:textId="77777777" w:rsidR="00E21611" w:rsidRPr="00927455" w:rsidRDefault="00E21611" w:rsidP="007567AD">
                  <w:pPr>
                    <w:numPr>
                      <w:ilvl w:val="1"/>
                      <w:numId w:val="12"/>
                    </w:numPr>
                    <w:spacing w:before="57" w:after="57" w:line="230" w:lineRule="atLeast"/>
                    <w:jc w:val="both"/>
                    <w:rPr>
                      <w:sz w:val="18"/>
                      <w:szCs w:val="18"/>
                      <w:lang w:val="fr-BE"/>
                    </w:rPr>
                  </w:pPr>
                  <w:r w:rsidRPr="00927455">
                    <w:rPr>
                      <w:sz w:val="18"/>
                      <w:szCs w:val="18"/>
                      <w:lang w:val="fr-BE"/>
                    </w:rPr>
                    <w:t>une capacité de protection contre l’incendie K</w:t>
                  </w:r>
                  <w:r w:rsidRPr="00927455">
                    <w:rPr>
                      <w:sz w:val="18"/>
                      <w:szCs w:val="18"/>
                      <w:vertAlign w:val="subscript"/>
                      <w:lang w:val="fr-BE"/>
                    </w:rPr>
                    <w:t>2</w:t>
                  </w:r>
                  <w:r w:rsidRPr="00927455">
                    <w:rPr>
                      <w:sz w:val="18"/>
                      <w:szCs w:val="18"/>
                      <w:lang w:val="fr-BE"/>
                    </w:rPr>
                    <w:t> 30 ou une résistance au feu EI 30 (bâtiments élevés) ;</w:t>
                  </w:r>
                </w:p>
                <w:p w14:paraId="7BDDB133" w14:textId="77777777" w:rsidR="00E21611" w:rsidRPr="00927455" w:rsidRDefault="00E21611" w:rsidP="007567AD">
                  <w:pPr>
                    <w:numPr>
                      <w:ilvl w:val="1"/>
                      <w:numId w:val="12"/>
                    </w:numPr>
                    <w:spacing w:before="57" w:after="57" w:line="230" w:lineRule="atLeast"/>
                    <w:jc w:val="both"/>
                    <w:rPr>
                      <w:sz w:val="18"/>
                      <w:szCs w:val="18"/>
                      <w:lang w:val="fr-BE"/>
                    </w:rPr>
                  </w:pPr>
                  <w:r w:rsidRPr="00927455">
                    <w:rPr>
                      <w:sz w:val="18"/>
                      <w:szCs w:val="18"/>
                      <w:lang w:val="fr-BE"/>
                    </w:rPr>
                    <w:t>une capacité de protection contre l’incendie K</w:t>
                  </w:r>
                  <w:r w:rsidRPr="00927455">
                    <w:rPr>
                      <w:sz w:val="18"/>
                      <w:szCs w:val="18"/>
                      <w:vertAlign w:val="subscript"/>
                      <w:lang w:val="fr-BE"/>
                    </w:rPr>
                    <w:t>2</w:t>
                  </w:r>
                  <w:r w:rsidRPr="00927455">
                    <w:rPr>
                      <w:sz w:val="18"/>
                      <w:szCs w:val="18"/>
                      <w:lang w:val="fr-BE"/>
                    </w:rPr>
                    <w:t> 10 ou une résistance au feu EI 15 (bâtiments bas et moyens).</w:t>
                  </w:r>
                </w:p>
                <w:p w14:paraId="02E3FC86" w14:textId="77777777" w:rsidR="00E21611" w:rsidRPr="00927455" w:rsidRDefault="00E21611" w:rsidP="007567AD">
                  <w:pPr>
                    <w:numPr>
                      <w:ilvl w:val="0"/>
                      <w:numId w:val="12"/>
                    </w:numPr>
                    <w:spacing w:before="57" w:after="57" w:line="230" w:lineRule="atLeast"/>
                    <w:jc w:val="both"/>
                    <w:rPr>
                      <w:sz w:val="18"/>
                      <w:szCs w:val="18"/>
                      <w:lang w:val="fr-BE"/>
                    </w:rPr>
                  </w:pPr>
                  <w:r w:rsidRPr="00927455">
                    <w:rPr>
                      <w:sz w:val="18"/>
                      <w:szCs w:val="18"/>
                      <w:lang w:val="fr-BE"/>
                    </w:rPr>
                    <w:t>c’est-à-dire sur le produit tels qu'il est mis sur le marché</w:t>
                  </w:r>
                  <w:r w:rsidRPr="00927455" w:rsidDel="00186D1D">
                    <w:rPr>
                      <w:sz w:val="18"/>
                      <w:szCs w:val="18"/>
                      <w:lang w:val="fr-BE"/>
                    </w:rPr>
                    <w:t xml:space="preserve"> </w:t>
                  </w:r>
                  <w:r w:rsidRPr="00927455">
                    <w:rPr>
                      <w:sz w:val="18"/>
                      <w:szCs w:val="18"/>
                      <w:lang w:val="fr-BE"/>
                    </w:rPr>
                    <w:t>, l’influence des couches sous-jacentes ne doit pas être prise en compte.</w:t>
                  </w:r>
                </w:p>
                <w:p w14:paraId="7F5B520E" w14:textId="77777777" w:rsidR="00E21611" w:rsidRPr="00927455" w:rsidRDefault="00E21611" w:rsidP="007567AD">
                  <w:pPr>
                    <w:numPr>
                      <w:ilvl w:val="0"/>
                      <w:numId w:val="12"/>
                    </w:numPr>
                    <w:spacing w:before="57" w:after="57" w:line="230" w:lineRule="atLeast"/>
                    <w:jc w:val="both"/>
                    <w:rPr>
                      <w:sz w:val="18"/>
                      <w:szCs w:val="18"/>
                      <w:lang w:val="fr-BE"/>
                    </w:rPr>
                  </w:pPr>
                  <w:proofErr w:type="spellStart"/>
                  <w:r w:rsidRPr="00927455">
                    <w:rPr>
                      <w:sz w:val="18"/>
                      <w:szCs w:val="18"/>
                      <w:lang w:val="fr-BE"/>
                    </w:rPr>
                    <w:t>cfr</w:t>
                  </w:r>
                  <w:proofErr w:type="spellEnd"/>
                  <w:r w:rsidRPr="00927455">
                    <w:rPr>
                      <w:sz w:val="18"/>
                      <w:szCs w:val="18"/>
                      <w:lang w:val="fr-BE"/>
                    </w:rPr>
                    <w:t>. définitions reprises au point 3.1 de l’annexe 1.</w:t>
                  </w:r>
                </w:p>
                <w:p w14:paraId="6D67D7D3" w14:textId="77777777" w:rsidR="00E21611" w:rsidRPr="00927455" w:rsidRDefault="00E21611" w:rsidP="007567AD">
                  <w:pPr>
                    <w:numPr>
                      <w:ilvl w:val="0"/>
                      <w:numId w:val="12"/>
                    </w:numPr>
                    <w:spacing w:before="57" w:after="57" w:line="230" w:lineRule="atLeast"/>
                    <w:jc w:val="both"/>
                    <w:rPr>
                      <w:sz w:val="18"/>
                      <w:szCs w:val="18"/>
                      <w:lang w:val="fr-BE"/>
                    </w:rPr>
                  </w:pPr>
                  <w:r w:rsidRPr="00927455">
                    <w:rPr>
                      <w:sz w:val="18"/>
                      <w:szCs w:val="18"/>
                      <w:lang w:val="fr-BE"/>
                    </w:rPr>
                    <w:t>complètement protégés de l’incendie : les composants substantiels sont protégés complètement (sur toutes les faces, à la fois vis-à-vis d’un incendie depuis l’intérieur et d’un incendie depuis l’extérieur) par un élément de construction présentant :</w:t>
                  </w:r>
                </w:p>
                <w:p w14:paraId="43CFAA6B" w14:textId="77777777" w:rsidR="00E21611" w:rsidRPr="00927455" w:rsidRDefault="00E21611" w:rsidP="007567AD">
                  <w:pPr>
                    <w:numPr>
                      <w:ilvl w:val="1"/>
                      <w:numId w:val="12"/>
                    </w:numPr>
                    <w:spacing w:before="57" w:after="57" w:line="230" w:lineRule="atLeast"/>
                    <w:jc w:val="both"/>
                    <w:rPr>
                      <w:sz w:val="18"/>
                      <w:szCs w:val="18"/>
                      <w:lang w:val="fr-BE"/>
                    </w:rPr>
                  </w:pPr>
                  <w:r w:rsidRPr="00927455">
                    <w:rPr>
                      <w:sz w:val="18"/>
                      <w:szCs w:val="18"/>
                      <w:lang w:val="fr-BE"/>
                    </w:rPr>
                    <w:t>une capacité de protection contre l’incendie K</w:t>
                  </w:r>
                  <w:r w:rsidRPr="00927455">
                    <w:rPr>
                      <w:sz w:val="18"/>
                      <w:szCs w:val="18"/>
                      <w:vertAlign w:val="subscript"/>
                      <w:lang w:val="fr-BE"/>
                    </w:rPr>
                    <w:t>2</w:t>
                  </w:r>
                  <w:r w:rsidRPr="00927455">
                    <w:rPr>
                      <w:sz w:val="18"/>
                      <w:szCs w:val="18"/>
                      <w:lang w:val="fr-BE"/>
                    </w:rPr>
                    <w:t> 30 ou une résistance au feu EI 30 (bâtiments élevés) ;</w:t>
                  </w:r>
                </w:p>
                <w:p w14:paraId="10C9B2F3" w14:textId="77777777" w:rsidR="00E21611" w:rsidRPr="00927455" w:rsidRDefault="00E21611" w:rsidP="007567AD">
                  <w:pPr>
                    <w:numPr>
                      <w:ilvl w:val="1"/>
                      <w:numId w:val="12"/>
                    </w:numPr>
                    <w:spacing w:before="57" w:after="57" w:line="230" w:lineRule="atLeast"/>
                    <w:jc w:val="both"/>
                    <w:rPr>
                      <w:sz w:val="18"/>
                      <w:szCs w:val="18"/>
                      <w:lang w:val="fr-BE"/>
                    </w:rPr>
                  </w:pPr>
                  <w:r w:rsidRPr="00927455">
                    <w:rPr>
                      <w:sz w:val="18"/>
                      <w:szCs w:val="18"/>
                      <w:lang w:val="fr-BE"/>
                    </w:rPr>
                    <w:t>une capacité de protection contre l’incendie K</w:t>
                  </w:r>
                  <w:r w:rsidRPr="00927455">
                    <w:rPr>
                      <w:sz w:val="18"/>
                      <w:szCs w:val="18"/>
                      <w:vertAlign w:val="subscript"/>
                      <w:lang w:val="fr-BE"/>
                    </w:rPr>
                    <w:t>2</w:t>
                  </w:r>
                  <w:r w:rsidRPr="00927455">
                    <w:rPr>
                      <w:sz w:val="18"/>
                      <w:szCs w:val="18"/>
                      <w:lang w:val="fr-BE"/>
                    </w:rPr>
                    <w:t> 10 ou une résistance au feu EI 15 (bâtiments moyens).</w:t>
                  </w:r>
                </w:p>
                <w:p w14:paraId="24E2D338" w14:textId="77777777" w:rsidR="00E21611" w:rsidRPr="00927455" w:rsidRDefault="00E21611" w:rsidP="007567AD">
                  <w:pPr>
                    <w:numPr>
                      <w:ilvl w:val="0"/>
                      <w:numId w:val="12"/>
                    </w:numPr>
                    <w:spacing w:before="57" w:after="57" w:line="230" w:lineRule="atLeast"/>
                    <w:jc w:val="both"/>
                    <w:rPr>
                      <w:sz w:val="18"/>
                      <w:szCs w:val="18"/>
                      <w:lang w:val="fr-BE"/>
                    </w:rPr>
                  </w:pPr>
                  <w:r w:rsidRPr="00927455">
                    <w:rPr>
                      <w:sz w:val="18"/>
                      <w:szCs w:val="18"/>
                      <w:lang w:val="fr-BE"/>
                    </w:rPr>
                    <w:t>les profilés des portes et fenêtres et les vitrages dans les façades ne sont pas soumis aux exigences.</w:t>
                  </w:r>
                </w:p>
                <w:p w14:paraId="2CCDD500" w14:textId="77777777" w:rsidR="00E21611" w:rsidRPr="00927455" w:rsidRDefault="00E21611" w:rsidP="007567AD">
                  <w:pPr>
                    <w:numPr>
                      <w:ilvl w:val="0"/>
                      <w:numId w:val="12"/>
                    </w:numPr>
                    <w:spacing w:before="57" w:after="57" w:line="230" w:lineRule="atLeast"/>
                    <w:jc w:val="both"/>
                    <w:rPr>
                      <w:sz w:val="18"/>
                      <w:szCs w:val="18"/>
                      <w:lang w:val="fr-BE"/>
                    </w:rPr>
                  </w:pPr>
                  <w:r w:rsidRPr="00927455">
                    <w:rPr>
                      <w:sz w:val="18"/>
                      <w:szCs w:val="18"/>
                      <w:lang w:val="fr-BE"/>
                    </w:rPr>
                    <w:t>les portes, les éléments décoratifs, les joints et les équipements techniques de la façade, tels que les enseignes, les luminaires, les grilles de ventilation, les gouttières, les bacs de plantes et les ventouses de chaudières, ne sont pas soumis aux exigences si leur superficie visible cumulée est inférieure à 5% de la superficie visible de la façade considérée.</w:t>
                  </w:r>
                </w:p>
                <w:p w14:paraId="6F7129AE" w14:textId="77777777" w:rsidR="00E21611" w:rsidRPr="00927455" w:rsidRDefault="00E21611" w:rsidP="007567AD">
                  <w:pPr>
                    <w:numPr>
                      <w:ilvl w:val="0"/>
                      <w:numId w:val="12"/>
                    </w:numPr>
                    <w:spacing w:before="57" w:after="57" w:line="230" w:lineRule="atLeast"/>
                    <w:jc w:val="both"/>
                    <w:rPr>
                      <w:sz w:val="18"/>
                      <w:szCs w:val="18"/>
                      <w:lang w:val="fr-BE"/>
                    </w:rPr>
                  </w:pPr>
                  <w:proofErr w:type="spellStart"/>
                  <w:r w:rsidRPr="00927455">
                    <w:rPr>
                      <w:sz w:val="18"/>
                      <w:szCs w:val="18"/>
                      <w:lang w:val="fr-BE"/>
                    </w:rPr>
                    <w:t>cfr</w:t>
                  </w:r>
                  <w:proofErr w:type="spellEnd"/>
                  <w:r w:rsidRPr="00927455">
                    <w:rPr>
                      <w:sz w:val="18"/>
                      <w:szCs w:val="18"/>
                      <w:lang w:val="fr-BE"/>
                    </w:rPr>
                    <w:t>. point 6.1.2 Solutions-type pour les bâtiments moyens.</w:t>
                  </w:r>
                </w:p>
                <w:p w14:paraId="6358D964" w14:textId="77777777" w:rsidR="00E21611" w:rsidRPr="00927455" w:rsidRDefault="00E21611" w:rsidP="007567AD">
                  <w:pPr>
                    <w:pStyle w:val="Paragraphedeliste"/>
                    <w:numPr>
                      <w:ilvl w:val="0"/>
                      <w:numId w:val="12"/>
                    </w:numPr>
                    <w:spacing w:after="0" w:line="230" w:lineRule="atLeast"/>
                    <w:rPr>
                      <w:sz w:val="18"/>
                      <w:szCs w:val="18"/>
                      <w:lang w:val="fr-BE"/>
                    </w:rPr>
                  </w:pPr>
                  <w:proofErr w:type="spellStart"/>
                  <w:r w:rsidRPr="00927455">
                    <w:rPr>
                      <w:sz w:val="18"/>
                      <w:szCs w:val="18"/>
                      <w:lang w:val="fr-BE"/>
                    </w:rPr>
                    <w:t>cfr</w:t>
                  </w:r>
                  <w:proofErr w:type="spellEnd"/>
                  <w:r w:rsidRPr="00927455">
                    <w:rPr>
                      <w:sz w:val="18"/>
                      <w:szCs w:val="18"/>
                      <w:lang w:val="fr-BE"/>
                    </w:rPr>
                    <w:t>. point 6.1.3 Solution-type pour les bâtiments élevés.</w:t>
                  </w:r>
                </w:p>
                <w:p w14:paraId="6298C1CB" w14:textId="77777777" w:rsidR="00E21611" w:rsidRPr="00927455" w:rsidRDefault="00E21611" w:rsidP="00E21611">
                  <w:pPr>
                    <w:pStyle w:val="Paragraphedeliste"/>
                    <w:spacing w:after="0" w:line="230" w:lineRule="atLeast"/>
                    <w:ind w:left="454"/>
                    <w:rPr>
                      <w:sz w:val="18"/>
                      <w:szCs w:val="18"/>
                      <w:lang w:val="fr-BE"/>
                    </w:rPr>
                  </w:pPr>
                </w:p>
              </w:tc>
            </w:tr>
          </w:tbl>
          <w:p w14:paraId="19379B9E" w14:textId="77777777" w:rsidR="00E21611" w:rsidRPr="00927455" w:rsidRDefault="00E21611" w:rsidP="00F93AB4">
            <w:pPr>
              <w:jc w:val="both"/>
              <w:rPr>
                <w:sz w:val="18"/>
                <w:szCs w:val="18"/>
                <w:lang w:val="fr-BE"/>
              </w:rPr>
            </w:pPr>
          </w:p>
        </w:tc>
      </w:tr>
    </w:tbl>
    <w:tbl>
      <w:tblPr>
        <w:tblStyle w:val="Grilledutableau"/>
        <w:tblW w:w="0" w:type="auto"/>
        <w:tblLook w:val="04A0" w:firstRow="1" w:lastRow="0" w:firstColumn="1" w:lastColumn="0" w:noHBand="0" w:noVBand="1"/>
      </w:tblPr>
      <w:tblGrid>
        <w:gridCol w:w="4524"/>
      </w:tblGrid>
      <w:tr w:rsidR="00754BD6" w:rsidRPr="00754BD6" w14:paraId="3507A948" w14:textId="77777777" w:rsidTr="004F667F">
        <w:tc>
          <w:tcPr>
            <w:tcW w:w="4524" w:type="dxa"/>
          </w:tcPr>
          <w:p w14:paraId="3BA05E17" w14:textId="77777777" w:rsidR="00754BD6" w:rsidRPr="00927455" w:rsidRDefault="00754BD6" w:rsidP="003774D1">
            <w:pPr>
              <w:rPr>
                <w:b/>
                <w:lang w:val="fr-BE"/>
              </w:rPr>
            </w:pPr>
            <w:r w:rsidRPr="00927455">
              <w:rPr>
                <w:b/>
                <w:lang w:val="fr-BE"/>
              </w:rPr>
              <w:lastRenderedPageBreak/>
              <w:t>6.1.2 Solutions-type pour les bâtiments moyens</w:t>
            </w:r>
          </w:p>
          <w:p w14:paraId="12467BCA" w14:textId="77777777" w:rsidR="00754BD6" w:rsidRPr="00927455" w:rsidRDefault="00754BD6" w:rsidP="003774D1">
            <w:pPr>
              <w:rPr>
                <w:b/>
                <w:lang w:val="fr-BE"/>
              </w:rPr>
            </w:pPr>
          </w:p>
        </w:tc>
      </w:tr>
      <w:tr w:rsidR="00754BD6" w:rsidRPr="00754BD6" w14:paraId="6B495B32" w14:textId="77777777" w:rsidTr="004F667F">
        <w:tc>
          <w:tcPr>
            <w:tcW w:w="4524" w:type="dxa"/>
          </w:tcPr>
          <w:p w14:paraId="437556C1" w14:textId="77777777" w:rsidR="00754BD6" w:rsidRPr="00927455" w:rsidRDefault="00754BD6" w:rsidP="003774D1">
            <w:pPr>
              <w:rPr>
                <w:lang w:val="fr-BE"/>
              </w:rPr>
            </w:pPr>
            <w:r w:rsidRPr="00927455">
              <w:rPr>
                <w:lang w:val="fr-BE"/>
              </w:rPr>
              <w:t>Pour les bâtiments moyens, les composants substantiels de la façade peuvent présenter la classe E si la façade satisfait à l’une des solutions-type suivantes.</w:t>
            </w:r>
          </w:p>
          <w:p w14:paraId="078DF053" w14:textId="77777777" w:rsidR="00754BD6" w:rsidRPr="00927455" w:rsidRDefault="00754BD6" w:rsidP="003774D1">
            <w:pPr>
              <w:rPr>
                <w:lang w:val="fr-BE"/>
              </w:rPr>
            </w:pPr>
          </w:p>
        </w:tc>
      </w:tr>
      <w:tr w:rsidR="00754BD6" w:rsidRPr="00754BD6" w14:paraId="4401BCD9" w14:textId="77777777" w:rsidTr="004F667F">
        <w:tc>
          <w:tcPr>
            <w:tcW w:w="4524" w:type="dxa"/>
          </w:tcPr>
          <w:p w14:paraId="7EC32A2B" w14:textId="77777777" w:rsidR="00754BD6" w:rsidRPr="00927455" w:rsidRDefault="00754BD6" w:rsidP="003774D1">
            <w:pPr>
              <w:rPr>
                <w:b/>
                <w:lang w:val="fr-BE"/>
              </w:rPr>
            </w:pPr>
            <w:r w:rsidRPr="00927455">
              <w:rPr>
                <w:b/>
                <w:lang w:val="fr-BE"/>
              </w:rPr>
              <w:t>6.1.2.1</w:t>
            </w:r>
            <w:r w:rsidRPr="00927455">
              <w:rPr>
                <w:b/>
                <w:lang w:val="fr-BE"/>
              </w:rPr>
              <w:tab/>
              <w:t>Solution-type pour façade avec lame d’air continue</w:t>
            </w:r>
          </w:p>
          <w:p w14:paraId="20359E2C" w14:textId="77777777" w:rsidR="00754BD6" w:rsidRPr="00927455" w:rsidRDefault="00754BD6" w:rsidP="003774D1">
            <w:pPr>
              <w:rPr>
                <w:b/>
                <w:lang w:val="fr-BE"/>
              </w:rPr>
            </w:pPr>
          </w:p>
        </w:tc>
      </w:tr>
      <w:tr w:rsidR="00754BD6" w:rsidRPr="00754BD6" w14:paraId="60B0B37E" w14:textId="77777777" w:rsidTr="004F667F">
        <w:tc>
          <w:tcPr>
            <w:tcW w:w="4524" w:type="dxa"/>
          </w:tcPr>
          <w:p w14:paraId="140560E8" w14:textId="178E25B3" w:rsidR="00754BD6" w:rsidRPr="00927455" w:rsidRDefault="00754BD6" w:rsidP="00CD4487">
            <w:pPr>
              <w:rPr>
                <w:lang w:val="fr-BE"/>
              </w:rPr>
            </w:pPr>
            <w:r w:rsidRPr="00927455">
              <w:rPr>
                <w:lang w:val="fr-BE"/>
              </w:rPr>
              <w:t>L’isolant ne peut pas être de type EPS (polystyrène expansé) ou XPS (polystyrène extrudé).</w:t>
            </w:r>
          </w:p>
          <w:p w14:paraId="2D63738F" w14:textId="77777777" w:rsidR="00754BD6" w:rsidRPr="00927455" w:rsidRDefault="00754BD6" w:rsidP="00CD4487">
            <w:pPr>
              <w:rPr>
                <w:lang w:val="fr-BE"/>
              </w:rPr>
            </w:pPr>
          </w:p>
          <w:p w14:paraId="5B54EF2B" w14:textId="77777777" w:rsidR="00754BD6" w:rsidRPr="00927455" w:rsidRDefault="00754BD6" w:rsidP="00CD4487">
            <w:pPr>
              <w:rPr>
                <w:lang w:val="fr-BE"/>
              </w:rPr>
            </w:pPr>
            <w:r w:rsidRPr="00927455">
              <w:rPr>
                <w:lang w:val="fr-BE"/>
              </w:rPr>
              <w:t xml:space="preserve">Au niveau du plancher entre le 1er étage et le 2e étage, une barrière coupe-feu doit être placée. Si la distance verticale entre cette barrière coupe-feu  et le sol extérieur est supérieure à 8 m, il convient d’ajouter une </w:t>
            </w:r>
            <w:r w:rsidRPr="00927455">
              <w:rPr>
                <w:lang w:val="fr-BE"/>
              </w:rPr>
              <w:lastRenderedPageBreak/>
              <w:t>ou des barrières coupe-feu tous les 8 m. (planche 5.2)</w:t>
            </w:r>
          </w:p>
          <w:p w14:paraId="646823A1" w14:textId="77777777" w:rsidR="00754BD6" w:rsidRPr="00927455" w:rsidRDefault="00754BD6" w:rsidP="00CD4487">
            <w:pPr>
              <w:rPr>
                <w:lang w:val="fr-BE"/>
              </w:rPr>
            </w:pPr>
          </w:p>
          <w:p w14:paraId="0A2BBD9F" w14:textId="77777777" w:rsidR="00754BD6" w:rsidRPr="00927455" w:rsidRDefault="00754BD6" w:rsidP="00CD4487">
            <w:pPr>
              <w:rPr>
                <w:lang w:val="fr-BE"/>
              </w:rPr>
            </w:pPr>
            <w:r w:rsidRPr="00927455">
              <w:rPr>
                <w:lang w:val="fr-BE"/>
              </w:rPr>
              <w:t>Au-delà de la barrière coupe-feu précédente, une barrière coupe-feu doit être placée :</w:t>
            </w:r>
          </w:p>
          <w:p w14:paraId="4B161FFA" w14:textId="77777777" w:rsidR="00754BD6" w:rsidRPr="00927455" w:rsidRDefault="00754BD6" w:rsidP="00CD4487">
            <w:pPr>
              <w:rPr>
                <w:lang w:val="fr-BE"/>
              </w:rPr>
            </w:pPr>
            <w:r w:rsidRPr="00927455">
              <w:rPr>
                <w:lang w:val="fr-BE"/>
              </w:rPr>
              <w:t>- soit tous les 2 niveaux ;</w:t>
            </w:r>
          </w:p>
          <w:p w14:paraId="2AD5A1E6" w14:textId="77777777" w:rsidR="00754BD6" w:rsidRPr="00927455" w:rsidRDefault="00754BD6" w:rsidP="00CD4487">
            <w:pPr>
              <w:rPr>
                <w:lang w:val="fr-BE"/>
              </w:rPr>
            </w:pPr>
            <w:r w:rsidRPr="00927455">
              <w:rPr>
                <w:lang w:val="fr-BE"/>
              </w:rPr>
              <w:t>- soit autour de chaque ouverture</w:t>
            </w:r>
          </w:p>
        </w:tc>
      </w:tr>
      <w:tr w:rsidR="00754BD6" w:rsidRPr="00754BD6" w14:paraId="141AB2EF" w14:textId="77777777" w:rsidTr="004F667F">
        <w:tc>
          <w:tcPr>
            <w:tcW w:w="4524" w:type="dxa"/>
          </w:tcPr>
          <w:p w14:paraId="1AA3AC6E" w14:textId="77777777" w:rsidR="00754BD6" w:rsidRPr="00927455" w:rsidRDefault="00754BD6" w:rsidP="003774D1">
            <w:pPr>
              <w:rPr>
                <w:lang w:val="fr-BE"/>
              </w:rPr>
            </w:pPr>
          </w:p>
        </w:tc>
      </w:tr>
    </w:tbl>
    <w:tbl>
      <w:tblPr>
        <w:tblStyle w:val="Tabelraster5"/>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CD4487" w:rsidRPr="00927455" w14:paraId="65909A06" w14:textId="77777777" w:rsidTr="00CD4487">
        <w:tc>
          <w:tcPr>
            <w:tcW w:w="1020" w:type="dxa"/>
            <w:tcMar>
              <w:right w:w="0" w:type="dxa"/>
            </w:tcMar>
          </w:tcPr>
          <w:p w14:paraId="44A6F48C" w14:textId="77777777" w:rsidR="00CD4487" w:rsidRPr="00927455" w:rsidRDefault="00CD4487" w:rsidP="00F93AB4">
            <w:pPr>
              <w:rPr>
                <w:lang w:val="nl-BE" w:eastAsia="nl-NL"/>
              </w:rPr>
            </w:pPr>
          </w:p>
        </w:tc>
        <w:tc>
          <w:tcPr>
            <w:tcW w:w="8833" w:type="dxa"/>
            <w:tcMar>
              <w:left w:w="0" w:type="dxa"/>
            </w:tcMar>
            <w:vAlign w:val="center"/>
          </w:tcPr>
          <w:p w14:paraId="540076D3" w14:textId="77777777" w:rsidR="00CD4487" w:rsidRPr="00927455" w:rsidRDefault="00CD4487" w:rsidP="00F93AB4">
            <w:pPr>
              <w:widowControl w:val="0"/>
              <w:tabs>
                <w:tab w:val="left" w:pos="2880"/>
              </w:tabs>
              <w:contextualSpacing/>
              <w:jc w:val="both"/>
              <w:rPr>
                <w:lang w:eastAsia="nl-NL"/>
              </w:rPr>
            </w:pPr>
            <w:r w:rsidRPr="00927455">
              <w:rPr>
                <w:noProof/>
                <w:lang w:eastAsia="nl-BE"/>
              </w:rPr>
              <w:drawing>
                <wp:inline distT="0" distB="0" distL="0" distR="0" wp14:anchorId="0F807516" wp14:editId="4E1880EB">
                  <wp:extent cx="3672000" cy="2919600"/>
                  <wp:effectExtent l="0" t="0" r="508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 Façades-Model 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2000" cy="2919600"/>
                          </a:xfrm>
                          <a:prstGeom prst="rect">
                            <a:avLst/>
                          </a:prstGeom>
                        </pic:spPr>
                      </pic:pic>
                    </a:graphicData>
                  </a:graphic>
                </wp:inline>
              </w:drawing>
            </w:r>
          </w:p>
          <w:p w14:paraId="30DB5FEF" w14:textId="77777777" w:rsidR="00CD4487" w:rsidRPr="00927455" w:rsidRDefault="00CD4487" w:rsidP="00F93AB4">
            <w:pPr>
              <w:widowControl w:val="0"/>
              <w:tabs>
                <w:tab w:val="left" w:pos="2880"/>
              </w:tabs>
              <w:ind w:left="1134" w:hanging="414"/>
              <w:contextualSpacing/>
              <w:jc w:val="both"/>
              <w:rPr>
                <w:lang w:val="fr-BE" w:eastAsia="fr-BE"/>
              </w:rPr>
            </w:pPr>
            <w:r w:rsidRPr="00927455">
              <w:rPr>
                <w:noProof/>
                <w:lang w:eastAsia="nl-BE"/>
              </w:rPr>
              <w:drawing>
                <wp:inline distT="0" distB="0" distL="0" distR="0" wp14:anchorId="0E986EFE" wp14:editId="08E6AE5D">
                  <wp:extent cx="220345" cy="125095"/>
                  <wp:effectExtent l="0" t="0" r="8255" b="825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a:extLst>
                              <a:ext uri="{28A0092B-C50C-407E-A947-70E740481C1C}">
                                <a14:useLocalDpi xmlns:a14="http://schemas.microsoft.com/office/drawing/2010/main" val="0"/>
                              </a:ext>
                            </a:extLst>
                          </a:blip>
                          <a:srcRect l="8762" t="46848" r="87286" b="49483"/>
                          <a:stretch>
                            <a:fillRect/>
                          </a:stretch>
                        </pic:blipFill>
                        <pic:spPr bwMode="auto">
                          <a:xfrm>
                            <a:off x="0" y="0"/>
                            <a:ext cx="220345" cy="125095"/>
                          </a:xfrm>
                          <a:prstGeom prst="rect">
                            <a:avLst/>
                          </a:prstGeom>
                          <a:noFill/>
                          <a:ln>
                            <a:noFill/>
                          </a:ln>
                        </pic:spPr>
                      </pic:pic>
                    </a:graphicData>
                  </a:graphic>
                </wp:inline>
              </w:drawing>
            </w:r>
            <w:r w:rsidRPr="00927455">
              <w:rPr>
                <w:lang w:val="fr-BE" w:eastAsia="fr-BE"/>
              </w:rPr>
              <w:t xml:space="preserve"> Barrière coupe-feu</w:t>
            </w:r>
          </w:p>
          <w:p w14:paraId="6AFC2126" w14:textId="77777777" w:rsidR="00CD4487" w:rsidRPr="00927455" w:rsidRDefault="00CD4487" w:rsidP="00F93AB4">
            <w:pPr>
              <w:widowControl w:val="0"/>
              <w:tabs>
                <w:tab w:val="left" w:pos="2880"/>
              </w:tabs>
              <w:contextualSpacing/>
              <w:jc w:val="both"/>
              <w:rPr>
                <w:lang w:val="fr-BE" w:eastAsia="nl-NL"/>
              </w:rPr>
            </w:pPr>
          </w:p>
        </w:tc>
      </w:tr>
    </w:tbl>
    <w:tbl>
      <w:tblPr>
        <w:tblStyle w:val="Grilledutableau"/>
        <w:tblW w:w="0" w:type="auto"/>
        <w:tblLook w:val="04A0" w:firstRow="1" w:lastRow="0" w:firstColumn="1" w:lastColumn="0" w:noHBand="0" w:noVBand="1"/>
      </w:tblPr>
      <w:tblGrid>
        <w:gridCol w:w="4524"/>
      </w:tblGrid>
      <w:tr w:rsidR="00754BD6" w:rsidRPr="00927455" w14:paraId="042EE7E9" w14:textId="77777777" w:rsidTr="004F667F">
        <w:tc>
          <w:tcPr>
            <w:tcW w:w="4524" w:type="dxa"/>
          </w:tcPr>
          <w:p w14:paraId="651F7DED" w14:textId="77777777" w:rsidR="00754BD6" w:rsidRPr="00927455" w:rsidRDefault="00754BD6" w:rsidP="003774D1">
            <w:proofErr w:type="spellStart"/>
            <w:r w:rsidRPr="00927455">
              <w:t>Planche</w:t>
            </w:r>
            <w:proofErr w:type="spellEnd"/>
            <w:r w:rsidRPr="00927455">
              <w:t xml:space="preserve"> 5.2</w:t>
            </w:r>
          </w:p>
        </w:tc>
      </w:tr>
      <w:tr w:rsidR="00754BD6" w:rsidRPr="00754BD6" w14:paraId="0035263F" w14:textId="77777777" w:rsidTr="004F667F">
        <w:tc>
          <w:tcPr>
            <w:tcW w:w="4524" w:type="dxa"/>
          </w:tcPr>
          <w:p w14:paraId="68170579" w14:textId="77777777" w:rsidR="00754BD6" w:rsidRPr="00927455" w:rsidRDefault="00754BD6" w:rsidP="00CD4487">
            <w:pPr>
              <w:rPr>
                <w:lang w:val="fr-BE"/>
              </w:rPr>
            </w:pPr>
            <w:r w:rsidRPr="00927455">
              <w:rPr>
                <w:lang w:val="fr-BE"/>
              </w:rPr>
              <w:t>Une barrière coupe-feu est un dispositif interrompant l’isolant et la lame d’air pour limiter le risque de propagation du feu à l’intérieur de la façade.</w:t>
            </w:r>
          </w:p>
          <w:p w14:paraId="5639D9C2" w14:textId="77777777" w:rsidR="00754BD6" w:rsidRPr="00927455" w:rsidRDefault="00754BD6" w:rsidP="00CD4487">
            <w:pPr>
              <w:rPr>
                <w:lang w:val="fr-BE"/>
              </w:rPr>
            </w:pPr>
          </w:p>
          <w:p w14:paraId="0463C969" w14:textId="77777777" w:rsidR="00754BD6" w:rsidRPr="00927455" w:rsidRDefault="00754BD6" w:rsidP="00CD4487">
            <w:pPr>
              <w:rPr>
                <w:lang w:val="fr-BE"/>
              </w:rPr>
            </w:pPr>
            <w:r w:rsidRPr="00927455">
              <w:rPr>
                <w:lang w:val="fr-BE"/>
              </w:rPr>
              <w:t>Les solution-types décrites ci-dessous permettent de satisfaire à cette exigence :</w:t>
            </w:r>
          </w:p>
          <w:p w14:paraId="03328422" w14:textId="77777777" w:rsidR="00754BD6" w:rsidRPr="00927455" w:rsidRDefault="00754BD6" w:rsidP="00CD4487">
            <w:pPr>
              <w:rPr>
                <w:lang w:val="fr-BE"/>
              </w:rPr>
            </w:pPr>
            <w:r w:rsidRPr="00927455">
              <w:rPr>
                <w:lang w:val="fr-BE"/>
              </w:rPr>
              <w:t>a) Un recoupement sur toute la largeur de la façade par une bavette en acier, une latte horizontale en bois, ou une bande filante horizontale en laine de roche ;</w:t>
            </w:r>
          </w:p>
          <w:p w14:paraId="4403CEAA" w14:textId="77777777" w:rsidR="00754BD6" w:rsidRPr="00927455" w:rsidRDefault="00754BD6" w:rsidP="00CD4487">
            <w:pPr>
              <w:rPr>
                <w:lang w:val="fr-BE"/>
              </w:rPr>
            </w:pPr>
            <w:r w:rsidRPr="00927455">
              <w:rPr>
                <w:lang w:val="fr-BE"/>
              </w:rPr>
              <w:t>b) Un encadrement (bords supérieurs et latéraux) autour de chaque ouverture dans façade par un encadrement en acier ou en bois, ou une bande horizontale et verticale en laine de roche.</w:t>
            </w:r>
          </w:p>
          <w:p w14:paraId="611C2015" w14:textId="77777777" w:rsidR="00754BD6" w:rsidRPr="00927455" w:rsidRDefault="00754BD6" w:rsidP="00CD4487">
            <w:pPr>
              <w:rPr>
                <w:lang w:val="fr-BE"/>
              </w:rPr>
            </w:pPr>
          </w:p>
          <w:p w14:paraId="0F07ABAF" w14:textId="77777777" w:rsidR="00754BD6" w:rsidRPr="00927455" w:rsidRDefault="00754BD6" w:rsidP="00CD4487">
            <w:pPr>
              <w:rPr>
                <w:lang w:val="fr-BE"/>
              </w:rPr>
            </w:pPr>
            <w:r w:rsidRPr="00927455">
              <w:rPr>
                <w:lang w:val="fr-BE"/>
              </w:rPr>
              <w:t>La bavette ou encadrement en acier a au moins les caractéristiques suivantes :</w:t>
            </w:r>
          </w:p>
          <w:p w14:paraId="34521B30" w14:textId="77777777" w:rsidR="00754BD6" w:rsidRPr="00927455" w:rsidRDefault="00754BD6" w:rsidP="00CD4487">
            <w:pPr>
              <w:rPr>
                <w:lang w:val="fr-BE"/>
              </w:rPr>
            </w:pPr>
            <w:r w:rsidRPr="00927455">
              <w:rPr>
                <w:lang w:val="fr-BE"/>
              </w:rPr>
              <w:t>- Épaisseur : 1 mm</w:t>
            </w:r>
          </w:p>
          <w:p w14:paraId="4CE9C645" w14:textId="77777777" w:rsidR="00754BD6" w:rsidRPr="00927455" w:rsidRDefault="00754BD6" w:rsidP="00CD4487">
            <w:pPr>
              <w:rPr>
                <w:lang w:val="fr-BE"/>
              </w:rPr>
            </w:pPr>
            <w:r w:rsidRPr="00927455">
              <w:rPr>
                <w:lang w:val="fr-BE"/>
              </w:rPr>
              <w:t>- Fixé mécaniquement</w:t>
            </w:r>
          </w:p>
          <w:p w14:paraId="3F6829FF" w14:textId="77777777" w:rsidR="00754BD6" w:rsidRPr="00927455" w:rsidRDefault="00754BD6" w:rsidP="00CD4487">
            <w:pPr>
              <w:rPr>
                <w:lang w:val="fr-BE"/>
              </w:rPr>
            </w:pPr>
          </w:p>
          <w:p w14:paraId="1A1FE8D1" w14:textId="77777777" w:rsidR="00754BD6" w:rsidRPr="00927455" w:rsidRDefault="00754BD6" w:rsidP="00CD4487">
            <w:pPr>
              <w:rPr>
                <w:lang w:val="fr-BE"/>
              </w:rPr>
            </w:pPr>
            <w:r w:rsidRPr="00927455">
              <w:rPr>
                <w:lang w:val="fr-BE"/>
              </w:rPr>
              <w:lastRenderedPageBreak/>
              <w:t>La bande en laine de roche a au moins les caractéristiques suivantes :</w:t>
            </w:r>
          </w:p>
          <w:p w14:paraId="553350D9" w14:textId="77777777" w:rsidR="00754BD6" w:rsidRPr="00927455" w:rsidRDefault="00754BD6" w:rsidP="00CD4487">
            <w:pPr>
              <w:rPr>
                <w:lang w:val="fr-BE"/>
              </w:rPr>
            </w:pPr>
            <w:r w:rsidRPr="00927455">
              <w:rPr>
                <w:lang w:val="fr-BE"/>
              </w:rPr>
              <w:t>- Hauteur/Largeur : 20 cm</w:t>
            </w:r>
          </w:p>
          <w:p w14:paraId="2CB17424" w14:textId="77777777" w:rsidR="00754BD6" w:rsidRPr="00927455" w:rsidRDefault="00754BD6" w:rsidP="00CD4487">
            <w:pPr>
              <w:rPr>
                <w:lang w:val="fr-BE"/>
              </w:rPr>
            </w:pPr>
            <w:r w:rsidRPr="00927455">
              <w:rPr>
                <w:lang w:val="fr-BE"/>
              </w:rPr>
              <w:t>- Classe de réaction au feu : A2-s3, d0</w:t>
            </w:r>
          </w:p>
          <w:p w14:paraId="2EC164B8" w14:textId="77777777" w:rsidR="00754BD6" w:rsidRPr="00927455" w:rsidRDefault="00754BD6" w:rsidP="00CD4487">
            <w:pPr>
              <w:rPr>
                <w:lang w:val="fr-BE"/>
              </w:rPr>
            </w:pPr>
            <w:r w:rsidRPr="00927455">
              <w:rPr>
                <w:lang w:val="fr-BE"/>
              </w:rPr>
              <w:t>- Densité : 60 kg/m³</w:t>
            </w:r>
          </w:p>
          <w:p w14:paraId="4C419FF0" w14:textId="77777777" w:rsidR="00754BD6" w:rsidRPr="00927455" w:rsidRDefault="00754BD6" w:rsidP="00CD4487">
            <w:pPr>
              <w:rPr>
                <w:lang w:val="fr-BE"/>
              </w:rPr>
            </w:pPr>
            <w:r w:rsidRPr="00927455">
              <w:rPr>
                <w:lang w:val="fr-BE"/>
              </w:rPr>
              <w:t>- Fixée mécaniquement</w:t>
            </w:r>
          </w:p>
          <w:p w14:paraId="0CA1A3C4" w14:textId="77777777" w:rsidR="00754BD6" w:rsidRPr="00927455" w:rsidRDefault="00754BD6" w:rsidP="00CD4487">
            <w:pPr>
              <w:rPr>
                <w:lang w:val="fr-BE"/>
              </w:rPr>
            </w:pPr>
          </w:p>
          <w:p w14:paraId="3014470F" w14:textId="77777777" w:rsidR="00754BD6" w:rsidRPr="00927455" w:rsidRDefault="00754BD6" w:rsidP="00CD4487">
            <w:pPr>
              <w:rPr>
                <w:lang w:val="fr-BE"/>
              </w:rPr>
            </w:pPr>
            <w:r w:rsidRPr="00927455">
              <w:rPr>
                <w:lang w:val="fr-BE"/>
              </w:rPr>
              <w:t>La latte ou encadrement en bois a au moins les caractéristiques suivantes :</w:t>
            </w:r>
          </w:p>
          <w:p w14:paraId="14F6CE6A" w14:textId="77777777" w:rsidR="00754BD6" w:rsidRPr="00927455" w:rsidRDefault="00754BD6" w:rsidP="00CD4487">
            <w:pPr>
              <w:rPr>
                <w:lang w:val="fr-BE"/>
              </w:rPr>
            </w:pPr>
            <w:r w:rsidRPr="00927455">
              <w:rPr>
                <w:lang w:val="fr-BE"/>
              </w:rPr>
              <w:t>- Épaisseur : 25 mm</w:t>
            </w:r>
          </w:p>
          <w:p w14:paraId="5B596251" w14:textId="77777777" w:rsidR="00754BD6" w:rsidRPr="00927455" w:rsidRDefault="00754BD6" w:rsidP="00CD4487">
            <w:pPr>
              <w:rPr>
                <w:lang w:val="fr-BE"/>
              </w:rPr>
            </w:pPr>
            <w:r w:rsidRPr="00927455">
              <w:rPr>
                <w:lang w:val="fr-BE"/>
              </w:rPr>
              <w:t>- Densité : 390 kg/m³</w:t>
            </w:r>
          </w:p>
          <w:p w14:paraId="0F1DA4E8" w14:textId="77777777" w:rsidR="00754BD6" w:rsidRPr="00927455" w:rsidRDefault="00754BD6" w:rsidP="00CD4487">
            <w:pPr>
              <w:rPr>
                <w:lang w:val="fr-BE"/>
              </w:rPr>
            </w:pPr>
            <w:r w:rsidRPr="00927455">
              <w:rPr>
                <w:lang w:val="fr-BE"/>
              </w:rPr>
              <w:t>- Fixé mécaniquement</w:t>
            </w:r>
          </w:p>
          <w:p w14:paraId="7F4C05D6" w14:textId="77777777" w:rsidR="00754BD6" w:rsidRPr="00927455" w:rsidRDefault="00754BD6" w:rsidP="00CD4487">
            <w:pPr>
              <w:rPr>
                <w:lang w:val="fr-BE"/>
              </w:rPr>
            </w:pPr>
          </w:p>
          <w:p w14:paraId="2288CD5E" w14:textId="77777777" w:rsidR="00754BD6" w:rsidRPr="00927455" w:rsidRDefault="00754BD6" w:rsidP="00CD4487">
            <w:pPr>
              <w:rPr>
                <w:lang w:val="fr-BE"/>
              </w:rPr>
            </w:pPr>
            <w:r w:rsidRPr="00927455">
              <w:rPr>
                <w:lang w:val="fr-BE"/>
              </w:rPr>
              <w:t>En outre des ouvertures de ventilation sont permises dans les barrières coupe-feu à raison de maximum 100 cm² par mètre courant.</w:t>
            </w:r>
          </w:p>
          <w:p w14:paraId="753B54E7" w14:textId="77777777" w:rsidR="00754BD6" w:rsidRPr="00927455" w:rsidRDefault="00754BD6" w:rsidP="00CD4487">
            <w:pPr>
              <w:rPr>
                <w:lang w:val="fr-BE"/>
              </w:rPr>
            </w:pPr>
          </w:p>
        </w:tc>
      </w:tr>
      <w:tr w:rsidR="00754BD6" w:rsidRPr="00754BD6" w14:paraId="5D1DB7ED" w14:textId="77777777" w:rsidTr="004F667F">
        <w:tc>
          <w:tcPr>
            <w:tcW w:w="4524" w:type="dxa"/>
          </w:tcPr>
          <w:p w14:paraId="7B04B9F1" w14:textId="77777777" w:rsidR="00754BD6" w:rsidRPr="00927455" w:rsidRDefault="00754BD6" w:rsidP="003774D1">
            <w:pPr>
              <w:rPr>
                <w:b/>
                <w:lang w:val="fr-BE"/>
              </w:rPr>
            </w:pPr>
            <w:r w:rsidRPr="00927455">
              <w:rPr>
                <w:b/>
                <w:lang w:val="fr-BE"/>
              </w:rPr>
              <w:lastRenderedPageBreak/>
              <w:t>6.1.2.2</w:t>
            </w:r>
            <w:r w:rsidRPr="00927455">
              <w:rPr>
                <w:b/>
                <w:lang w:val="fr-BE"/>
              </w:rPr>
              <w:tab/>
              <w:t>Solutions-type pour façade sans lame d’air continue</w:t>
            </w:r>
          </w:p>
          <w:p w14:paraId="7F5E3B81" w14:textId="77777777" w:rsidR="00754BD6" w:rsidRPr="00927455" w:rsidRDefault="00754BD6" w:rsidP="003774D1">
            <w:pPr>
              <w:rPr>
                <w:b/>
                <w:lang w:val="fr-BE"/>
              </w:rPr>
            </w:pPr>
          </w:p>
        </w:tc>
      </w:tr>
      <w:tr w:rsidR="00754BD6" w:rsidRPr="00754BD6" w14:paraId="385F7545" w14:textId="77777777" w:rsidTr="004F667F">
        <w:tc>
          <w:tcPr>
            <w:tcW w:w="4524" w:type="dxa"/>
          </w:tcPr>
          <w:p w14:paraId="26EE00FA" w14:textId="77777777" w:rsidR="00754BD6" w:rsidRPr="00927455" w:rsidRDefault="00754BD6" w:rsidP="003774D1">
            <w:pPr>
              <w:rPr>
                <w:b/>
                <w:lang w:val="fr-BE"/>
              </w:rPr>
            </w:pPr>
            <w:r w:rsidRPr="00927455">
              <w:rPr>
                <w:b/>
                <w:lang w:val="fr-BE"/>
              </w:rPr>
              <w:t>6.1.2.2.1 Solution-type 1 pour façade sans lame d’air continue</w:t>
            </w:r>
          </w:p>
          <w:p w14:paraId="13A83E01" w14:textId="77777777" w:rsidR="00754BD6" w:rsidRPr="00927455" w:rsidRDefault="00754BD6" w:rsidP="003774D1">
            <w:pPr>
              <w:rPr>
                <w:b/>
                <w:lang w:val="fr-BE"/>
              </w:rPr>
            </w:pPr>
          </w:p>
        </w:tc>
      </w:tr>
      <w:tr w:rsidR="00754BD6" w:rsidRPr="00754BD6" w14:paraId="356A524A" w14:textId="77777777" w:rsidTr="004F667F">
        <w:tc>
          <w:tcPr>
            <w:tcW w:w="4524" w:type="dxa"/>
          </w:tcPr>
          <w:p w14:paraId="3460ACCB" w14:textId="77777777" w:rsidR="00754BD6" w:rsidRPr="00927455" w:rsidRDefault="00754BD6" w:rsidP="003774D1">
            <w:pPr>
              <w:rPr>
                <w:lang w:val="fr-BE"/>
              </w:rPr>
            </w:pPr>
            <w:r w:rsidRPr="00927455">
              <w:rPr>
                <w:lang w:val="fr-BE"/>
              </w:rPr>
              <w:t>L’isolant ne peut pas être de type EPS (polystyrène expansé) ou XPS (polystyrène extrudé).</w:t>
            </w:r>
          </w:p>
          <w:p w14:paraId="7BD1A9C1" w14:textId="77777777" w:rsidR="00754BD6" w:rsidRPr="00927455" w:rsidRDefault="00754BD6" w:rsidP="003774D1">
            <w:pPr>
              <w:rPr>
                <w:lang w:val="fr-BE"/>
              </w:rPr>
            </w:pPr>
          </w:p>
        </w:tc>
      </w:tr>
      <w:tr w:rsidR="00754BD6" w:rsidRPr="00754BD6" w14:paraId="67C01EC6" w14:textId="77777777" w:rsidTr="004F667F">
        <w:tc>
          <w:tcPr>
            <w:tcW w:w="4524" w:type="dxa"/>
          </w:tcPr>
          <w:p w14:paraId="6D6B2CD1" w14:textId="77777777" w:rsidR="00754BD6" w:rsidRPr="00927455" w:rsidRDefault="00754BD6" w:rsidP="003774D1">
            <w:pPr>
              <w:rPr>
                <w:b/>
                <w:lang w:val="fr-BE"/>
              </w:rPr>
            </w:pPr>
            <w:r w:rsidRPr="00927455">
              <w:rPr>
                <w:b/>
                <w:lang w:val="fr-BE"/>
              </w:rPr>
              <w:t>6.1.2.2.2 Solution-type 2 pour façade sans lame d’air continue</w:t>
            </w:r>
          </w:p>
          <w:p w14:paraId="43A338A0" w14:textId="77777777" w:rsidR="00754BD6" w:rsidRPr="00927455" w:rsidRDefault="00754BD6" w:rsidP="003774D1">
            <w:pPr>
              <w:rPr>
                <w:b/>
                <w:lang w:val="fr-BE"/>
              </w:rPr>
            </w:pPr>
          </w:p>
        </w:tc>
      </w:tr>
      <w:tr w:rsidR="00754BD6" w:rsidRPr="00754BD6" w14:paraId="35C134B1" w14:textId="77777777" w:rsidTr="004F667F">
        <w:tc>
          <w:tcPr>
            <w:tcW w:w="4524" w:type="dxa"/>
          </w:tcPr>
          <w:p w14:paraId="25CEE09C" w14:textId="77777777" w:rsidR="00754BD6" w:rsidRPr="00927455" w:rsidRDefault="00754BD6" w:rsidP="0073662E">
            <w:pPr>
              <w:rPr>
                <w:lang w:val="fr-BE"/>
              </w:rPr>
            </w:pPr>
            <w:r w:rsidRPr="00927455">
              <w:rPr>
                <w:lang w:val="fr-BE"/>
              </w:rPr>
              <w:t>Au niveau du plancher entre le rez-de-chaussée et le 1er étage, une barrière coupe-feu doit être placée. Si la distance verticale entre cette barrière coupe-feu et le sol extérieur est supérieure à 4 m, il convient d’ajouter une ou des barrières coupe-feu tous les 4 m. (planche 5.3)</w:t>
            </w:r>
          </w:p>
          <w:p w14:paraId="0C8B9711" w14:textId="77777777" w:rsidR="00754BD6" w:rsidRPr="00927455" w:rsidRDefault="00754BD6" w:rsidP="0073662E">
            <w:pPr>
              <w:rPr>
                <w:lang w:val="fr-BE"/>
              </w:rPr>
            </w:pPr>
          </w:p>
          <w:p w14:paraId="622F2B35" w14:textId="77777777" w:rsidR="00754BD6" w:rsidRPr="00927455" w:rsidRDefault="00754BD6" w:rsidP="0073662E">
            <w:pPr>
              <w:rPr>
                <w:lang w:val="fr-BE"/>
              </w:rPr>
            </w:pPr>
            <w:r w:rsidRPr="00927455">
              <w:rPr>
                <w:lang w:val="fr-BE"/>
              </w:rPr>
              <w:t>Au niveau du plancher entre le 2e étage et le 3e étage, une barrière coupe-feu doit être placée. Si la distance entre cette barrière coupe-feu et la barrière coupe-feu précédente est supérieure à 8 m, il convient d’ajouter une ou des barrières coupe-feu tous les 8 m.</w:t>
            </w:r>
          </w:p>
          <w:p w14:paraId="46998DC2" w14:textId="77777777" w:rsidR="00754BD6" w:rsidRPr="00927455" w:rsidRDefault="00754BD6" w:rsidP="0073662E">
            <w:pPr>
              <w:rPr>
                <w:lang w:val="fr-BE"/>
              </w:rPr>
            </w:pPr>
          </w:p>
          <w:p w14:paraId="0BE02ED6" w14:textId="77777777" w:rsidR="00754BD6" w:rsidRPr="00927455" w:rsidRDefault="00754BD6" w:rsidP="0073662E">
            <w:pPr>
              <w:rPr>
                <w:lang w:val="fr-BE"/>
              </w:rPr>
            </w:pPr>
            <w:r w:rsidRPr="00927455">
              <w:rPr>
                <w:lang w:val="fr-BE"/>
              </w:rPr>
              <w:t>Au-delà de la barrière coupe-feu précédente, une barrière coupe-feu doit être placée :</w:t>
            </w:r>
          </w:p>
          <w:p w14:paraId="327175AD" w14:textId="77777777" w:rsidR="00754BD6" w:rsidRPr="00927455" w:rsidRDefault="00754BD6" w:rsidP="0073662E">
            <w:pPr>
              <w:rPr>
                <w:lang w:val="fr-BE"/>
              </w:rPr>
            </w:pPr>
            <w:r w:rsidRPr="00927455">
              <w:rPr>
                <w:lang w:val="fr-BE"/>
              </w:rPr>
              <w:t>- soit tous les 2 niveaux ;</w:t>
            </w:r>
          </w:p>
          <w:p w14:paraId="45BC2E96" w14:textId="77777777" w:rsidR="00754BD6" w:rsidRPr="00927455" w:rsidRDefault="00754BD6" w:rsidP="0073662E">
            <w:pPr>
              <w:rPr>
                <w:lang w:val="fr-BE"/>
              </w:rPr>
            </w:pPr>
            <w:r w:rsidRPr="00927455">
              <w:rPr>
                <w:lang w:val="fr-BE"/>
              </w:rPr>
              <w:t>- soit au-dessus ou autour de chaque ouverture.</w:t>
            </w:r>
          </w:p>
          <w:p w14:paraId="5F5407EF" w14:textId="77777777" w:rsidR="00754BD6" w:rsidRPr="00927455" w:rsidRDefault="00754BD6" w:rsidP="0073662E">
            <w:pPr>
              <w:rPr>
                <w:lang w:val="fr-BE"/>
              </w:rPr>
            </w:pPr>
          </w:p>
        </w:tc>
      </w:tr>
      <w:tr w:rsidR="00754BD6" w:rsidRPr="00754BD6" w14:paraId="5D1E0548" w14:textId="77777777" w:rsidTr="004F667F">
        <w:tc>
          <w:tcPr>
            <w:tcW w:w="4524" w:type="dxa"/>
          </w:tcPr>
          <w:p w14:paraId="7168D0C5" w14:textId="77777777" w:rsidR="00754BD6" w:rsidRPr="00927455" w:rsidRDefault="00754BD6" w:rsidP="003774D1">
            <w:pPr>
              <w:rPr>
                <w:lang w:val="fr-BE"/>
              </w:rPr>
            </w:pPr>
          </w:p>
        </w:tc>
      </w:tr>
    </w:tbl>
    <w:tbl>
      <w:tblPr>
        <w:tblStyle w:val="Tabelraster6"/>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9F78DE" w:rsidRPr="00927455" w14:paraId="1B0358A0" w14:textId="77777777" w:rsidTr="009F78DE">
        <w:tc>
          <w:tcPr>
            <w:tcW w:w="1020" w:type="dxa"/>
            <w:tcMar>
              <w:right w:w="0" w:type="dxa"/>
            </w:tcMar>
          </w:tcPr>
          <w:p w14:paraId="124A7C50" w14:textId="77777777" w:rsidR="009F78DE" w:rsidRPr="00927455" w:rsidRDefault="009F78DE" w:rsidP="00754BD6">
            <w:pPr>
              <w:rPr>
                <w:lang w:eastAsia="nl-NL"/>
              </w:rPr>
            </w:pPr>
          </w:p>
        </w:tc>
        <w:tc>
          <w:tcPr>
            <w:tcW w:w="8833" w:type="dxa"/>
            <w:tcMar>
              <w:left w:w="0" w:type="dxa"/>
            </w:tcMar>
            <w:vAlign w:val="center"/>
          </w:tcPr>
          <w:p w14:paraId="4E8FD1D2" w14:textId="77777777" w:rsidR="009F78DE" w:rsidRPr="00927455" w:rsidRDefault="009F78DE" w:rsidP="00F93AB4">
            <w:pPr>
              <w:widowControl w:val="0"/>
              <w:tabs>
                <w:tab w:val="left" w:pos="2880"/>
              </w:tabs>
              <w:contextualSpacing/>
              <w:jc w:val="both"/>
              <w:rPr>
                <w:lang w:val="fr-BE" w:eastAsia="nl-NL"/>
              </w:rPr>
            </w:pPr>
          </w:p>
          <w:p w14:paraId="7E713E13" w14:textId="77777777" w:rsidR="009F78DE" w:rsidRPr="00927455" w:rsidRDefault="009F78DE" w:rsidP="00F93AB4">
            <w:pPr>
              <w:widowControl w:val="0"/>
              <w:tabs>
                <w:tab w:val="left" w:pos="2880"/>
              </w:tabs>
              <w:contextualSpacing/>
              <w:jc w:val="both"/>
              <w:rPr>
                <w:lang w:eastAsia="nl-NL"/>
              </w:rPr>
            </w:pPr>
            <w:r w:rsidRPr="00927455">
              <w:rPr>
                <w:noProof/>
                <w:lang w:eastAsia="nl-BE"/>
              </w:rPr>
              <w:drawing>
                <wp:inline distT="0" distB="0" distL="0" distR="0" wp14:anchorId="5A286247" wp14:editId="5A4F2891">
                  <wp:extent cx="5540400" cy="3373200"/>
                  <wp:effectExtent l="0" t="0" r="3175" b="0"/>
                  <wp:docPr id="2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 Façades-Model 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40400" cy="3373200"/>
                          </a:xfrm>
                          <a:prstGeom prst="rect">
                            <a:avLst/>
                          </a:prstGeom>
                        </pic:spPr>
                      </pic:pic>
                    </a:graphicData>
                  </a:graphic>
                </wp:inline>
              </w:drawing>
            </w:r>
          </w:p>
          <w:p w14:paraId="59676878" w14:textId="77777777" w:rsidR="009F78DE" w:rsidRPr="00927455" w:rsidRDefault="009F78DE" w:rsidP="00F93AB4">
            <w:pPr>
              <w:widowControl w:val="0"/>
              <w:tabs>
                <w:tab w:val="left" w:pos="2880"/>
              </w:tabs>
              <w:ind w:left="1134" w:hanging="414"/>
              <w:contextualSpacing/>
              <w:jc w:val="both"/>
              <w:rPr>
                <w:lang w:eastAsia="fr-BE"/>
              </w:rPr>
            </w:pPr>
            <w:r w:rsidRPr="00927455">
              <w:rPr>
                <w:noProof/>
                <w:lang w:eastAsia="nl-BE"/>
              </w:rPr>
              <w:drawing>
                <wp:inline distT="0" distB="0" distL="0" distR="0" wp14:anchorId="29D4164C" wp14:editId="4868305C">
                  <wp:extent cx="220345" cy="125095"/>
                  <wp:effectExtent l="0" t="0" r="8255" b="8255"/>
                  <wp:docPr id="2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a:extLst>
                              <a:ext uri="{28A0092B-C50C-407E-A947-70E740481C1C}">
                                <a14:useLocalDpi xmlns:a14="http://schemas.microsoft.com/office/drawing/2010/main" val="0"/>
                              </a:ext>
                            </a:extLst>
                          </a:blip>
                          <a:srcRect l="8762" t="46848" r="87286" b="49483"/>
                          <a:stretch>
                            <a:fillRect/>
                          </a:stretch>
                        </pic:blipFill>
                        <pic:spPr bwMode="auto">
                          <a:xfrm>
                            <a:off x="0" y="0"/>
                            <a:ext cx="220345" cy="125095"/>
                          </a:xfrm>
                          <a:prstGeom prst="rect">
                            <a:avLst/>
                          </a:prstGeom>
                          <a:noFill/>
                          <a:ln>
                            <a:noFill/>
                          </a:ln>
                        </pic:spPr>
                      </pic:pic>
                    </a:graphicData>
                  </a:graphic>
                </wp:inline>
              </w:drawing>
            </w:r>
            <w:r w:rsidRPr="00927455">
              <w:rPr>
                <w:lang w:eastAsia="fr-BE"/>
              </w:rPr>
              <w:t xml:space="preserve"> </w:t>
            </w:r>
            <w:proofErr w:type="spellStart"/>
            <w:r w:rsidRPr="00927455">
              <w:rPr>
                <w:lang w:eastAsia="fr-BE"/>
              </w:rPr>
              <w:t>Barrière</w:t>
            </w:r>
            <w:proofErr w:type="spellEnd"/>
            <w:r w:rsidRPr="00927455">
              <w:rPr>
                <w:lang w:eastAsia="fr-BE"/>
              </w:rPr>
              <w:t xml:space="preserve"> coupe-feu</w:t>
            </w:r>
          </w:p>
          <w:p w14:paraId="6F1FB050" w14:textId="77777777" w:rsidR="009F78DE" w:rsidRPr="00927455" w:rsidRDefault="009F78DE" w:rsidP="009F78DE">
            <w:pPr>
              <w:jc w:val="both"/>
            </w:pPr>
          </w:p>
          <w:p w14:paraId="2DBBDC68" w14:textId="77777777" w:rsidR="009F78DE" w:rsidRPr="00927455" w:rsidRDefault="009F78DE" w:rsidP="009F78DE">
            <w:pPr>
              <w:jc w:val="both"/>
            </w:pPr>
          </w:p>
        </w:tc>
      </w:tr>
    </w:tbl>
    <w:tbl>
      <w:tblPr>
        <w:tblStyle w:val="Grilledutableau"/>
        <w:tblW w:w="0" w:type="auto"/>
        <w:tblLook w:val="04A0" w:firstRow="1" w:lastRow="0" w:firstColumn="1" w:lastColumn="0" w:noHBand="0" w:noVBand="1"/>
      </w:tblPr>
      <w:tblGrid>
        <w:gridCol w:w="4524"/>
        <w:gridCol w:w="14"/>
        <w:gridCol w:w="4524"/>
      </w:tblGrid>
      <w:tr w:rsidR="00754BD6" w:rsidRPr="00927455" w14:paraId="70F2B598" w14:textId="77777777" w:rsidTr="004F667F">
        <w:trPr>
          <w:gridAfter w:val="2"/>
          <w:wAfter w:w="4538" w:type="dxa"/>
        </w:trPr>
        <w:tc>
          <w:tcPr>
            <w:tcW w:w="4524" w:type="dxa"/>
          </w:tcPr>
          <w:p w14:paraId="41BC5416" w14:textId="77777777" w:rsidR="00754BD6" w:rsidRPr="00927455" w:rsidRDefault="00754BD6" w:rsidP="003774D1">
            <w:pPr>
              <w:rPr>
                <w:lang w:val="fr-BE"/>
              </w:rPr>
            </w:pPr>
            <w:r w:rsidRPr="00927455">
              <w:rPr>
                <w:lang w:val="fr-BE"/>
              </w:rPr>
              <w:t>Planche 5.3</w:t>
            </w:r>
          </w:p>
        </w:tc>
      </w:tr>
      <w:tr w:rsidR="00754BD6" w:rsidRPr="00927455" w14:paraId="55E2C189" w14:textId="77777777" w:rsidTr="004F667F">
        <w:trPr>
          <w:gridAfter w:val="2"/>
          <w:wAfter w:w="4538" w:type="dxa"/>
        </w:trPr>
        <w:tc>
          <w:tcPr>
            <w:tcW w:w="4524" w:type="dxa"/>
          </w:tcPr>
          <w:p w14:paraId="0AB0075B" w14:textId="77777777" w:rsidR="00754BD6" w:rsidRPr="00927455" w:rsidRDefault="00754BD6" w:rsidP="0073662E">
            <w:pPr>
              <w:rPr>
                <w:lang w:val="fr-BE"/>
              </w:rPr>
            </w:pPr>
            <w:r w:rsidRPr="00927455">
              <w:rPr>
                <w:lang w:val="fr-BE"/>
              </w:rPr>
              <w:t>Une barrière coupe-feu est un dispositif interrompant l’isolant pour limiter le risque de propagation du feu à l’intérieur de la façade.</w:t>
            </w:r>
          </w:p>
          <w:p w14:paraId="1E16F791" w14:textId="77777777" w:rsidR="00754BD6" w:rsidRPr="00927455" w:rsidRDefault="00754BD6" w:rsidP="0073662E">
            <w:pPr>
              <w:rPr>
                <w:lang w:val="fr-BE"/>
              </w:rPr>
            </w:pPr>
          </w:p>
          <w:p w14:paraId="7224306B" w14:textId="77777777" w:rsidR="00754BD6" w:rsidRPr="00927455" w:rsidRDefault="00754BD6" w:rsidP="0073662E">
            <w:pPr>
              <w:rPr>
                <w:lang w:val="fr-BE"/>
              </w:rPr>
            </w:pPr>
            <w:r w:rsidRPr="00927455">
              <w:rPr>
                <w:lang w:val="fr-BE"/>
              </w:rPr>
              <w:t>Les solution-types décrites ci-dessous permettent de satisfaire à cette exigence :</w:t>
            </w:r>
          </w:p>
          <w:p w14:paraId="7162624B" w14:textId="77777777" w:rsidR="00754BD6" w:rsidRPr="00927455" w:rsidRDefault="00754BD6" w:rsidP="0073662E">
            <w:pPr>
              <w:rPr>
                <w:lang w:val="fr-BE"/>
              </w:rPr>
            </w:pPr>
            <w:r w:rsidRPr="00927455">
              <w:rPr>
                <w:lang w:val="fr-BE"/>
              </w:rPr>
              <w:t>a)</w:t>
            </w:r>
            <w:r w:rsidRPr="00927455">
              <w:rPr>
                <w:lang w:val="fr-BE"/>
              </w:rPr>
              <w:tab/>
              <w:t>Un recoupement sur toute la largeur de la façade par une bande filante horizontale en laine de roche ;</w:t>
            </w:r>
          </w:p>
          <w:p w14:paraId="6661C6F6" w14:textId="77777777" w:rsidR="00754BD6" w:rsidRPr="00927455" w:rsidRDefault="00754BD6" w:rsidP="0073662E">
            <w:pPr>
              <w:rPr>
                <w:lang w:val="fr-BE"/>
              </w:rPr>
            </w:pPr>
            <w:r w:rsidRPr="00927455">
              <w:rPr>
                <w:lang w:val="fr-BE"/>
              </w:rPr>
              <w:t>b)</w:t>
            </w:r>
            <w:r w:rsidRPr="00927455">
              <w:rPr>
                <w:lang w:val="fr-BE"/>
              </w:rPr>
              <w:tab/>
              <w:t>Un recoupement au-dessus de chaque ouverture dans la façade par une bande horizontale en laine de roche ;</w:t>
            </w:r>
          </w:p>
          <w:p w14:paraId="501AC4FA" w14:textId="77777777" w:rsidR="00754BD6" w:rsidRPr="00927455" w:rsidRDefault="00754BD6" w:rsidP="0073662E">
            <w:pPr>
              <w:rPr>
                <w:lang w:val="fr-BE"/>
              </w:rPr>
            </w:pPr>
            <w:r w:rsidRPr="00927455">
              <w:rPr>
                <w:lang w:val="fr-BE"/>
              </w:rPr>
              <w:t>c)</w:t>
            </w:r>
            <w:r w:rsidRPr="00927455">
              <w:rPr>
                <w:lang w:val="fr-BE"/>
              </w:rPr>
              <w:tab/>
              <w:t>Un encadrement (bords supérieurs et latéraux) autour de chaque ouverture dans façade par une bande horizontale et verticale en laine de roche.</w:t>
            </w:r>
          </w:p>
          <w:p w14:paraId="2E037D18" w14:textId="77777777" w:rsidR="00754BD6" w:rsidRPr="00927455" w:rsidRDefault="00754BD6" w:rsidP="0073662E">
            <w:pPr>
              <w:rPr>
                <w:lang w:val="fr-BE"/>
              </w:rPr>
            </w:pPr>
          </w:p>
          <w:p w14:paraId="56E2C621" w14:textId="77777777" w:rsidR="00754BD6" w:rsidRPr="00927455" w:rsidRDefault="00754BD6" w:rsidP="0073662E">
            <w:pPr>
              <w:rPr>
                <w:lang w:val="fr-BE"/>
              </w:rPr>
            </w:pPr>
            <w:r w:rsidRPr="00927455">
              <w:rPr>
                <w:lang w:val="fr-BE"/>
              </w:rPr>
              <w:t>La bande en laine de roche a au moins les caractéristiques suivantes :</w:t>
            </w:r>
          </w:p>
          <w:p w14:paraId="54D7B39B" w14:textId="77777777" w:rsidR="00754BD6" w:rsidRPr="00927455" w:rsidRDefault="00754BD6" w:rsidP="0073662E">
            <w:pPr>
              <w:rPr>
                <w:lang w:val="fr-BE"/>
              </w:rPr>
            </w:pPr>
            <w:r w:rsidRPr="00927455">
              <w:rPr>
                <w:lang w:val="fr-BE"/>
              </w:rPr>
              <w:t>- Hauteur/Largeur : 20 cm</w:t>
            </w:r>
          </w:p>
          <w:p w14:paraId="7212366B" w14:textId="77777777" w:rsidR="00754BD6" w:rsidRPr="00927455" w:rsidRDefault="00754BD6" w:rsidP="0073662E">
            <w:pPr>
              <w:rPr>
                <w:lang w:val="fr-BE"/>
              </w:rPr>
            </w:pPr>
            <w:r w:rsidRPr="00927455">
              <w:rPr>
                <w:lang w:val="fr-BE"/>
              </w:rPr>
              <w:t>- Débordement latéral (pour la solution-type b) : 30 cm</w:t>
            </w:r>
          </w:p>
          <w:p w14:paraId="3FBEA367" w14:textId="77777777" w:rsidR="00754BD6" w:rsidRPr="00927455" w:rsidRDefault="00754BD6" w:rsidP="0073662E">
            <w:pPr>
              <w:rPr>
                <w:lang w:val="fr-BE"/>
              </w:rPr>
            </w:pPr>
            <w:r w:rsidRPr="00927455">
              <w:rPr>
                <w:lang w:val="fr-BE"/>
              </w:rPr>
              <w:t>- Classe de réaction au feu : A2-s3, d0</w:t>
            </w:r>
          </w:p>
          <w:p w14:paraId="0F8F7C10" w14:textId="77777777" w:rsidR="00754BD6" w:rsidRPr="00927455" w:rsidRDefault="00754BD6" w:rsidP="0073662E">
            <w:pPr>
              <w:rPr>
                <w:lang w:val="fr-BE"/>
              </w:rPr>
            </w:pPr>
            <w:r w:rsidRPr="00927455">
              <w:rPr>
                <w:lang w:val="fr-BE"/>
              </w:rPr>
              <w:t>- Densité : 60 kg/m³</w:t>
            </w:r>
          </w:p>
          <w:p w14:paraId="0E973CE5" w14:textId="77777777" w:rsidR="00754BD6" w:rsidRPr="00927455" w:rsidRDefault="00754BD6" w:rsidP="0073662E">
            <w:pPr>
              <w:rPr>
                <w:lang w:val="fr-BE"/>
              </w:rPr>
            </w:pPr>
            <w:r w:rsidRPr="00927455">
              <w:rPr>
                <w:lang w:val="fr-BE"/>
              </w:rPr>
              <w:t>- Fixée mécaniquement</w:t>
            </w:r>
          </w:p>
          <w:p w14:paraId="5B07D0D1" w14:textId="77777777" w:rsidR="00754BD6" w:rsidRPr="00927455" w:rsidRDefault="00754BD6" w:rsidP="0073662E">
            <w:pPr>
              <w:rPr>
                <w:lang w:val="fr-BE"/>
              </w:rPr>
            </w:pPr>
          </w:p>
        </w:tc>
      </w:tr>
      <w:tr w:rsidR="00754BD6" w:rsidRPr="00754BD6" w14:paraId="68AEAD08" w14:textId="77777777" w:rsidTr="004F667F">
        <w:trPr>
          <w:gridAfter w:val="2"/>
          <w:wAfter w:w="4538" w:type="dxa"/>
        </w:trPr>
        <w:tc>
          <w:tcPr>
            <w:tcW w:w="4524" w:type="dxa"/>
          </w:tcPr>
          <w:p w14:paraId="16CC2632" w14:textId="77777777" w:rsidR="00754BD6" w:rsidRPr="00927455" w:rsidRDefault="00754BD6" w:rsidP="003774D1">
            <w:pPr>
              <w:rPr>
                <w:b/>
                <w:lang w:val="fr-BE"/>
              </w:rPr>
            </w:pPr>
            <w:r w:rsidRPr="00927455">
              <w:rPr>
                <w:b/>
                <w:lang w:val="fr-BE"/>
              </w:rPr>
              <w:lastRenderedPageBreak/>
              <w:t>6.1.3 Solution-type pour les bâtiments élevés</w:t>
            </w:r>
          </w:p>
          <w:p w14:paraId="30E1FCDE" w14:textId="77777777" w:rsidR="00754BD6" w:rsidRPr="00927455" w:rsidRDefault="00754BD6" w:rsidP="003774D1">
            <w:pPr>
              <w:rPr>
                <w:b/>
                <w:lang w:val="fr-BE"/>
              </w:rPr>
            </w:pPr>
          </w:p>
        </w:tc>
      </w:tr>
      <w:tr w:rsidR="00754BD6" w:rsidRPr="00754BD6" w14:paraId="5B103B34" w14:textId="77777777" w:rsidTr="004F667F">
        <w:trPr>
          <w:gridAfter w:val="2"/>
          <w:wAfter w:w="4538" w:type="dxa"/>
        </w:trPr>
        <w:tc>
          <w:tcPr>
            <w:tcW w:w="4524" w:type="dxa"/>
          </w:tcPr>
          <w:p w14:paraId="5719C3B4" w14:textId="77777777" w:rsidR="00754BD6" w:rsidRPr="00927455" w:rsidRDefault="00754BD6" w:rsidP="00D65420">
            <w:pPr>
              <w:rPr>
                <w:lang w:val="fr-BE"/>
              </w:rPr>
            </w:pPr>
            <w:r w:rsidRPr="00927455">
              <w:rPr>
                <w:lang w:val="fr-BE"/>
              </w:rPr>
              <w:t>Pour les bâtiments élevés, les composants substantiels de la façade peuvent présenter la classe E si tous les composants substantiels, à l’exception du revêtement extérieur, sont complètement protégés de l’incendie (</w:t>
            </w:r>
            <w:proofErr w:type="spellStart"/>
            <w:r w:rsidRPr="00927455">
              <w:rPr>
                <w:lang w:val="fr-BE"/>
              </w:rPr>
              <w:t>cfr</w:t>
            </w:r>
            <w:proofErr w:type="spellEnd"/>
            <w:r w:rsidRPr="00927455">
              <w:rPr>
                <w:lang w:val="fr-BE"/>
              </w:rPr>
              <w:t xml:space="preserve">. point </w:t>
            </w:r>
            <w:r w:rsidRPr="00927455">
              <w:rPr>
                <w:vertAlign w:val="superscript"/>
                <w:lang w:val="fr-BE"/>
              </w:rPr>
              <w:t>(4)</w:t>
            </w:r>
            <w:r w:rsidRPr="00927455">
              <w:rPr>
                <w:lang w:val="fr-BE"/>
              </w:rPr>
              <w:t xml:space="preserve"> du tableau V du point 6.1.1), et si la façade satisfait à la solution-type suivante.</w:t>
            </w:r>
          </w:p>
          <w:p w14:paraId="1275B40C" w14:textId="77777777" w:rsidR="00754BD6" w:rsidRPr="00927455" w:rsidRDefault="00754BD6" w:rsidP="00D65420">
            <w:pPr>
              <w:rPr>
                <w:lang w:val="fr-BE"/>
              </w:rPr>
            </w:pPr>
          </w:p>
          <w:p w14:paraId="4888FA2A" w14:textId="77777777" w:rsidR="00754BD6" w:rsidRPr="00927455" w:rsidRDefault="00754BD6" w:rsidP="00D65420">
            <w:pPr>
              <w:rPr>
                <w:lang w:val="fr-BE"/>
              </w:rPr>
            </w:pPr>
            <w:r w:rsidRPr="00927455">
              <w:rPr>
                <w:lang w:val="fr-BE"/>
              </w:rPr>
              <w:t>Au niveau du plancher entre le 1er étage et le 2e étage, une barrière coupe-feu doit être placée. Si la distance verticale entre cette barrière coupe-feu  et le sol extérieur est supérieure à 8 m, il convient d’ajouter une ou des barrières coupe-feu tous les 8 m. (planche 5.4)</w:t>
            </w:r>
          </w:p>
          <w:p w14:paraId="49F1F3E0" w14:textId="77777777" w:rsidR="00754BD6" w:rsidRPr="00927455" w:rsidRDefault="00754BD6" w:rsidP="00D65420">
            <w:pPr>
              <w:rPr>
                <w:lang w:val="fr-BE"/>
              </w:rPr>
            </w:pPr>
          </w:p>
          <w:p w14:paraId="6225B150" w14:textId="77777777" w:rsidR="00754BD6" w:rsidRPr="00927455" w:rsidRDefault="00754BD6" w:rsidP="00D65420">
            <w:pPr>
              <w:rPr>
                <w:lang w:val="fr-BE"/>
              </w:rPr>
            </w:pPr>
            <w:r w:rsidRPr="00927455">
              <w:rPr>
                <w:lang w:val="fr-BE"/>
              </w:rPr>
              <w:t>Au-delà de la barrière coupe-feu précédente, une barrière coupe-feu doit être placée tous les 2 niveaux.</w:t>
            </w:r>
          </w:p>
        </w:tc>
      </w:tr>
      <w:tr w:rsidR="00754BD6" w:rsidRPr="00754BD6" w14:paraId="26A4D62D" w14:textId="77777777" w:rsidTr="004F667F">
        <w:trPr>
          <w:gridAfter w:val="2"/>
          <w:wAfter w:w="4538" w:type="dxa"/>
        </w:trPr>
        <w:tc>
          <w:tcPr>
            <w:tcW w:w="4524" w:type="dxa"/>
          </w:tcPr>
          <w:p w14:paraId="03E5EC3F" w14:textId="77777777" w:rsidR="00754BD6" w:rsidRPr="00927455" w:rsidRDefault="00754BD6" w:rsidP="003774D1">
            <w:pPr>
              <w:rPr>
                <w:lang w:val="fr-BE"/>
              </w:rPr>
            </w:pPr>
          </w:p>
        </w:tc>
      </w:tr>
      <w:tr w:rsidR="00754BD6" w:rsidRPr="00754BD6" w14:paraId="6ECAA9D6" w14:textId="77777777" w:rsidTr="004F667F">
        <w:trPr>
          <w:gridAfter w:val="2"/>
          <w:wAfter w:w="4538" w:type="dxa"/>
        </w:trPr>
        <w:tc>
          <w:tcPr>
            <w:tcW w:w="4524" w:type="dxa"/>
          </w:tcPr>
          <w:p w14:paraId="07E81DC4" w14:textId="77777777" w:rsidR="00754BD6" w:rsidRPr="00927455" w:rsidRDefault="00754BD6" w:rsidP="003774D1">
            <w:pPr>
              <w:rPr>
                <w:lang w:val="fr-BE"/>
              </w:rPr>
            </w:pPr>
          </w:p>
        </w:tc>
      </w:tr>
      <w:tr w:rsidR="00397CBD" w:rsidRPr="00927455" w14:paraId="017ED132" w14:textId="77777777" w:rsidTr="004F667F">
        <w:tc>
          <w:tcPr>
            <w:tcW w:w="4538" w:type="dxa"/>
            <w:gridSpan w:val="2"/>
          </w:tcPr>
          <w:p w14:paraId="04036C13" w14:textId="77777777" w:rsidR="00397CBD" w:rsidRPr="00927455" w:rsidRDefault="00397CBD" w:rsidP="00754BD6"/>
        </w:tc>
        <w:tc>
          <w:tcPr>
            <w:tcW w:w="4524" w:type="dxa"/>
          </w:tcPr>
          <w:p w14:paraId="1255D2A5" w14:textId="77777777" w:rsidR="00397CBD" w:rsidRPr="00927455" w:rsidRDefault="00397CBD" w:rsidP="003774D1"/>
        </w:tc>
      </w:tr>
    </w:tbl>
    <w:tbl>
      <w:tblPr>
        <w:tblStyle w:val="Tabelraster8"/>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397CBD" w:rsidRPr="00754BD6" w14:paraId="1C095414" w14:textId="77777777" w:rsidTr="00397CBD">
        <w:tc>
          <w:tcPr>
            <w:tcW w:w="1020" w:type="dxa"/>
            <w:tcMar>
              <w:right w:w="0" w:type="dxa"/>
            </w:tcMar>
          </w:tcPr>
          <w:p w14:paraId="792C290D" w14:textId="77777777" w:rsidR="00397CBD" w:rsidRPr="00927455" w:rsidRDefault="00397CBD" w:rsidP="00F93AB4">
            <w:pPr>
              <w:rPr>
                <w:lang w:eastAsia="nl-NL"/>
              </w:rPr>
            </w:pPr>
          </w:p>
        </w:tc>
        <w:tc>
          <w:tcPr>
            <w:tcW w:w="8833" w:type="dxa"/>
            <w:tcMar>
              <w:left w:w="0" w:type="dxa"/>
            </w:tcMar>
            <w:vAlign w:val="center"/>
          </w:tcPr>
          <w:p w14:paraId="2E2FD947" w14:textId="77777777" w:rsidR="00397CBD" w:rsidRPr="00927455" w:rsidRDefault="00397CBD" w:rsidP="00F93AB4">
            <w:pPr>
              <w:widowControl w:val="0"/>
              <w:tabs>
                <w:tab w:val="left" w:pos="2880"/>
              </w:tabs>
              <w:contextualSpacing/>
              <w:jc w:val="both"/>
              <w:rPr>
                <w:lang w:val="fr-BE" w:eastAsia="nl-NL"/>
              </w:rPr>
            </w:pPr>
          </w:p>
          <w:p w14:paraId="7CAF3A0D" w14:textId="77777777" w:rsidR="00397CBD" w:rsidRPr="00927455" w:rsidRDefault="00397CBD" w:rsidP="00F93AB4">
            <w:pPr>
              <w:widowControl w:val="0"/>
              <w:tabs>
                <w:tab w:val="left" w:pos="2880"/>
              </w:tabs>
              <w:contextualSpacing/>
              <w:jc w:val="both"/>
              <w:rPr>
                <w:lang w:eastAsia="nl-NL"/>
              </w:rPr>
            </w:pPr>
            <w:r w:rsidRPr="00927455">
              <w:rPr>
                <w:noProof/>
                <w:lang w:eastAsia="nl-BE"/>
              </w:rPr>
              <w:drawing>
                <wp:inline distT="0" distB="0" distL="0" distR="0" wp14:anchorId="67BD3D87" wp14:editId="61EE545C">
                  <wp:extent cx="1796400" cy="3859200"/>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 Façades-Model 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6400" cy="3859200"/>
                          </a:xfrm>
                          <a:prstGeom prst="rect">
                            <a:avLst/>
                          </a:prstGeom>
                        </pic:spPr>
                      </pic:pic>
                    </a:graphicData>
                  </a:graphic>
                </wp:inline>
              </w:drawing>
            </w:r>
          </w:p>
          <w:p w14:paraId="69530CF1" w14:textId="77777777" w:rsidR="00397CBD" w:rsidRPr="00927455" w:rsidRDefault="00397CBD" w:rsidP="00F93AB4">
            <w:pPr>
              <w:widowControl w:val="0"/>
              <w:tabs>
                <w:tab w:val="left" w:pos="2880"/>
              </w:tabs>
              <w:ind w:left="1134" w:hanging="414"/>
              <w:contextualSpacing/>
              <w:jc w:val="both"/>
              <w:rPr>
                <w:lang w:val="fr-BE" w:eastAsia="fr-BE"/>
              </w:rPr>
            </w:pPr>
            <w:r w:rsidRPr="00927455">
              <w:rPr>
                <w:noProof/>
                <w:lang w:eastAsia="nl-BE"/>
              </w:rPr>
              <w:drawing>
                <wp:inline distT="0" distB="0" distL="0" distR="0" wp14:anchorId="0F2731FB" wp14:editId="6DB51484">
                  <wp:extent cx="225425" cy="130810"/>
                  <wp:effectExtent l="0" t="0" r="3175" b="2540"/>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l="8762" t="46848" r="87286" b="49483"/>
                          <a:stretch>
                            <a:fillRect/>
                          </a:stretch>
                        </pic:blipFill>
                        <pic:spPr bwMode="auto">
                          <a:xfrm>
                            <a:off x="0" y="0"/>
                            <a:ext cx="225425" cy="130810"/>
                          </a:xfrm>
                          <a:prstGeom prst="rect">
                            <a:avLst/>
                          </a:prstGeom>
                          <a:noFill/>
                          <a:ln>
                            <a:noFill/>
                          </a:ln>
                        </pic:spPr>
                      </pic:pic>
                    </a:graphicData>
                  </a:graphic>
                </wp:inline>
              </w:drawing>
            </w:r>
            <w:r w:rsidRPr="00927455">
              <w:rPr>
                <w:lang w:val="fr-BE" w:eastAsia="fr-BE"/>
              </w:rPr>
              <w:t xml:space="preserve"> Barrière coupe-feu</w:t>
            </w:r>
          </w:p>
          <w:p w14:paraId="32245C15" w14:textId="77777777" w:rsidR="00397CBD" w:rsidRPr="00927455" w:rsidRDefault="00397CBD" w:rsidP="00F93AB4">
            <w:pPr>
              <w:widowControl w:val="0"/>
              <w:tabs>
                <w:tab w:val="left" w:pos="2880"/>
              </w:tabs>
              <w:ind w:left="1134" w:hanging="414"/>
              <w:contextualSpacing/>
              <w:jc w:val="both"/>
              <w:rPr>
                <w:lang w:val="fr-BE"/>
              </w:rPr>
            </w:pPr>
            <w:r w:rsidRPr="00927455">
              <w:rPr>
                <w:noProof/>
                <w:lang w:eastAsia="nl-BE"/>
              </w:rPr>
              <w:drawing>
                <wp:inline distT="0" distB="0" distL="0" distR="0" wp14:anchorId="56E0FDD8" wp14:editId="107724E8">
                  <wp:extent cx="220980" cy="125730"/>
                  <wp:effectExtent l="0" t="0" r="7620" b="7620"/>
                  <wp:docPr id="4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2 Façades-Model d.jpg"/>
                          <pic:cNvPicPr/>
                        </pic:nvPicPr>
                        <pic:blipFill rotWithShape="1">
                          <a:blip r:embed="rId12" cstate="print">
                            <a:extLst>
                              <a:ext uri="{28A0092B-C50C-407E-A947-70E740481C1C}">
                                <a14:useLocalDpi xmlns:a14="http://schemas.microsoft.com/office/drawing/2010/main" val="0"/>
                              </a:ext>
                            </a:extLst>
                          </a:blip>
                          <a:srcRect l="34392" t="79159" r="53333" b="17590"/>
                          <a:stretch/>
                        </pic:blipFill>
                        <pic:spPr bwMode="auto">
                          <a:xfrm>
                            <a:off x="0" y="0"/>
                            <a:ext cx="220980" cy="125730"/>
                          </a:xfrm>
                          <a:prstGeom prst="rect">
                            <a:avLst/>
                          </a:prstGeom>
                          <a:ln>
                            <a:noFill/>
                          </a:ln>
                          <a:extLst>
                            <a:ext uri="{53640926-AAD7-44D8-BBD7-CCE9431645EC}">
                              <a14:shadowObscured xmlns:a14="http://schemas.microsoft.com/office/drawing/2010/main"/>
                            </a:ext>
                          </a:extLst>
                        </pic:spPr>
                      </pic:pic>
                    </a:graphicData>
                  </a:graphic>
                </wp:inline>
              </w:drawing>
            </w:r>
            <w:r w:rsidRPr="00927455">
              <w:rPr>
                <w:lang w:val="fr-BE"/>
              </w:rPr>
              <w:t xml:space="preserve"> Elément de construction présentant une capacité de protection contre l’incendie K</w:t>
            </w:r>
            <w:r w:rsidRPr="00927455">
              <w:rPr>
                <w:vertAlign w:val="subscript"/>
                <w:lang w:val="fr-BE"/>
              </w:rPr>
              <w:t>2</w:t>
            </w:r>
            <w:r w:rsidRPr="00927455">
              <w:rPr>
                <w:lang w:val="fr-BE"/>
              </w:rPr>
              <w:t xml:space="preserve"> </w:t>
            </w:r>
            <w:r w:rsidRPr="00927455">
              <w:rPr>
                <w:lang w:val="fr-BE"/>
              </w:rPr>
              <w:lastRenderedPageBreak/>
              <w:t>30 ou une résistance au feu EI 30</w:t>
            </w:r>
          </w:p>
          <w:p w14:paraId="37ED6600" w14:textId="77777777" w:rsidR="00397CBD" w:rsidRPr="00927455" w:rsidRDefault="00397CBD" w:rsidP="00F93AB4">
            <w:pPr>
              <w:widowControl w:val="0"/>
              <w:tabs>
                <w:tab w:val="left" w:pos="2880"/>
              </w:tabs>
              <w:contextualSpacing/>
              <w:jc w:val="both"/>
              <w:rPr>
                <w:lang w:val="fr-BE" w:eastAsia="nl-NL"/>
              </w:rPr>
            </w:pPr>
          </w:p>
          <w:p w14:paraId="296ED5B5" w14:textId="77777777" w:rsidR="00397CBD" w:rsidRPr="00927455" w:rsidDel="00CE41A1" w:rsidRDefault="00397CBD" w:rsidP="00F93AB4">
            <w:pPr>
              <w:widowControl w:val="0"/>
              <w:tabs>
                <w:tab w:val="left" w:pos="2880"/>
              </w:tabs>
              <w:contextualSpacing/>
              <w:jc w:val="both"/>
              <w:rPr>
                <w:lang w:val="fr-BE" w:eastAsia="nl-NL"/>
              </w:rPr>
            </w:pPr>
          </w:p>
        </w:tc>
      </w:tr>
    </w:tbl>
    <w:tbl>
      <w:tblPr>
        <w:tblStyle w:val="Grilledutableau"/>
        <w:tblW w:w="0" w:type="auto"/>
        <w:tblLook w:val="04A0" w:firstRow="1" w:lastRow="0" w:firstColumn="1" w:lastColumn="0" w:noHBand="0" w:noVBand="1"/>
      </w:tblPr>
      <w:tblGrid>
        <w:gridCol w:w="4524"/>
        <w:gridCol w:w="14"/>
        <w:gridCol w:w="4524"/>
      </w:tblGrid>
      <w:tr w:rsidR="00754BD6" w:rsidRPr="00927455" w14:paraId="5D7B7EED" w14:textId="77777777" w:rsidTr="004F667F">
        <w:trPr>
          <w:gridAfter w:val="2"/>
          <w:wAfter w:w="4538" w:type="dxa"/>
        </w:trPr>
        <w:tc>
          <w:tcPr>
            <w:tcW w:w="4524" w:type="dxa"/>
          </w:tcPr>
          <w:p w14:paraId="5688E9BB" w14:textId="77777777" w:rsidR="00754BD6" w:rsidRPr="00927455" w:rsidRDefault="00754BD6" w:rsidP="009362F6">
            <w:proofErr w:type="spellStart"/>
            <w:r w:rsidRPr="00927455">
              <w:lastRenderedPageBreak/>
              <w:t>Planche</w:t>
            </w:r>
            <w:proofErr w:type="spellEnd"/>
            <w:r w:rsidRPr="00927455">
              <w:t xml:space="preserve"> 5.4</w:t>
            </w:r>
          </w:p>
        </w:tc>
      </w:tr>
      <w:tr w:rsidR="00754BD6" w:rsidRPr="00754BD6" w14:paraId="50956430" w14:textId="77777777" w:rsidTr="004F667F">
        <w:trPr>
          <w:gridAfter w:val="2"/>
          <w:wAfter w:w="4538" w:type="dxa"/>
        </w:trPr>
        <w:tc>
          <w:tcPr>
            <w:tcW w:w="4524" w:type="dxa"/>
          </w:tcPr>
          <w:p w14:paraId="2D492AD1" w14:textId="77777777" w:rsidR="00754BD6" w:rsidRPr="00927455" w:rsidRDefault="00754BD6" w:rsidP="009362F6">
            <w:pPr>
              <w:rPr>
                <w:lang w:val="fr-BE"/>
              </w:rPr>
            </w:pPr>
            <w:r w:rsidRPr="00927455">
              <w:rPr>
                <w:lang w:val="fr-BE"/>
              </w:rPr>
              <w:t>Une barrière coupe-feu est un dispositif interrompant l’isolant et l’éventuelle lame d’air pour limiter le risque de propagation du feu à l’intérieur de la façade.</w:t>
            </w:r>
          </w:p>
          <w:p w14:paraId="6AFC5D5A" w14:textId="77777777" w:rsidR="00754BD6" w:rsidRPr="00927455" w:rsidRDefault="00754BD6" w:rsidP="009362F6">
            <w:pPr>
              <w:rPr>
                <w:lang w:val="fr-BE"/>
              </w:rPr>
            </w:pPr>
          </w:p>
          <w:p w14:paraId="6E964632" w14:textId="77777777" w:rsidR="00754BD6" w:rsidRPr="00927455" w:rsidRDefault="00754BD6" w:rsidP="009362F6">
            <w:pPr>
              <w:rPr>
                <w:lang w:val="fr-BE"/>
              </w:rPr>
            </w:pPr>
            <w:r w:rsidRPr="00927455">
              <w:rPr>
                <w:lang w:val="fr-BE"/>
              </w:rPr>
              <w:t>La solution-type décrite ci-dessous permet de satisfaire à cette exigence :</w:t>
            </w:r>
          </w:p>
          <w:p w14:paraId="160FD9C9" w14:textId="77777777" w:rsidR="00754BD6" w:rsidRPr="00927455" w:rsidRDefault="00754BD6" w:rsidP="009362F6">
            <w:pPr>
              <w:rPr>
                <w:lang w:val="fr-BE"/>
              </w:rPr>
            </w:pPr>
            <w:r w:rsidRPr="00927455">
              <w:rPr>
                <w:lang w:val="fr-BE"/>
              </w:rPr>
              <w:t>- Un recoupement sur toute la largeur de la façade par une bande filante horizontale en laine de roche.</w:t>
            </w:r>
          </w:p>
          <w:p w14:paraId="7922C3F7" w14:textId="77777777" w:rsidR="00754BD6" w:rsidRPr="00927455" w:rsidRDefault="00754BD6" w:rsidP="009362F6">
            <w:pPr>
              <w:rPr>
                <w:lang w:val="fr-BE"/>
              </w:rPr>
            </w:pPr>
          </w:p>
          <w:p w14:paraId="45C4D3AA" w14:textId="77777777" w:rsidR="00754BD6" w:rsidRPr="00927455" w:rsidRDefault="00754BD6" w:rsidP="009362F6">
            <w:pPr>
              <w:rPr>
                <w:lang w:val="fr-BE"/>
              </w:rPr>
            </w:pPr>
            <w:r w:rsidRPr="00927455">
              <w:rPr>
                <w:lang w:val="fr-BE"/>
              </w:rPr>
              <w:t>La bande en laine de roche a au moins les caractéristiques suivantes :</w:t>
            </w:r>
          </w:p>
          <w:p w14:paraId="2AF90131" w14:textId="77777777" w:rsidR="00754BD6" w:rsidRPr="00927455" w:rsidRDefault="00754BD6" w:rsidP="009362F6">
            <w:pPr>
              <w:rPr>
                <w:lang w:val="fr-BE"/>
              </w:rPr>
            </w:pPr>
            <w:r w:rsidRPr="00927455">
              <w:rPr>
                <w:lang w:val="fr-BE"/>
              </w:rPr>
              <w:t>- Hauteur/Largeur : 20 cm</w:t>
            </w:r>
          </w:p>
          <w:p w14:paraId="2DAF85E0" w14:textId="77777777" w:rsidR="00754BD6" w:rsidRPr="00927455" w:rsidRDefault="00754BD6" w:rsidP="009362F6">
            <w:pPr>
              <w:rPr>
                <w:lang w:val="fr-BE"/>
              </w:rPr>
            </w:pPr>
            <w:r w:rsidRPr="00927455">
              <w:rPr>
                <w:lang w:val="fr-BE"/>
              </w:rPr>
              <w:t>- Classe de réaction au feu : A2-s3, d0</w:t>
            </w:r>
          </w:p>
          <w:p w14:paraId="41AFAA62" w14:textId="77777777" w:rsidR="00754BD6" w:rsidRPr="00927455" w:rsidRDefault="00754BD6" w:rsidP="009362F6">
            <w:pPr>
              <w:rPr>
                <w:lang w:val="fr-BE"/>
              </w:rPr>
            </w:pPr>
            <w:r w:rsidRPr="00927455">
              <w:rPr>
                <w:lang w:val="fr-BE"/>
              </w:rPr>
              <w:t>- Densité : 60 kg/m³</w:t>
            </w:r>
          </w:p>
          <w:p w14:paraId="0B283A6F" w14:textId="77777777" w:rsidR="00754BD6" w:rsidRPr="00927455" w:rsidRDefault="00754BD6" w:rsidP="009362F6">
            <w:pPr>
              <w:rPr>
                <w:lang w:val="fr-BE"/>
              </w:rPr>
            </w:pPr>
            <w:r w:rsidRPr="00927455">
              <w:rPr>
                <w:lang w:val="fr-BE"/>
              </w:rPr>
              <w:t>- Fixée mécaniquement</w:t>
            </w:r>
          </w:p>
          <w:p w14:paraId="21567D15" w14:textId="77777777" w:rsidR="00754BD6" w:rsidRPr="00927455" w:rsidRDefault="00754BD6" w:rsidP="009362F6">
            <w:pPr>
              <w:rPr>
                <w:lang w:val="fr-BE"/>
              </w:rPr>
            </w:pPr>
          </w:p>
          <w:p w14:paraId="0E09506B" w14:textId="77777777" w:rsidR="00754BD6" w:rsidRPr="00927455" w:rsidRDefault="00754BD6" w:rsidP="009362F6">
            <w:pPr>
              <w:rPr>
                <w:lang w:val="fr-BE"/>
              </w:rPr>
            </w:pPr>
            <w:r w:rsidRPr="00927455">
              <w:rPr>
                <w:lang w:val="fr-BE"/>
              </w:rPr>
              <w:t>En outre des ouvertures de ventilation sont permises dans les barrières coupe-feu à raison de maximum 100 cm² par mètre courant.</w:t>
            </w:r>
          </w:p>
          <w:p w14:paraId="165EDEC8" w14:textId="77777777" w:rsidR="00754BD6" w:rsidRPr="00927455" w:rsidRDefault="00754BD6" w:rsidP="009362F6">
            <w:pPr>
              <w:rPr>
                <w:lang w:val="fr-BE"/>
              </w:rPr>
            </w:pPr>
          </w:p>
        </w:tc>
      </w:tr>
      <w:tr w:rsidR="00754BD6" w:rsidRPr="00927455" w14:paraId="3D4AF2EF" w14:textId="77777777" w:rsidTr="004F667F">
        <w:trPr>
          <w:gridAfter w:val="2"/>
          <w:wAfter w:w="4538" w:type="dxa"/>
        </w:trPr>
        <w:tc>
          <w:tcPr>
            <w:tcW w:w="4524" w:type="dxa"/>
          </w:tcPr>
          <w:p w14:paraId="761FE721" w14:textId="77777777" w:rsidR="00754BD6" w:rsidRPr="00927455" w:rsidRDefault="00754BD6" w:rsidP="009362F6">
            <w:pPr>
              <w:rPr>
                <w:b/>
                <w:lang w:val="fr-BE"/>
              </w:rPr>
            </w:pPr>
            <w:r w:rsidRPr="00927455">
              <w:rPr>
                <w:b/>
                <w:lang w:val="fr-BE"/>
              </w:rPr>
              <w:t>6.2 Essai grande échelle</w:t>
            </w:r>
          </w:p>
          <w:p w14:paraId="40F2CA62" w14:textId="77777777" w:rsidR="00754BD6" w:rsidRPr="00927455" w:rsidRDefault="00754BD6" w:rsidP="009362F6">
            <w:pPr>
              <w:rPr>
                <w:b/>
                <w:lang w:val="fr-BE"/>
              </w:rPr>
            </w:pPr>
          </w:p>
        </w:tc>
      </w:tr>
      <w:tr w:rsidR="00754BD6" w:rsidRPr="00754BD6" w14:paraId="24AFFDB9" w14:textId="77777777" w:rsidTr="004F667F">
        <w:trPr>
          <w:gridAfter w:val="2"/>
          <w:wAfter w:w="4538" w:type="dxa"/>
        </w:trPr>
        <w:tc>
          <w:tcPr>
            <w:tcW w:w="4524" w:type="dxa"/>
          </w:tcPr>
          <w:p w14:paraId="34867129" w14:textId="77777777" w:rsidR="00754BD6" w:rsidRPr="00927455" w:rsidRDefault="00754BD6" w:rsidP="009362F6">
            <w:pPr>
              <w:rPr>
                <w:lang w:val="fr-BE"/>
              </w:rPr>
            </w:pPr>
            <w:r w:rsidRPr="00927455">
              <w:rPr>
                <w:lang w:val="fr-BE"/>
              </w:rPr>
              <w:t>Le point 6.1 n’est pas d’application à une façade qui a été testé suivant l’une des normes d’essai suivantes et qui a satisfait aux critères de performance définit dans les documents suivants :</w:t>
            </w:r>
          </w:p>
        </w:tc>
      </w:tr>
      <w:tr w:rsidR="00754BD6" w:rsidRPr="00754BD6" w14:paraId="29FDC05B" w14:textId="77777777" w:rsidTr="004F667F">
        <w:trPr>
          <w:gridAfter w:val="2"/>
          <w:wAfter w:w="4538" w:type="dxa"/>
        </w:trPr>
        <w:tc>
          <w:tcPr>
            <w:tcW w:w="4524" w:type="dxa"/>
          </w:tcPr>
          <w:p w14:paraId="7C8C35ED" w14:textId="77777777" w:rsidR="00754BD6" w:rsidRPr="00927455" w:rsidRDefault="00754BD6" w:rsidP="009362F6">
            <w:pPr>
              <w:rPr>
                <w:lang w:val="fr-BE"/>
              </w:rPr>
            </w:pPr>
          </w:p>
        </w:tc>
      </w:tr>
      <w:tr w:rsidR="001A0E27" w:rsidRPr="00927455" w14:paraId="1F779D83" w14:textId="77777777" w:rsidTr="004F667F">
        <w:tc>
          <w:tcPr>
            <w:tcW w:w="4538" w:type="dxa"/>
            <w:gridSpan w:val="2"/>
          </w:tcPr>
          <w:p w14:paraId="7C5B5844" w14:textId="77777777" w:rsidR="001A0E27" w:rsidRPr="00927455" w:rsidRDefault="001A0E27" w:rsidP="003774D1">
            <w:pPr>
              <w:rPr>
                <w:lang w:val="fr-BE"/>
              </w:rPr>
            </w:pPr>
          </w:p>
        </w:tc>
        <w:tc>
          <w:tcPr>
            <w:tcW w:w="4524" w:type="dxa"/>
          </w:tcPr>
          <w:p w14:paraId="57562934" w14:textId="77777777" w:rsidR="001A0E27" w:rsidRPr="00927455" w:rsidRDefault="001A0E27" w:rsidP="003774D1">
            <w:pPr>
              <w:rPr>
                <w:lang w:val="fr-BE"/>
              </w:rPr>
            </w:pPr>
          </w:p>
        </w:tc>
      </w:tr>
    </w:tbl>
    <w:tbl>
      <w:tblPr>
        <w:tblStyle w:val="Tabelraster9"/>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3C45E0" w:rsidRPr="00927455" w14:paraId="20C58362" w14:textId="77777777" w:rsidTr="003C45E0">
        <w:tc>
          <w:tcPr>
            <w:tcW w:w="1020" w:type="dxa"/>
            <w:tcMar>
              <w:right w:w="0" w:type="dxa"/>
            </w:tcMar>
          </w:tcPr>
          <w:p w14:paraId="4AE27A77" w14:textId="77777777" w:rsidR="003C45E0" w:rsidRPr="00927455" w:rsidRDefault="003C45E0" w:rsidP="00F93AB4">
            <w:pPr>
              <w:keepNext/>
              <w:keepLines/>
              <w:rPr>
                <w:lang w:eastAsia="nl-NL"/>
              </w:rPr>
            </w:pPr>
          </w:p>
        </w:tc>
        <w:tc>
          <w:tcPr>
            <w:tcW w:w="8833" w:type="dxa"/>
            <w:tcMar>
              <w:left w:w="0" w:type="dxa"/>
            </w:tcMar>
            <w:vAlign w:val="center"/>
          </w:tcPr>
          <w:p w14:paraId="6D80F2D5" w14:textId="77777777" w:rsidR="003C45E0" w:rsidRPr="00927455" w:rsidRDefault="003C45E0" w:rsidP="00F93AB4">
            <w:pPr>
              <w:keepNext/>
              <w:keepLines/>
              <w:jc w:val="both"/>
            </w:pPr>
          </w:p>
          <w:p w14:paraId="06F0B9C9" w14:textId="77777777" w:rsidR="003C45E0" w:rsidRPr="00927455" w:rsidRDefault="003C45E0" w:rsidP="00F93AB4">
            <w:pPr>
              <w:keepNext/>
              <w:keepLines/>
              <w:jc w:val="both"/>
            </w:pP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83"/>
              <w:gridCol w:w="2183"/>
              <w:gridCol w:w="2183"/>
              <w:gridCol w:w="2183"/>
            </w:tblGrid>
            <w:tr w:rsidR="003C45E0" w:rsidRPr="00754BD6" w14:paraId="5DF49448" w14:textId="77777777" w:rsidTr="00F93AB4">
              <w:trPr>
                <w:trHeight w:val="207"/>
              </w:trPr>
              <w:tc>
                <w:tcPr>
                  <w:tcW w:w="2183" w:type="dxa"/>
                  <w:vMerge w:val="restart"/>
                  <w:tcBorders>
                    <w:top w:val="single" w:sz="4" w:space="0" w:color="auto"/>
                  </w:tcBorders>
                  <w:vAlign w:val="center"/>
                </w:tcPr>
                <w:p w14:paraId="5C1416C7" w14:textId="77777777" w:rsidR="003C45E0" w:rsidRPr="00927455" w:rsidRDefault="003C45E0" w:rsidP="00F93AB4">
                  <w:pPr>
                    <w:keepNext/>
                    <w:keepLines/>
                  </w:pPr>
                  <w:proofErr w:type="spellStart"/>
                  <w:r w:rsidRPr="00927455">
                    <w:rPr>
                      <w:b/>
                    </w:rPr>
                    <w:t>Norme</w:t>
                  </w:r>
                  <w:proofErr w:type="spellEnd"/>
                  <w:r w:rsidRPr="00927455">
                    <w:rPr>
                      <w:b/>
                    </w:rPr>
                    <w:t xml:space="preserve"> </w:t>
                  </w:r>
                  <w:proofErr w:type="spellStart"/>
                  <w:r w:rsidRPr="00927455">
                    <w:rPr>
                      <w:b/>
                    </w:rPr>
                    <w:t>d’essai</w:t>
                  </w:r>
                  <w:proofErr w:type="spellEnd"/>
                </w:p>
              </w:tc>
              <w:tc>
                <w:tcPr>
                  <w:tcW w:w="6549" w:type="dxa"/>
                  <w:gridSpan w:val="3"/>
                  <w:tcBorders>
                    <w:top w:val="single" w:sz="4" w:space="0" w:color="auto"/>
                  </w:tcBorders>
                  <w:vAlign w:val="center"/>
                </w:tcPr>
                <w:p w14:paraId="09BACA6E" w14:textId="77777777" w:rsidR="003C45E0" w:rsidRPr="00927455" w:rsidRDefault="003C45E0" w:rsidP="00F93AB4">
                  <w:pPr>
                    <w:keepNext/>
                    <w:keepLines/>
                    <w:jc w:val="center"/>
                    <w:rPr>
                      <w:b/>
                      <w:lang w:val="fr-BE"/>
                    </w:rPr>
                  </w:pPr>
                  <w:r w:rsidRPr="00927455">
                    <w:rPr>
                      <w:b/>
                      <w:lang w:val="fr-BE"/>
                    </w:rPr>
                    <w:t>Document reprenant les critères de performance</w:t>
                  </w:r>
                </w:p>
              </w:tc>
            </w:tr>
            <w:tr w:rsidR="003C45E0" w:rsidRPr="00927455" w14:paraId="7CE2C822" w14:textId="77777777" w:rsidTr="00F93AB4">
              <w:trPr>
                <w:trHeight w:val="207"/>
              </w:trPr>
              <w:tc>
                <w:tcPr>
                  <w:tcW w:w="2183" w:type="dxa"/>
                  <w:vMerge/>
                </w:tcPr>
                <w:p w14:paraId="0AE98273" w14:textId="77777777" w:rsidR="003C45E0" w:rsidRPr="00927455" w:rsidRDefault="003C45E0" w:rsidP="00F93AB4">
                  <w:pPr>
                    <w:keepNext/>
                    <w:keepLines/>
                    <w:rPr>
                      <w:b/>
                      <w:lang w:val="fr-BE"/>
                    </w:rPr>
                  </w:pPr>
                </w:p>
              </w:tc>
              <w:tc>
                <w:tcPr>
                  <w:tcW w:w="2183" w:type="dxa"/>
                  <w:tcBorders>
                    <w:top w:val="single" w:sz="4" w:space="0" w:color="auto"/>
                  </w:tcBorders>
                </w:tcPr>
                <w:p w14:paraId="3B3E25A8" w14:textId="77777777" w:rsidR="003C45E0" w:rsidRPr="00927455" w:rsidRDefault="003C45E0" w:rsidP="00F93AB4">
                  <w:pPr>
                    <w:keepNext/>
                    <w:keepLines/>
                    <w:jc w:val="center"/>
                    <w:rPr>
                      <w:b/>
                    </w:rPr>
                  </w:pPr>
                  <w:r w:rsidRPr="00927455">
                    <w:rPr>
                      <w:b/>
                    </w:rPr>
                    <w:t>B.E.</w:t>
                  </w:r>
                </w:p>
              </w:tc>
              <w:tc>
                <w:tcPr>
                  <w:tcW w:w="2183" w:type="dxa"/>
                  <w:tcBorders>
                    <w:top w:val="single" w:sz="4" w:space="0" w:color="auto"/>
                  </w:tcBorders>
                  <w:vAlign w:val="center"/>
                </w:tcPr>
                <w:p w14:paraId="5A377A7E" w14:textId="77777777" w:rsidR="003C45E0" w:rsidRPr="00927455" w:rsidRDefault="003C45E0" w:rsidP="00F93AB4">
                  <w:pPr>
                    <w:keepNext/>
                    <w:keepLines/>
                    <w:jc w:val="center"/>
                    <w:rPr>
                      <w:b/>
                    </w:rPr>
                  </w:pPr>
                  <w:r w:rsidRPr="00927455">
                    <w:rPr>
                      <w:b/>
                    </w:rPr>
                    <w:t>B.M.</w:t>
                  </w:r>
                </w:p>
              </w:tc>
              <w:tc>
                <w:tcPr>
                  <w:tcW w:w="2183" w:type="dxa"/>
                  <w:tcBorders>
                    <w:top w:val="single" w:sz="4" w:space="0" w:color="auto"/>
                  </w:tcBorders>
                  <w:vAlign w:val="center"/>
                </w:tcPr>
                <w:p w14:paraId="1D631329" w14:textId="77777777" w:rsidR="003C45E0" w:rsidRPr="00927455" w:rsidRDefault="003C45E0" w:rsidP="00F93AB4">
                  <w:pPr>
                    <w:keepNext/>
                    <w:keepLines/>
                    <w:jc w:val="center"/>
                    <w:rPr>
                      <w:b/>
                    </w:rPr>
                  </w:pPr>
                  <w:r w:rsidRPr="00927455">
                    <w:rPr>
                      <w:b/>
                    </w:rPr>
                    <w:t>B.B.</w:t>
                  </w:r>
                </w:p>
              </w:tc>
            </w:tr>
            <w:tr w:rsidR="003C45E0" w:rsidRPr="00927455" w14:paraId="499A9C52" w14:textId="77777777" w:rsidTr="00F93AB4">
              <w:trPr>
                <w:trHeight w:val="459"/>
              </w:trPr>
              <w:tc>
                <w:tcPr>
                  <w:tcW w:w="2183" w:type="dxa"/>
                  <w:tcBorders>
                    <w:top w:val="single" w:sz="4" w:space="0" w:color="auto"/>
                  </w:tcBorders>
                  <w:vAlign w:val="center"/>
                </w:tcPr>
                <w:p w14:paraId="2324C20E" w14:textId="77777777" w:rsidR="003C45E0" w:rsidRPr="00927455" w:rsidRDefault="003C45E0" w:rsidP="00F93AB4">
                  <w:pPr>
                    <w:keepNext/>
                    <w:keepLines/>
                  </w:pPr>
                  <w:r w:rsidRPr="00927455">
                    <w:t>BS 8414-1</w:t>
                  </w:r>
                </w:p>
              </w:tc>
              <w:tc>
                <w:tcPr>
                  <w:tcW w:w="2183" w:type="dxa"/>
                  <w:tcBorders>
                    <w:top w:val="single" w:sz="4" w:space="0" w:color="auto"/>
                  </w:tcBorders>
                  <w:vAlign w:val="center"/>
                </w:tcPr>
                <w:p w14:paraId="543556BF" w14:textId="77777777" w:rsidR="003C45E0" w:rsidRPr="00927455" w:rsidRDefault="003C45E0" w:rsidP="00F93AB4">
                  <w:pPr>
                    <w:keepNext/>
                    <w:keepLines/>
                    <w:jc w:val="center"/>
                  </w:pPr>
                  <w:r w:rsidRPr="00927455">
                    <w:t>LPS 1581</w:t>
                  </w:r>
                </w:p>
              </w:tc>
              <w:tc>
                <w:tcPr>
                  <w:tcW w:w="4366" w:type="dxa"/>
                  <w:gridSpan w:val="2"/>
                  <w:tcBorders>
                    <w:top w:val="single" w:sz="4" w:space="0" w:color="auto"/>
                  </w:tcBorders>
                  <w:vAlign w:val="center"/>
                </w:tcPr>
                <w:p w14:paraId="1D4DB80D" w14:textId="77777777" w:rsidR="003C45E0" w:rsidRPr="00927455" w:rsidRDefault="003C45E0" w:rsidP="00F93AB4">
                  <w:pPr>
                    <w:keepNext/>
                    <w:keepLines/>
                    <w:jc w:val="center"/>
                  </w:pPr>
                  <w:r w:rsidRPr="00927455">
                    <w:t>BRE 135</w:t>
                  </w:r>
                </w:p>
              </w:tc>
            </w:tr>
            <w:tr w:rsidR="003C45E0" w:rsidRPr="00927455" w14:paraId="70AE0DAB" w14:textId="77777777" w:rsidTr="00F93AB4">
              <w:trPr>
                <w:trHeight w:val="459"/>
              </w:trPr>
              <w:tc>
                <w:tcPr>
                  <w:tcW w:w="2183" w:type="dxa"/>
                  <w:tcBorders>
                    <w:top w:val="single" w:sz="4" w:space="0" w:color="auto"/>
                  </w:tcBorders>
                  <w:vAlign w:val="center"/>
                </w:tcPr>
                <w:p w14:paraId="4B6BC836" w14:textId="77777777" w:rsidR="003C45E0" w:rsidRPr="00927455" w:rsidRDefault="003C45E0" w:rsidP="00F93AB4">
                  <w:pPr>
                    <w:keepNext/>
                    <w:keepLines/>
                  </w:pPr>
                  <w:r w:rsidRPr="00927455">
                    <w:t>BS 8414-2</w:t>
                  </w:r>
                </w:p>
              </w:tc>
              <w:tc>
                <w:tcPr>
                  <w:tcW w:w="2183" w:type="dxa"/>
                  <w:vAlign w:val="center"/>
                </w:tcPr>
                <w:p w14:paraId="00EC91F8" w14:textId="77777777" w:rsidR="003C45E0" w:rsidRPr="00927455" w:rsidRDefault="003C45E0" w:rsidP="00F93AB4">
                  <w:pPr>
                    <w:keepNext/>
                    <w:keepLines/>
                    <w:jc w:val="center"/>
                  </w:pPr>
                  <w:r w:rsidRPr="00927455">
                    <w:t>LPS 1582</w:t>
                  </w:r>
                </w:p>
              </w:tc>
              <w:tc>
                <w:tcPr>
                  <w:tcW w:w="4366" w:type="dxa"/>
                  <w:gridSpan w:val="2"/>
                  <w:vAlign w:val="center"/>
                </w:tcPr>
                <w:p w14:paraId="0EA87C1D" w14:textId="77777777" w:rsidR="003C45E0" w:rsidRPr="00927455" w:rsidRDefault="003C45E0" w:rsidP="00F93AB4">
                  <w:pPr>
                    <w:keepNext/>
                    <w:keepLines/>
                    <w:jc w:val="center"/>
                  </w:pPr>
                  <w:r w:rsidRPr="00927455">
                    <w:t>BRE 135</w:t>
                  </w:r>
                </w:p>
              </w:tc>
            </w:tr>
            <w:tr w:rsidR="003C45E0" w:rsidRPr="00754BD6" w14:paraId="52B0514B" w14:textId="77777777" w:rsidTr="00F93AB4">
              <w:trPr>
                <w:trHeight w:val="459"/>
              </w:trPr>
              <w:tc>
                <w:tcPr>
                  <w:tcW w:w="2183" w:type="dxa"/>
                  <w:tcBorders>
                    <w:top w:val="single" w:sz="4" w:space="0" w:color="auto"/>
                  </w:tcBorders>
                  <w:vAlign w:val="center"/>
                </w:tcPr>
                <w:p w14:paraId="604F5A1C" w14:textId="77777777" w:rsidR="003C45E0" w:rsidRPr="00927455" w:rsidRDefault="003C45E0" w:rsidP="00F93AB4">
                  <w:pPr>
                    <w:keepNext/>
                    <w:keepLines/>
                  </w:pPr>
                  <w:r w:rsidRPr="00927455">
                    <w:t>DIN 4102-20</w:t>
                  </w:r>
                </w:p>
              </w:tc>
              <w:tc>
                <w:tcPr>
                  <w:tcW w:w="2183" w:type="dxa"/>
                  <w:vAlign w:val="center"/>
                </w:tcPr>
                <w:p w14:paraId="5F40C581" w14:textId="77777777" w:rsidR="003C45E0" w:rsidRPr="00927455" w:rsidRDefault="003C45E0" w:rsidP="00F93AB4">
                  <w:pPr>
                    <w:keepNext/>
                    <w:keepLines/>
                    <w:jc w:val="center"/>
                  </w:pPr>
                  <w:r w:rsidRPr="00927455">
                    <w:t>/</w:t>
                  </w:r>
                </w:p>
              </w:tc>
              <w:tc>
                <w:tcPr>
                  <w:tcW w:w="4366" w:type="dxa"/>
                  <w:gridSpan w:val="2"/>
                  <w:vAlign w:val="center"/>
                </w:tcPr>
                <w:p w14:paraId="52E5BDD4" w14:textId="767584D5" w:rsidR="003C45E0" w:rsidRPr="00927455" w:rsidRDefault="004F5840" w:rsidP="004F5840">
                  <w:pPr>
                    <w:keepNext/>
                    <w:keepLines/>
                    <w:jc w:val="center"/>
                    <w:rPr>
                      <w:lang w:val="fr-BE"/>
                    </w:rPr>
                  </w:pPr>
                  <w:r w:rsidRPr="00927455">
                    <w:rPr>
                      <w:lang w:val="fr-BE"/>
                    </w:rPr>
                    <w:t>Document HR 1882 du Conseil supérieur de la sécurité contre l'incendie et l'explosion</w:t>
                  </w:r>
                </w:p>
              </w:tc>
            </w:tr>
            <w:tr w:rsidR="003C45E0" w:rsidRPr="00754BD6" w14:paraId="433215FC" w14:textId="77777777" w:rsidTr="00F93AB4">
              <w:trPr>
                <w:trHeight w:val="459"/>
              </w:trPr>
              <w:tc>
                <w:tcPr>
                  <w:tcW w:w="2183" w:type="dxa"/>
                  <w:tcBorders>
                    <w:top w:val="single" w:sz="4" w:space="0" w:color="auto"/>
                  </w:tcBorders>
                  <w:vAlign w:val="center"/>
                </w:tcPr>
                <w:p w14:paraId="512B9DEF" w14:textId="77777777" w:rsidR="003C45E0" w:rsidRPr="00927455" w:rsidRDefault="003C45E0" w:rsidP="00F93AB4">
                  <w:pPr>
                    <w:keepNext/>
                    <w:keepLines/>
                  </w:pPr>
                  <w:r w:rsidRPr="00927455">
                    <w:t>LEPIR 2</w:t>
                  </w:r>
                </w:p>
              </w:tc>
              <w:tc>
                <w:tcPr>
                  <w:tcW w:w="6549" w:type="dxa"/>
                  <w:gridSpan w:val="3"/>
                  <w:tcBorders>
                    <w:top w:val="single" w:sz="4" w:space="0" w:color="auto"/>
                  </w:tcBorders>
                  <w:vAlign w:val="center"/>
                </w:tcPr>
                <w:p w14:paraId="1156C50D" w14:textId="77777777" w:rsidR="003C45E0" w:rsidRPr="00927455" w:rsidRDefault="003C45E0" w:rsidP="00F93AB4">
                  <w:pPr>
                    <w:keepNext/>
                    <w:keepLines/>
                    <w:jc w:val="center"/>
                    <w:rPr>
                      <w:lang w:val="fr-BE"/>
                    </w:rPr>
                  </w:pPr>
                  <w:r w:rsidRPr="00927455">
                    <w:rPr>
                      <w:lang w:val="fr-BE"/>
                    </w:rPr>
                    <w:t>Arrêté français du 10 septembre 1970 relatif à la classification</w:t>
                  </w:r>
                </w:p>
                <w:p w14:paraId="48D2346D" w14:textId="77777777" w:rsidR="003C45E0" w:rsidRPr="00927455" w:rsidRDefault="003C45E0" w:rsidP="00F93AB4">
                  <w:pPr>
                    <w:keepNext/>
                    <w:keepLines/>
                    <w:jc w:val="center"/>
                    <w:rPr>
                      <w:lang w:val="fr-BE"/>
                    </w:rPr>
                  </w:pPr>
                  <w:r w:rsidRPr="00927455">
                    <w:rPr>
                      <w:lang w:val="fr-BE"/>
                    </w:rPr>
                    <w:t>des façades vitrées par rapport au danger d'incendie</w:t>
                  </w:r>
                </w:p>
              </w:tc>
            </w:tr>
            <w:tr w:rsidR="003C45E0" w:rsidRPr="00927455" w14:paraId="2967B78E" w14:textId="77777777" w:rsidTr="00F93AB4">
              <w:tc>
                <w:tcPr>
                  <w:tcW w:w="8732" w:type="dxa"/>
                  <w:gridSpan w:val="4"/>
                </w:tcPr>
                <w:p w14:paraId="73823CF6" w14:textId="77777777" w:rsidR="003C45E0" w:rsidRPr="00927455" w:rsidRDefault="003C45E0" w:rsidP="00F93AB4">
                  <w:pPr>
                    <w:keepNext/>
                    <w:keepLines/>
                    <w:ind w:left="454" w:hanging="454"/>
                    <w:jc w:val="both"/>
                    <w:rPr>
                      <w:lang w:val="fr-BE"/>
                    </w:rPr>
                  </w:pPr>
                  <w:r w:rsidRPr="00927455">
                    <w:rPr>
                      <w:lang w:val="fr-BE"/>
                    </w:rPr>
                    <w:t>B.E.</w:t>
                  </w:r>
                  <w:r w:rsidRPr="00927455">
                    <w:rPr>
                      <w:lang w:val="fr-BE"/>
                    </w:rPr>
                    <w:tab/>
                    <w:t>bâtiments élevés</w:t>
                  </w:r>
                </w:p>
                <w:p w14:paraId="66699018" w14:textId="77777777" w:rsidR="003C45E0" w:rsidRPr="00927455" w:rsidRDefault="003C45E0" w:rsidP="00F93AB4">
                  <w:pPr>
                    <w:keepNext/>
                    <w:keepLines/>
                    <w:ind w:left="454" w:hanging="454"/>
                    <w:jc w:val="both"/>
                    <w:rPr>
                      <w:lang w:val="fr-BE"/>
                    </w:rPr>
                  </w:pPr>
                  <w:r w:rsidRPr="00927455">
                    <w:rPr>
                      <w:lang w:val="fr-BE"/>
                    </w:rPr>
                    <w:t>B.M.</w:t>
                  </w:r>
                  <w:r w:rsidRPr="00927455">
                    <w:rPr>
                      <w:lang w:val="fr-BE"/>
                    </w:rPr>
                    <w:tab/>
                    <w:t>bâtiments moyens</w:t>
                  </w:r>
                </w:p>
                <w:p w14:paraId="7AC9C3C1" w14:textId="77777777" w:rsidR="003C45E0" w:rsidRPr="00927455" w:rsidRDefault="003C45E0" w:rsidP="00F93AB4">
                  <w:pPr>
                    <w:keepNext/>
                    <w:keepLines/>
                    <w:ind w:left="454" w:hanging="454"/>
                    <w:jc w:val="both"/>
                  </w:pPr>
                  <w:r w:rsidRPr="00927455">
                    <w:t>B.B.</w:t>
                  </w:r>
                  <w:r w:rsidRPr="00927455">
                    <w:tab/>
                  </w:r>
                  <w:proofErr w:type="spellStart"/>
                  <w:r w:rsidRPr="00927455">
                    <w:t>bâtiments</w:t>
                  </w:r>
                  <w:proofErr w:type="spellEnd"/>
                  <w:r w:rsidRPr="00927455">
                    <w:t xml:space="preserve"> bas</w:t>
                  </w:r>
                </w:p>
              </w:tc>
            </w:tr>
          </w:tbl>
          <w:p w14:paraId="0AF9808E" w14:textId="77777777" w:rsidR="003C45E0" w:rsidRPr="00927455" w:rsidRDefault="003C45E0" w:rsidP="00F93AB4">
            <w:pPr>
              <w:keepNext/>
              <w:keepLines/>
              <w:widowControl w:val="0"/>
              <w:tabs>
                <w:tab w:val="left" w:pos="-549"/>
                <w:tab w:val="left" w:pos="1080"/>
              </w:tabs>
              <w:jc w:val="both"/>
              <w:rPr>
                <w:lang w:eastAsia="nl-NL"/>
              </w:rPr>
            </w:pPr>
          </w:p>
        </w:tc>
      </w:tr>
    </w:tbl>
    <w:tbl>
      <w:tblPr>
        <w:tblStyle w:val="Grilledutableau"/>
        <w:tblW w:w="0" w:type="auto"/>
        <w:tblLook w:val="04A0" w:firstRow="1" w:lastRow="0" w:firstColumn="1" w:lastColumn="0" w:noHBand="0" w:noVBand="1"/>
      </w:tblPr>
      <w:tblGrid>
        <w:gridCol w:w="4524"/>
      </w:tblGrid>
      <w:tr w:rsidR="00754BD6" w:rsidRPr="00927455" w14:paraId="5E73E96B" w14:textId="77777777" w:rsidTr="004F667F">
        <w:tc>
          <w:tcPr>
            <w:tcW w:w="4524" w:type="dxa"/>
          </w:tcPr>
          <w:p w14:paraId="4E34E64D" w14:textId="77777777" w:rsidR="00754BD6" w:rsidRPr="00927455" w:rsidRDefault="00754BD6" w:rsidP="003774D1">
            <w:pPr>
              <w:rPr>
                <w:lang w:val="fr-BE"/>
              </w:rPr>
            </w:pPr>
          </w:p>
        </w:tc>
      </w:tr>
      <w:tr w:rsidR="00754BD6" w:rsidRPr="00754BD6" w14:paraId="72EA4D0B" w14:textId="77777777" w:rsidTr="004F667F">
        <w:tc>
          <w:tcPr>
            <w:tcW w:w="4524" w:type="dxa"/>
          </w:tcPr>
          <w:p w14:paraId="60685DF3" w14:textId="77777777" w:rsidR="00754BD6" w:rsidRPr="00927455" w:rsidRDefault="00754BD6" w:rsidP="003C45E0">
            <w:pPr>
              <w:rPr>
                <w:b/>
                <w:lang w:val="fr-BE"/>
              </w:rPr>
            </w:pPr>
            <w:r w:rsidRPr="00927455">
              <w:rPr>
                <w:b/>
                <w:lang w:val="fr-BE"/>
              </w:rPr>
              <w:t>6.3 Bâtiments avec plusieurs parties de différentes hauteurs</w:t>
            </w:r>
          </w:p>
          <w:p w14:paraId="1EE9302F" w14:textId="77777777" w:rsidR="00754BD6" w:rsidRPr="00927455" w:rsidRDefault="00754BD6" w:rsidP="003C45E0">
            <w:pPr>
              <w:rPr>
                <w:b/>
                <w:lang w:val="fr-BE"/>
              </w:rPr>
            </w:pPr>
          </w:p>
        </w:tc>
      </w:tr>
      <w:tr w:rsidR="00754BD6" w:rsidRPr="00927455" w14:paraId="79042A57" w14:textId="77777777" w:rsidTr="004F667F">
        <w:tc>
          <w:tcPr>
            <w:tcW w:w="4524" w:type="dxa"/>
          </w:tcPr>
          <w:p w14:paraId="490F48AA" w14:textId="77777777" w:rsidR="00754BD6" w:rsidRPr="00927455" w:rsidRDefault="00754BD6" w:rsidP="003C45E0">
            <w:pPr>
              <w:rPr>
                <w:lang w:val="fr-BE"/>
              </w:rPr>
            </w:pPr>
            <w:r w:rsidRPr="00927455">
              <w:rPr>
                <w:lang w:val="fr-BE"/>
              </w:rPr>
              <w:t>Pour les bâtiments qui comportent plusieurs parties de différentes hauteurs, un découpage vertical de la façade en fonction de la hauteur conventionnelle de chaque partie du bâtiment est autorisé.</w:t>
            </w:r>
          </w:p>
          <w:p w14:paraId="6A637A65" w14:textId="77777777" w:rsidR="00754BD6" w:rsidRPr="00927455" w:rsidRDefault="00754BD6" w:rsidP="003C45E0">
            <w:pPr>
              <w:rPr>
                <w:lang w:val="fr-BE"/>
              </w:rPr>
            </w:pPr>
          </w:p>
          <w:p w14:paraId="055B7054" w14:textId="77777777" w:rsidR="00754BD6" w:rsidRPr="00927455" w:rsidRDefault="00754BD6" w:rsidP="003C45E0">
            <w:pPr>
              <w:rPr>
                <w:lang w:val="fr-BE"/>
              </w:rPr>
            </w:pPr>
            <w:r w:rsidRPr="00927455">
              <w:rPr>
                <w:lang w:val="fr-BE"/>
              </w:rPr>
              <w:t>Les prescriptions des points 6.1 et 6.2 d’application sont alors celles correspondant à la hauteur conventionnelle de la partie considérée, mais seulement à partir d’une distance horizontale de 5 m de la façade qui domine la partie considérée. (planche 5.5)</w:t>
            </w:r>
          </w:p>
          <w:p w14:paraId="1FF0EEC1" w14:textId="77777777" w:rsidR="00754BD6" w:rsidRPr="00927455" w:rsidRDefault="00754BD6" w:rsidP="003C45E0">
            <w:pPr>
              <w:rPr>
                <w:lang w:val="fr-BE"/>
              </w:rPr>
            </w:pPr>
          </w:p>
        </w:tc>
      </w:tr>
      <w:tr w:rsidR="00754BD6" w:rsidRPr="00927455" w14:paraId="552A4796" w14:textId="77777777" w:rsidTr="004F667F">
        <w:tc>
          <w:tcPr>
            <w:tcW w:w="4524" w:type="dxa"/>
          </w:tcPr>
          <w:p w14:paraId="3ED38F39" w14:textId="77777777" w:rsidR="00754BD6" w:rsidRPr="00927455" w:rsidRDefault="00754BD6" w:rsidP="003774D1">
            <w:pPr>
              <w:rPr>
                <w:lang w:val="fr-BE"/>
              </w:rPr>
            </w:pPr>
          </w:p>
        </w:tc>
      </w:tr>
    </w:tbl>
    <w:tbl>
      <w:tblPr>
        <w:tblStyle w:val="Tabelraster3"/>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3C45E0" w:rsidRPr="00927455" w14:paraId="04CBEA67" w14:textId="77777777" w:rsidTr="00F93AB4">
        <w:tc>
          <w:tcPr>
            <w:tcW w:w="1020" w:type="dxa"/>
            <w:tcMar>
              <w:right w:w="0" w:type="dxa"/>
            </w:tcMar>
          </w:tcPr>
          <w:p w14:paraId="52092314" w14:textId="77777777" w:rsidR="003C45E0" w:rsidRPr="00927455" w:rsidRDefault="003C45E0" w:rsidP="00F93AB4">
            <w:pPr>
              <w:rPr>
                <w:lang w:val="nl-BE" w:eastAsia="nl-NL"/>
              </w:rPr>
            </w:pPr>
          </w:p>
        </w:tc>
        <w:tc>
          <w:tcPr>
            <w:tcW w:w="8833" w:type="dxa"/>
            <w:tcMar>
              <w:left w:w="0" w:type="dxa"/>
            </w:tcMar>
            <w:vAlign w:val="center"/>
          </w:tcPr>
          <w:p w14:paraId="43938B16" w14:textId="77777777" w:rsidR="003C45E0" w:rsidRPr="00927455" w:rsidRDefault="003C45E0" w:rsidP="00F93AB4">
            <w:pPr>
              <w:jc w:val="both"/>
              <w:rPr>
                <w:bCs/>
              </w:rPr>
            </w:pPr>
          </w:p>
          <w:p w14:paraId="0E4B9626" w14:textId="77777777" w:rsidR="003C45E0" w:rsidRPr="00927455" w:rsidRDefault="003C45E0" w:rsidP="00F93AB4">
            <w:pPr>
              <w:jc w:val="center"/>
            </w:pPr>
            <w:r w:rsidRPr="00927455">
              <w:rPr>
                <w:bCs/>
                <w:noProof/>
                <w:lang w:eastAsia="nl-BE"/>
              </w:rPr>
              <w:lastRenderedPageBreak/>
              <w:drawing>
                <wp:inline distT="0" distB="0" distL="0" distR="0" wp14:anchorId="65648650" wp14:editId="5C818799">
                  <wp:extent cx="3938400" cy="3960000"/>
                  <wp:effectExtent l="0" t="0" r="5080" b="2540"/>
                  <wp:docPr id="42" name="Image 3" descr="C:\Users\bpifr03\Desktop\2019.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pifr03\Desktop\2019.04.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23979" t="22111" r="35004" b="12228"/>
                          <a:stretch/>
                        </pic:blipFill>
                        <pic:spPr bwMode="auto">
                          <a:xfrm>
                            <a:off x="0" y="0"/>
                            <a:ext cx="3938400" cy="3960000"/>
                          </a:xfrm>
                          <a:prstGeom prst="rect">
                            <a:avLst/>
                          </a:prstGeom>
                          <a:noFill/>
                          <a:ln>
                            <a:noFill/>
                          </a:ln>
                          <a:extLst>
                            <a:ext uri="{53640926-AAD7-44D8-BBD7-CCE9431645EC}">
                              <a14:shadowObscured xmlns:a14="http://schemas.microsoft.com/office/drawing/2010/main"/>
                            </a:ext>
                          </a:extLst>
                        </pic:spPr>
                      </pic:pic>
                    </a:graphicData>
                  </a:graphic>
                </wp:inline>
              </w:drawing>
            </w:r>
          </w:p>
        </w:tc>
      </w:tr>
    </w:tbl>
    <w:tbl>
      <w:tblPr>
        <w:tblStyle w:val="Grilledutableau"/>
        <w:tblW w:w="0" w:type="auto"/>
        <w:tblLook w:val="04A0" w:firstRow="1" w:lastRow="0" w:firstColumn="1" w:lastColumn="0" w:noHBand="0" w:noVBand="1"/>
      </w:tblPr>
      <w:tblGrid>
        <w:gridCol w:w="4531"/>
        <w:gridCol w:w="7"/>
        <w:gridCol w:w="4524"/>
      </w:tblGrid>
      <w:tr w:rsidR="0071410A" w:rsidRPr="00927455" w14:paraId="2562AF45" w14:textId="77777777" w:rsidTr="004F667F">
        <w:tc>
          <w:tcPr>
            <w:tcW w:w="4538" w:type="dxa"/>
            <w:gridSpan w:val="2"/>
          </w:tcPr>
          <w:p w14:paraId="1DEC268B" w14:textId="640649C9" w:rsidR="003C45E0" w:rsidRPr="00927455" w:rsidRDefault="003C45E0" w:rsidP="003774D1">
            <w:pPr>
              <w:rPr>
                <w:lang w:val="fr-BE"/>
              </w:rPr>
            </w:pPr>
          </w:p>
        </w:tc>
        <w:tc>
          <w:tcPr>
            <w:tcW w:w="4524" w:type="dxa"/>
          </w:tcPr>
          <w:p w14:paraId="078F7406" w14:textId="77777777" w:rsidR="003C45E0" w:rsidRPr="00927455" w:rsidRDefault="007D3CA6" w:rsidP="007D3CA6">
            <w:pPr>
              <w:rPr>
                <w:lang w:val="fr-BE"/>
              </w:rPr>
            </w:pPr>
            <w:r w:rsidRPr="00927455">
              <w:rPr>
                <w:lang w:val="fr-BE"/>
              </w:rPr>
              <w:t>Planche 5.5</w:t>
            </w:r>
          </w:p>
        </w:tc>
      </w:tr>
      <w:tr w:rsidR="0071410A" w:rsidRPr="00754BD6" w14:paraId="408ABB93" w14:textId="77777777" w:rsidTr="004F667F">
        <w:tc>
          <w:tcPr>
            <w:tcW w:w="4538" w:type="dxa"/>
            <w:gridSpan w:val="2"/>
          </w:tcPr>
          <w:p w14:paraId="29E912C6" w14:textId="77777777" w:rsidR="003C45E0" w:rsidRPr="00927455" w:rsidRDefault="003C45E0" w:rsidP="003774D1">
            <w:pPr>
              <w:rPr>
                <w:b/>
              </w:rPr>
            </w:pPr>
          </w:p>
        </w:tc>
        <w:tc>
          <w:tcPr>
            <w:tcW w:w="4524" w:type="dxa"/>
          </w:tcPr>
          <w:p w14:paraId="6D8208F3" w14:textId="646CEBA7" w:rsidR="003C45E0" w:rsidRPr="00927455" w:rsidRDefault="003C45E0" w:rsidP="003774D1">
            <w:pPr>
              <w:rPr>
                <w:b/>
                <w:lang w:val="fr-BE"/>
              </w:rPr>
            </w:pPr>
            <w:r w:rsidRPr="00927455">
              <w:rPr>
                <w:b/>
                <w:lang w:val="fr-BE"/>
              </w:rPr>
              <w:t xml:space="preserve">6.4 Pour les bâtiments pour lesquels la demande de permis d’urbanisme a été introduite avant le 1er </w:t>
            </w:r>
            <w:r w:rsidR="00B405E7" w:rsidRPr="00927455">
              <w:rPr>
                <w:b/>
                <w:lang w:val="fr-BE"/>
              </w:rPr>
              <w:t>juillet 2022</w:t>
            </w:r>
            <w:r w:rsidRPr="00927455">
              <w:rPr>
                <w:b/>
                <w:lang w:val="fr-BE"/>
              </w:rPr>
              <w:t>.</w:t>
            </w:r>
          </w:p>
          <w:p w14:paraId="309E3602" w14:textId="77777777" w:rsidR="003C45E0" w:rsidRPr="00927455" w:rsidRDefault="003C45E0" w:rsidP="003774D1">
            <w:pPr>
              <w:rPr>
                <w:b/>
                <w:lang w:val="fr-BE"/>
              </w:rPr>
            </w:pPr>
          </w:p>
        </w:tc>
      </w:tr>
      <w:tr w:rsidR="003C45E0" w:rsidRPr="00754BD6" w14:paraId="0B1F3331" w14:textId="77777777" w:rsidTr="004F667F">
        <w:tc>
          <w:tcPr>
            <w:tcW w:w="4538" w:type="dxa"/>
            <w:gridSpan w:val="2"/>
          </w:tcPr>
          <w:p w14:paraId="7194EEA8" w14:textId="77777777" w:rsidR="003C45E0" w:rsidRPr="00927455" w:rsidRDefault="003C45E0" w:rsidP="003C45E0"/>
        </w:tc>
        <w:tc>
          <w:tcPr>
            <w:tcW w:w="4524" w:type="dxa"/>
          </w:tcPr>
          <w:p w14:paraId="7994A720" w14:textId="3339A0F4" w:rsidR="003C45E0" w:rsidRPr="00927455" w:rsidRDefault="003C45E0" w:rsidP="003C45E0">
            <w:pPr>
              <w:rPr>
                <w:lang w:val="fr-BE"/>
              </w:rPr>
            </w:pPr>
            <w:r w:rsidRPr="00927455">
              <w:rPr>
                <w:lang w:val="fr-BE"/>
              </w:rPr>
              <w:t xml:space="preserve">Les points 6.1 à 6.3 ne sont pas d’application aux façades d’un bâtiment pour lequel la demande de permis d’urbanisme a été introduite avant le 1er </w:t>
            </w:r>
            <w:r w:rsidR="00B405E7" w:rsidRPr="00927455">
              <w:rPr>
                <w:lang w:val="fr-BE"/>
              </w:rPr>
              <w:t>juillet 2022</w:t>
            </w:r>
            <w:r w:rsidRPr="00927455">
              <w:rPr>
                <w:lang w:val="fr-BE"/>
              </w:rPr>
              <w:t xml:space="preserve"> s’il satisfait aux exigences suivantes.</w:t>
            </w:r>
          </w:p>
          <w:p w14:paraId="56DC7FD1" w14:textId="77777777" w:rsidR="003C45E0" w:rsidRPr="00927455" w:rsidRDefault="003C45E0" w:rsidP="003C45E0">
            <w:pPr>
              <w:rPr>
                <w:lang w:val="fr-BE"/>
              </w:rPr>
            </w:pPr>
          </w:p>
          <w:p w14:paraId="6420653E" w14:textId="77777777" w:rsidR="003C45E0" w:rsidRPr="00927455" w:rsidRDefault="003C45E0" w:rsidP="003C45E0">
            <w:pPr>
              <w:rPr>
                <w:lang w:val="fr-BE"/>
              </w:rPr>
            </w:pPr>
            <w:r w:rsidRPr="00927455">
              <w:rPr>
                <w:lang w:val="fr-BE"/>
              </w:rPr>
              <w:t>Les revêtements de façades des bâtiments bas présentent la classe D-s3, d1.</w:t>
            </w:r>
          </w:p>
          <w:p w14:paraId="49D8E014" w14:textId="77777777" w:rsidR="003C45E0" w:rsidRPr="00927455" w:rsidRDefault="003C45E0" w:rsidP="003C45E0">
            <w:pPr>
              <w:rPr>
                <w:lang w:val="fr-BE"/>
              </w:rPr>
            </w:pPr>
          </w:p>
          <w:p w14:paraId="20192FF7" w14:textId="77777777" w:rsidR="003C45E0" w:rsidRPr="00927455" w:rsidRDefault="003C45E0" w:rsidP="003C45E0">
            <w:pPr>
              <w:rPr>
                <w:lang w:val="fr-BE"/>
              </w:rPr>
            </w:pPr>
            <w:r w:rsidRPr="00927455">
              <w:rPr>
                <w:lang w:val="fr-BE"/>
              </w:rPr>
              <w:t>Les revêtements de façades des bâtiments moyens et élevés présentent la classe B-s3, d1.</w:t>
            </w:r>
          </w:p>
          <w:p w14:paraId="0151E243" w14:textId="77777777" w:rsidR="003C45E0" w:rsidRPr="00927455" w:rsidRDefault="003C45E0" w:rsidP="003C45E0">
            <w:pPr>
              <w:rPr>
                <w:lang w:val="fr-BE"/>
              </w:rPr>
            </w:pPr>
          </w:p>
          <w:p w14:paraId="3D61DB6A" w14:textId="77777777" w:rsidR="003C45E0" w:rsidRPr="00927455" w:rsidRDefault="003C45E0" w:rsidP="003C45E0">
            <w:pPr>
              <w:rPr>
                <w:lang w:val="fr-BE"/>
              </w:rPr>
            </w:pPr>
            <w:r w:rsidRPr="00927455">
              <w:rPr>
                <w:lang w:val="fr-BE"/>
              </w:rPr>
              <w:t>Un maximum de 5% de la surface visible des façades n’est pas soumis à cette exigence.</w:t>
            </w:r>
            <w:r w:rsidR="00ED5968" w:rsidRPr="00927455">
              <w:rPr>
                <w:lang w:val="fr-BE"/>
              </w:rPr>
              <w:t xml:space="preserve"> ».</w:t>
            </w:r>
          </w:p>
          <w:p w14:paraId="6E2B3863" w14:textId="77777777" w:rsidR="003C45E0" w:rsidRPr="00927455" w:rsidRDefault="003C45E0" w:rsidP="003C45E0">
            <w:pPr>
              <w:rPr>
                <w:lang w:val="fr-BE"/>
              </w:rPr>
            </w:pPr>
          </w:p>
        </w:tc>
      </w:tr>
      <w:tr w:rsidR="007D77F0" w:rsidRPr="00754BD6" w14:paraId="34D18BCF" w14:textId="77777777" w:rsidTr="004F667F">
        <w:tc>
          <w:tcPr>
            <w:tcW w:w="4538" w:type="dxa"/>
            <w:gridSpan w:val="2"/>
          </w:tcPr>
          <w:p w14:paraId="46FB90C7" w14:textId="77777777" w:rsidR="007D77F0" w:rsidRPr="00927455" w:rsidRDefault="007D77F0" w:rsidP="003774D1">
            <w:pPr>
              <w:rPr>
                <w:b/>
                <w:lang w:val="fr-BE"/>
              </w:rPr>
            </w:pPr>
          </w:p>
        </w:tc>
        <w:tc>
          <w:tcPr>
            <w:tcW w:w="4524" w:type="dxa"/>
          </w:tcPr>
          <w:p w14:paraId="3BEE020D" w14:textId="77777777" w:rsidR="007D77F0" w:rsidRPr="00927455" w:rsidRDefault="007D77F0" w:rsidP="003774D1">
            <w:pPr>
              <w:rPr>
                <w:b/>
                <w:lang w:val="fr-BE"/>
              </w:rPr>
            </w:pPr>
          </w:p>
        </w:tc>
      </w:tr>
      <w:tr w:rsidR="003774D1" w:rsidRPr="00754BD6" w14:paraId="6E3FA45D" w14:textId="77777777" w:rsidTr="004F667F">
        <w:tc>
          <w:tcPr>
            <w:tcW w:w="4538" w:type="dxa"/>
            <w:gridSpan w:val="2"/>
          </w:tcPr>
          <w:p w14:paraId="35EFEFE9" w14:textId="77777777" w:rsidR="003774D1" w:rsidRPr="00927455" w:rsidRDefault="003774D1" w:rsidP="003774D1"/>
        </w:tc>
        <w:tc>
          <w:tcPr>
            <w:tcW w:w="4524" w:type="dxa"/>
          </w:tcPr>
          <w:p w14:paraId="50D39AB4" w14:textId="783C178A" w:rsidR="007358D5" w:rsidRPr="00927455" w:rsidRDefault="004947FA" w:rsidP="007358D5">
            <w:pPr>
              <w:rPr>
                <w:lang w:val="fr-BE"/>
              </w:rPr>
            </w:pPr>
            <w:r w:rsidRPr="00927455">
              <w:rPr>
                <w:b/>
                <w:lang w:val="fr-BE"/>
              </w:rPr>
              <w:t xml:space="preserve">Art. </w:t>
            </w:r>
            <w:r w:rsidR="005F5B93" w:rsidRPr="00927455">
              <w:rPr>
                <w:b/>
                <w:lang w:val="fr-BE"/>
              </w:rPr>
              <w:t>27</w:t>
            </w:r>
            <w:r w:rsidR="003774D1" w:rsidRPr="00927455">
              <w:rPr>
                <w:b/>
                <w:lang w:val="fr-BE"/>
              </w:rPr>
              <w:t>.</w:t>
            </w:r>
            <w:r w:rsidR="003774D1" w:rsidRPr="00927455">
              <w:rPr>
                <w:lang w:val="fr-BE"/>
              </w:rPr>
              <w:t xml:space="preserve"> </w:t>
            </w:r>
            <w:r w:rsidR="007358D5" w:rsidRPr="00927455">
              <w:rPr>
                <w:lang w:val="fr-BE"/>
              </w:rPr>
              <w:t>Le point 8.3 de l’annexe 5/1 du même arrêté royal est complété par un alinéa rédigé comme suit :</w:t>
            </w:r>
          </w:p>
          <w:p w14:paraId="60E2DC28" w14:textId="77777777" w:rsidR="00CC63C0" w:rsidRPr="00927455" w:rsidRDefault="007358D5" w:rsidP="00CC63C0">
            <w:pPr>
              <w:rPr>
                <w:lang w:val="fr-BE"/>
              </w:rPr>
            </w:pPr>
            <w:r w:rsidRPr="00927455">
              <w:rPr>
                <w:lang w:val="fr-BE"/>
              </w:rPr>
              <w:t>«</w:t>
            </w:r>
            <w:r w:rsidR="00CC63C0" w:rsidRPr="00927455">
              <w:rPr>
                <w:lang w:val="fr-BE"/>
              </w:rPr>
              <w:t xml:space="preserve"> Une terrasse en bois posée sur une toiture plate est présumée répondre aux </w:t>
            </w:r>
            <w:r w:rsidR="00CC63C0" w:rsidRPr="00927455">
              <w:rPr>
                <w:lang w:val="fr-BE"/>
              </w:rPr>
              <w:lastRenderedPageBreak/>
              <w:t>prescriptions du point 8.1, à savoir à la classe B</w:t>
            </w:r>
            <w:r w:rsidR="00CC63C0" w:rsidRPr="00927455">
              <w:rPr>
                <w:vertAlign w:val="subscript"/>
                <w:lang w:val="fr-BE"/>
              </w:rPr>
              <w:t>ROOF</w:t>
            </w:r>
            <w:r w:rsidR="00CC63C0" w:rsidRPr="00927455">
              <w:rPr>
                <w:lang w:val="fr-BE"/>
              </w:rPr>
              <w:t xml:space="preserve"> (t1), si les conditions suivantes sont respectées : </w:t>
            </w:r>
          </w:p>
          <w:p w14:paraId="7A24D287" w14:textId="77777777" w:rsidR="00CC63C0" w:rsidRPr="00927455" w:rsidRDefault="00CC63C0" w:rsidP="00CC63C0">
            <w:pPr>
              <w:rPr>
                <w:lang w:val="fr-BE"/>
              </w:rPr>
            </w:pPr>
            <w:r w:rsidRPr="00927455">
              <w:rPr>
                <w:lang w:val="fr-BE"/>
              </w:rPr>
              <w:t>- planches en bois : densité de minimum 750 kg/m³, épaisseur de 21 à 40 mm, largeur de minimum 120 mm, fixation mécanique sur une structure portante en bois, parallèlement ou transversalement à la pente de la toiture ;</w:t>
            </w:r>
          </w:p>
          <w:p w14:paraId="71AD89BD" w14:textId="77777777" w:rsidR="00CC63C0" w:rsidRPr="00927455" w:rsidRDefault="00CC63C0" w:rsidP="00CC63C0">
            <w:pPr>
              <w:rPr>
                <w:lang w:val="fr-BE"/>
              </w:rPr>
            </w:pPr>
            <w:r w:rsidRPr="00927455">
              <w:rPr>
                <w:lang w:val="fr-BE"/>
              </w:rPr>
              <w:t>- largeur du joint entre les planches : de 4 à 6 mm ;</w:t>
            </w:r>
          </w:p>
          <w:p w14:paraId="298A0BE0" w14:textId="77777777" w:rsidR="00CC63C0" w:rsidRPr="00927455" w:rsidRDefault="00CC63C0" w:rsidP="00CC63C0">
            <w:pPr>
              <w:rPr>
                <w:lang w:val="fr-BE"/>
              </w:rPr>
            </w:pPr>
            <w:r w:rsidRPr="00927455">
              <w:rPr>
                <w:lang w:val="fr-BE"/>
              </w:rPr>
              <w:t>- structure portante en bois : lambourdes en bois (densité de minimum 750 kg/m³, section 60 x 40 mm) posées directement sur la toiture ou par l’intermédiaire de plots en polypropylène (maximum 6 par m²) ;</w:t>
            </w:r>
          </w:p>
          <w:p w14:paraId="2FF65FBA" w14:textId="77777777" w:rsidR="003774D1" w:rsidRPr="00927455" w:rsidRDefault="00CC63C0" w:rsidP="00CC63C0">
            <w:pPr>
              <w:rPr>
                <w:lang w:val="fr-BE"/>
              </w:rPr>
            </w:pPr>
            <w:r w:rsidRPr="00927455">
              <w:rPr>
                <w:lang w:val="fr-BE"/>
              </w:rPr>
              <w:t>- toitures sous la terrasse en bois : toutes les toitures plates (pente de 0 à 20°) présentant elles-mêmes la classe B</w:t>
            </w:r>
            <w:r w:rsidRPr="00927455">
              <w:rPr>
                <w:vertAlign w:val="subscript"/>
                <w:lang w:val="fr-BE"/>
              </w:rPr>
              <w:t>ROOF</w:t>
            </w:r>
            <w:r w:rsidRPr="00927455">
              <w:rPr>
                <w:lang w:val="fr-BE"/>
              </w:rPr>
              <w:t xml:space="preserve"> (t1)</w:t>
            </w:r>
            <w:r w:rsidR="007358D5" w:rsidRPr="00927455">
              <w:rPr>
                <w:lang w:val="fr-BE"/>
              </w:rPr>
              <w:t>. »</w:t>
            </w:r>
            <w:r w:rsidR="007738B2" w:rsidRPr="00927455">
              <w:rPr>
                <w:lang w:val="fr-BE"/>
              </w:rPr>
              <w:t>.</w:t>
            </w:r>
          </w:p>
          <w:p w14:paraId="19C323C3" w14:textId="77777777" w:rsidR="003774D1" w:rsidRPr="00927455" w:rsidRDefault="003774D1" w:rsidP="003774D1">
            <w:pPr>
              <w:rPr>
                <w:lang w:val="fr-BE"/>
              </w:rPr>
            </w:pPr>
          </w:p>
        </w:tc>
      </w:tr>
      <w:tr w:rsidR="00AB45D1" w:rsidRPr="00754BD6" w14:paraId="31DB4BAF" w14:textId="77777777" w:rsidTr="007262A6">
        <w:tc>
          <w:tcPr>
            <w:tcW w:w="4538" w:type="dxa"/>
            <w:gridSpan w:val="2"/>
          </w:tcPr>
          <w:p w14:paraId="57A75EF1" w14:textId="77777777" w:rsidR="00AB45D1" w:rsidRPr="00927455" w:rsidRDefault="00AB45D1" w:rsidP="00AB45D1"/>
        </w:tc>
        <w:tc>
          <w:tcPr>
            <w:tcW w:w="4524" w:type="dxa"/>
          </w:tcPr>
          <w:p w14:paraId="4AF21705" w14:textId="4436FA3F" w:rsidR="00AB45D1" w:rsidRPr="00927455" w:rsidRDefault="00AB45D1" w:rsidP="00123631">
            <w:pPr>
              <w:rPr>
                <w:lang w:val="fr-BE"/>
              </w:rPr>
            </w:pPr>
            <w:r w:rsidRPr="00927455">
              <w:rPr>
                <w:b/>
                <w:lang w:val="fr-BE"/>
              </w:rPr>
              <w:t xml:space="preserve">Art. </w:t>
            </w:r>
            <w:r w:rsidR="005F5B93" w:rsidRPr="00927455">
              <w:rPr>
                <w:b/>
                <w:lang w:val="fr-BE"/>
              </w:rPr>
              <w:t>28</w:t>
            </w:r>
            <w:r w:rsidRPr="00927455">
              <w:rPr>
                <w:b/>
                <w:lang w:val="fr-BE"/>
              </w:rPr>
              <w:t>.</w:t>
            </w:r>
            <w:r w:rsidRPr="00927455">
              <w:rPr>
                <w:lang w:val="fr-BE"/>
              </w:rPr>
              <w:t xml:space="preserve"> </w:t>
            </w:r>
            <w:r w:rsidR="00123631" w:rsidRPr="00927455">
              <w:rPr>
                <w:lang w:val="fr-BE"/>
              </w:rPr>
              <w:t>Dans l</w:t>
            </w:r>
            <w:r w:rsidRPr="00927455">
              <w:rPr>
                <w:lang w:val="fr-BE"/>
              </w:rPr>
              <w:t>e point 8.</w:t>
            </w:r>
            <w:r w:rsidR="00123631" w:rsidRPr="00927455">
              <w:rPr>
                <w:lang w:val="fr-BE"/>
              </w:rPr>
              <w:t>4.1</w:t>
            </w:r>
            <w:r w:rsidRPr="00927455">
              <w:rPr>
                <w:lang w:val="fr-BE"/>
              </w:rPr>
              <w:t xml:space="preserve"> de l’annexe 5/1 du même arrêté royal</w:t>
            </w:r>
            <w:r w:rsidR="00123631" w:rsidRPr="00927455">
              <w:rPr>
                <w:lang w:val="fr-BE"/>
              </w:rPr>
              <w:t xml:space="preserve">, l’abréviation </w:t>
            </w:r>
            <w:r w:rsidRPr="00927455">
              <w:rPr>
                <w:lang w:val="fr-BE"/>
              </w:rPr>
              <w:t xml:space="preserve">« </w:t>
            </w:r>
            <w:r w:rsidR="00123631" w:rsidRPr="00927455">
              <w:rPr>
                <w:lang w:val="fr-BE"/>
              </w:rPr>
              <w:t>NBN ENV » est remplacée par l’abréviation « CEN/TS ».</w:t>
            </w:r>
            <w:r w:rsidRPr="00927455">
              <w:rPr>
                <w:lang w:val="fr-BE"/>
              </w:rPr>
              <w:t xml:space="preserve"> </w:t>
            </w:r>
          </w:p>
          <w:p w14:paraId="446A01FE" w14:textId="77777777" w:rsidR="00123631" w:rsidRPr="00927455" w:rsidRDefault="00123631" w:rsidP="00123631">
            <w:pPr>
              <w:rPr>
                <w:lang w:val="fr-BE"/>
              </w:rPr>
            </w:pPr>
          </w:p>
        </w:tc>
      </w:tr>
      <w:tr w:rsidR="003774D1" w:rsidRPr="00754BD6" w14:paraId="611A6389" w14:textId="77777777" w:rsidTr="004F667F">
        <w:tc>
          <w:tcPr>
            <w:tcW w:w="4538" w:type="dxa"/>
            <w:gridSpan w:val="2"/>
          </w:tcPr>
          <w:p w14:paraId="44F34D51" w14:textId="77777777" w:rsidR="003774D1" w:rsidRPr="00927455" w:rsidRDefault="003774D1" w:rsidP="003774D1">
            <w:pPr>
              <w:rPr>
                <w:b/>
                <w:lang w:val="fr-BE"/>
              </w:rPr>
            </w:pPr>
          </w:p>
        </w:tc>
        <w:tc>
          <w:tcPr>
            <w:tcW w:w="4524" w:type="dxa"/>
          </w:tcPr>
          <w:p w14:paraId="44EA06F9" w14:textId="77777777" w:rsidR="003774D1" w:rsidRPr="00927455" w:rsidRDefault="003774D1" w:rsidP="003774D1">
            <w:pPr>
              <w:rPr>
                <w:b/>
                <w:lang w:val="fr-BE"/>
              </w:rPr>
            </w:pPr>
          </w:p>
        </w:tc>
      </w:tr>
      <w:tr w:rsidR="003774D1" w:rsidRPr="00754BD6" w14:paraId="16075381" w14:textId="77777777" w:rsidTr="004F667F">
        <w:tc>
          <w:tcPr>
            <w:tcW w:w="4538" w:type="dxa"/>
            <w:gridSpan w:val="2"/>
          </w:tcPr>
          <w:p w14:paraId="4C6959E2" w14:textId="2DCE4F57" w:rsidR="003774D1" w:rsidRPr="00927455" w:rsidRDefault="003774D1" w:rsidP="003774D1">
            <w:pPr>
              <w:rPr>
                <w:b/>
              </w:rPr>
            </w:pPr>
          </w:p>
        </w:tc>
        <w:tc>
          <w:tcPr>
            <w:tcW w:w="4524" w:type="dxa"/>
          </w:tcPr>
          <w:p w14:paraId="00AA0826" w14:textId="5195B782" w:rsidR="003774D1" w:rsidRPr="00927455" w:rsidRDefault="008842A8" w:rsidP="003774D1">
            <w:pPr>
              <w:rPr>
                <w:b/>
                <w:lang w:val="fr-FR"/>
              </w:rPr>
            </w:pPr>
            <w:r w:rsidRPr="00927455">
              <w:rPr>
                <w:b/>
                <w:lang w:val="fr-FR"/>
              </w:rPr>
              <w:t>Chapitre 7. Modifications de l’annexe 6</w:t>
            </w:r>
            <w:r w:rsidR="003774D1" w:rsidRPr="00927455">
              <w:rPr>
                <w:b/>
                <w:lang w:val="fr-FR"/>
              </w:rPr>
              <w:t xml:space="preserve"> de l’arrêté royal du 7 juillet 1994 fixant les normes de base en matière de prévention contre l'incendie et l'explosion, auxquelles les </w:t>
            </w:r>
            <w:r w:rsidR="00927455">
              <w:rPr>
                <w:b/>
                <w:lang w:val="fr-FR"/>
              </w:rPr>
              <w:t>bâtiments</w:t>
            </w:r>
            <w:r w:rsidR="003774D1" w:rsidRPr="00927455">
              <w:rPr>
                <w:b/>
                <w:lang w:val="fr-FR"/>
              </w:rPr>
              <w:t xml:space="preserve"> doivent satisfaire</w:t>
            </w:r>
          </w:p>
        </w:tc>
      </w:tr>
      <w:tr w:rsidR="007262A6" w:rsidRPr="00754BD6" w14:paraId="213A98F5" w14:textId="77777777" w:rsidTr="007262A6">
        <w:tc>
          <w:tcPr>
            <w:tcW w:w="4538" w:type="dxa"/>
            <w:gridSpan w:val="2"/>
          </w:tcPr>
          <w:p w14:paraId="572AC2D5" w14:textId="77777777" w:rsidR="007262A6" w:rsidRPr="00927455" w:rsidRDefault="007262A6" w:rsidP="007262A6">
            <w:pPr>
              <w:rPr>
                <w:b/>
              </w:rPr>
            </w:pPr>
          </w:p>
        </w:tc>
        <w:tc>
          <w:tcPr>
            <w:tcW w:w="4524" w:type="dxa"/>
          </w:tcPr>
          <w:p w14:paraId="1E813AFD" w14:textId="715EE03A" w:rsidR="007262A6" w:rsidRPr="00927455" w:rsidRDefault="00E76405" w:rsidP="007262A6">
            <w:pPr>
              <w:rPr>
                <w:lang w:val="fr-FR"/>
              </w:rPr>
            </w:pPr>
            <w:r w:rsidRPr="00927455">
              <w:rPr>
                <w:b/>
                <w:lang w:val="fr-BE"/>
              </w:rPr>
              <w:t xml:space="preserve">Art. </w:t>
            </w:r>
            <w:r w:rsidR="005F5B93" w:rsidRPr="00927455">
              <w:rPr>
                <w:b/>
                <w:lang w:val="fr-BE"/>
              </w:rPr>
              <w:t>29</w:t>
            </w:r>
            <w:r w:rsidR="007262A6" w:rsidRPr="00927455">
              <w:rPr>
                <w:b/>
                <w:lang w:val="fr-BE"/>
              </w:rPr>
              <w:t>.</w:t>
            </w:r>
            <w:r w:rsidR="007262A6" w:rsidRPr="00927455">
              <w:rPr>
                <w:lang w:val="fr-BE"/>
              </w:rPr>
              <w:t xml:space="preserve"> Dans le point 1.2.1, </w:t>
            </w:r>
            <w:r w:rsidR="00924C32" w:rsidRPr="00927455">
              <w:rPr>
                <w:lang w:val="fr-BE"/>
              </w:rPr>
              <w:t>alinéa1</w:t>
            </w:r>
            <w:r w:rsidR="00924C32" w:rsidRPr="00927455">
              <w:rPr>
                <w:vertAlign w:val="superscript"/>
                <w:lang w:val="fr-BE"/>
              </w:rPr>
              <w:t>er</w:t>
            </w:r>
            <w:r w:rsidR="00924C32" w:rsidRPr="00927455">
              <w:rPr>
                <w:lang w:val="fr-BE"/>
              </w:rPr>
              <w:t xml:space="preserve">, </w:t>
            </w:r>
            <w:r w:rsidR="007262A6" w:rsidRPr="00927455">
              <w:rPr>
                <w:lang w:val="fr-BE"/>
              </w:rPr>
              <w:t xml:space="preserve">3, </w:t>
            </w:r>
            <w:r w:rsidR="00924C32" w:rsidRPr="00927455">
              <w:rPr>
                <w:lang w:val="fr-BE"/>
              </w:rPr>
              <w:t>cinquième tiret</w:t>
            </w:r>
            <w:r w:rsidR="007262A6" w:rsidRPr="00927455">
              <w:rPr>
                <w:lang w:val="fr-BE"/>
              </w:rPr>
              <w:t xml:space="preserve"> de l’annexe </w:t>
            </w:r>
            <w:r w:rsidR="00924C32" w:rsidRPr="00927455">
              <w:rPr>
                <w:lang w:val="fr-BE"/>
              </w:rPr>
              <w:t>6</w:t>
            </w:r>
            <w:r w:rsidR="007262A6" w:rsidRPr="00927455">
              <w:rPr>
                <w:lang w:val="fr-BE"/>
              </w:rPr>
              <w:t xml:space="preserve"> du même arrêté royal, dans le texte </w:t>
            </w:r>
            <w:r w:rsidR="00924C32" w:rsidRPr="00927455">
              <w:rPr>
                <w:lang w:val="fr-BE"/>
              </w:rPr>
              <w:t>néerlandais</w:t>
            </w:r>
            <w:r w:rsidR="007262A6" w:rsidRPr="00927455">
              <w:rPr>
                <w:lang w:val="fr-BE"/>
              </w:rPr>
              <w:t>, le mot «</w:t>
            </w:r>
            <w:r w:rsidR="00924C32" w:rsidRPr="00927455">
              <w:rPr>
                <w:lang w:val="fr-BE"/>
              </w:rPr>
              <w:t xml:space="preserve"> </w:t>
            </w:r>
            <w:proofErr w:type="spellStart"/>
            <w:r w:rsidR="00924C32" w:rsidRPr="00927455">
              <w:rPr>
                <w:lang w:val="fr-BE"/>
              </w:rPr>
              <w:t>algemene</w:t>
            </w:r>
            <w:proofErr w:type="spellEnd"/>
            <w:r w:rsidR="007262A6" w:rsidRPr="00927455">
              <w:rPr>
                <w:lang w:val="fr-BE"/>
              </w:rPr>
              <w:t xml:space="preserve"> » est rem</w:t>
            </w:r>
            <w:r w:rsidR="007262A6" w:rsidRPr="00927455">
              <w:rPr>
                <w:lang w:val="fr-FR"/>
              </w:rPr>
              <w:t xml:space="preserve">placé par le mot « </w:t>
            </w:r>
            <w:r w:rsidR="007262A6" w:rsidRPr="00927455">
              <w:rPr>
                <w:lang w:val="fr-BE"/>
              </w:rPr>
              <w:t>totale</w:t>
            </w:r>
            <w:r w:rsidR="007262A6" w:rsidRPr="00927455">
              <w:rPr>
                <w:lang w:val="fr-FR"/>
              </w:rPr>
              <w:t xml:space="preserve"> ».</w:t>
            </w:r>
          </w:p>
          <w:p w14:paraId="5EC0B05C" w14:textId="77777777" w:rsidR="007262A6" w:rsidRPr="00927455" w:rsidRDefault="007262A6" w:rsidP="007262A6">
            <w:pPr>
              <w:rPr>
                <w:lang w:val="fr-FR"/>
              </w:rPr>
            </w:pPr>
          </w:p>
        </w:tc>
      </w:tr>
      <w:tr w:rsidR="0071410A" w:rsidRPr="00754BD6" w14:paraId="3DA15AEC" w14:textId="77777777" w:rsidTr="00E205DF">
        <w:tc>
          <w:tcPr>
            <w:tcW w:w="4538" w:type="dxa"/>
            <w:gridSpan w:val="2"/>
          </w:tcPr>
          <w:p w14:paraId="166F132C" w14:textId="77777777" w:rsidR="008458F8" w:rsidRPr="00927455" w:rsidRDefault="008458F8" w:rsidP="00E205DF">
            <w:pPr>
              <w:rPr>
                <w:b/>
              </w:rPr>
            </w:pPr>
          </w:p>
        </w:tc>
        <w:tc>
          <w:tcPr>
            <w:tcW w:w="4524" w:type="dxa"/>
          </w:tcPr>
          <w:p w14:paraId="3E3F4352" w14:textId="595E9947" w:rsidR="008458F8" w:rsidRPr="00927455" w:rsidRDefault="00E76405" w:rsidP="00E205DF">
            <w:pPr>
              <w:rPr>
                <w:lang w:val="fr-FR"/>
              </w:rPr>
            </w:pPr>
            <w:r w:rsidRPr="00927455">
              <w:rPr>
                <w:b/>
                <w:lang w:val="fr-FR"/>
              </w:rPr>
              <w:t xml:space="preserve">Art. </w:t>
            </w:r>
            <w:r w:rsidR="005F5B93" w:rsidRPr="00927455">
              <w:rPr>
                <w:b/>
                <w:lang w:val="fr-FR"/>
              </w:rPr>
              <w:t>30</w:t>
            </w:r>
            <w:r w:rsidR="008458F8" w:rsidRPr="00927455">
              <w:rPr>
                <w:b/>
                <w:lang w:val="fr-FR"/>
              </w:rPr>
              <w:t>.</w:t>
            </w:r>
            <w:r w:rsidR="008458F8" w:rsidRPr="00927455">
              <w:rPr>
                <w:lang w:val="fr-FR"/>
              </w:rPr>
              <w:t xml:space="preserve"> Dans le point 3 de l’annexe 6 du même arrêté royal</w:t>
            </w:r>
            <w:r w:rsidR="008458F8" w:rsidRPr="00927455">
              <w:rPr>
                <w:lang w:val="fr-BE"/>
              </w:rPr>
              <w:t>, dans le titre du texte français,</w:t>
            </w:r>
            <w:r w:rsidR="008458F8" w:rsidRPr="00927455">
              <w:rPr>
                <w:lang w:val="fr-FR"/>
              </w:rPr>
              <w:t xml:space="preserve"> le mot « </w:t>
            </w:r>
            <w:r w:rsidR="008458F8" w:rsidRPr="00927455">
              <w:rPr>
                <w:lang w:val="fr-BE"/>
              </w:rPr>
              <w:t xml:space="preserve">structurels </w:t>
            </w:r>
            <w:r w:rsidR="008458F8" w:rsidRPr="00927455">
              <w:rPr>
                <w:lang w:val="fr-FR"/>
              </w:rPr>
              <w:t xml:space="preserve">» est remplacé par le mot « </w:t>
            </w:r>
            <w:r w:rsidR="008458F8" w:rsidRPr="00927455">
              <w:rPr>
                <w:lang w:val="fr-BE"/>
              </w:rPr>
              <w:t xml:space="preserve">structuraux </w:t>
            </w:r>
            <w:r w:rsidR="008458F8" w:rsidRPr="00927455">
              <w:rPr>
                <w:lang w:val="fr-FR"/>
              </w:rPr>
              <w:t>».</w:t>
            </w:r>
          </w:p>
          <w:p w14:paraId="1C066D71" w14:textId="77777777" w:rsidR="008458F8" w:rsidRPr="00927455" w:rsidRDefault="008458F8" w:rsidP="00E205DF">
            <w:pPr>
              <w:rPr>
                <w:lang w:val="fr-FR"/>
              </w:rPr>
            </w:pPr>
          </w:p>
        </w:tc>
      </w:tr>
      <w:tr w:rsidR="0071410A" w:rsidRPr="00754BD6" w14:paraId="0F78B6C9" w14:textId="77777777" w:rsidTr="00E205DF">
        <w:tc>
          <w:tcPr>
            <w:tcW w:w="4538" w:type="dxa"/>
            <w:gridSpan w:val="2"/>
          </w:tcPr>
          <w:p w14:paraId="4C57450F" w14:textId="77777777" w:rsidR="008458F8" w:rsidRPr="00927455" w:rsidRDefault="008458F8" w:rsidP="00E205DF">
            <w:pPr>
              <w:rPr>
                <w:b/>
              </w:rPr>
            </w:pPr>
          </w:p>
        </w:tc>
        <w:tc>
          <w:tcPr>
            <w:tcW w:w="4524" w:type="dxa"/>
          </w:tcPr>
          <w:p w14:paraId="4B012232" w14:textId="17C74A6A" w:rsidR="008458F8" w:rsidRPr="00927455" w:rsidRDefault="00E76405" w:rsidP="00E205DF">
            <w:pPr>
              <w:rPr>
                <w:lang w:val="fr-FR"/>
              </w:rPr>
            </w:pPr>
            <w:r w:rsidRPr="00927455">
              <w:rPr>
                <w:b/>
                <w:lang w:val="fr-FR"/>
              </w:rPr>
              <w:t xml:space="preserve">Art. </w:t>
            </w:r>
            <w:r w:rsidR="005F5B93" w:rsidRPr="00927455">
              <w:rPr>
                <w:b/>
                <w:lang w:val="fr-FR"/>
              </w:rPr>
              <w:t>31</w:t>
            </w:r>
            <w:r w:rsidR="008458F8" w:rsidRPr="00927455">
              <w:rPr>
                <w:b/>
                <w:lang w:val="fr-FR"/>
              </w:rPr>
              <w:t>.</w:t>
            </w:r>
            <w:r w:rsidR="008458F8" w:rsidRPr="00927455">
              <w:rPr>
                <w:lang w:val="fr-FR"/>
              </w:rPr>
              <w:t xml:space="preserve"> Dans le point 3.1 de l’annexe 6 du même arrêté royal</w:t>
            </w:r>
            <w:r w:rsidR="008458F8" w:rsidRPr="00927455">
              <w:rPr>
                <w:lang w:val="fr-BE"/>
              </w:rPr>
              <w:t>, dans le</w:t>
            </w:r>
            <w:r w:rsidR="00650407" w:rsidRPr="00927455">
              <w:rPr>
                <w:lang w:val="fr-BE"/>
              </w:rPr>
              <w:t xml:space="preserve"> titre et dans le texte du</w:t>
            </w:r>
            <w:r w:rsidR="008458F8" w:rsidRPr="00927455">
              <w:rPr>
                <w:lang w:val="fr-BE"/>
              </w:rPr>
              <w:t xml:space="preserve"> texte français,</w:t>
            </w:r>
            <w:r w:rsidR="00691A3A" w:rsidRPr="00927455">
              <w:rPr>
                <w:lang w:val="fr-FR"/>
              </w:rPr>
              <w:t xml:space="preserve"> les mots « </w:t>
            </w:r>
            <w:r w:rsidR="00691A3A" w:rsidRPr="00927455">
              <w:rPr>
                <w:lang w:val="fr-BE"/>
              </w:rPr>
              <w:t>structurels </w:t>
            </w:r>
            <w:r w:rsidR="008458F8" w:rsidRPr="00927455">
              <w:rPr>
                <w:lang w:val="fr-FR"/>
              </w:rPr>
              <w:t xml:space="preserve">» sont à chaque fois remplacés par le mot « </w:t>
            </w:r>
            <w:r w:rsidR="008458F8" w:rsidRPr="00927455">
              <w:rPr>
                <w:lang w:val="fr-BE"/>
              </w:rPr>
              <w:t xml:space="preserve">structuraux </w:t>
            </w:r>
            <w:r w:rsidR="008458F8" w:rsidRPr="00927455">
              <w:rPr>
                <w:lang w:val="fr-FR"/>
              </w:rPr>
              <w:t>».</w:t>
            </w:r>
          </w:p>
          <w:p w14:paraId="0589B887" w14:textId="77777777" w:rsidR="008458F8" w:rsidRPr="00927455" w:rsidRDefault="008458F8" w:rsidP="00E205DF">
            <w:pPr>
              <w:rPr>
                <w:lang w:val="fr-FR"/>
              </w:rPr>
            </w:pPr>
          </w:p>
        </w:tc>
      </w:tr>
      <w:tr w:rsidR="0071410A" w:rsidRPr="00754BD6" w14:paraId="317887C8" w14:textId="77777777" w:rsidTr="006C0FC8">
        <w:tc>
          <w:tcPr>
            <w:tcW w:w="4538" w:type="dxa"/>
            <w:gridSpan w:val="2"/>
          </w:tcPr>
          <w:p w14:paraId="66B0BF42" w14:textId="77777777" w:rsidR="00287E7E" w:rsidRPr="00927455" w:rsidRDefault="00287E7E" w:rsidP="006C0FC8">
            <w:pPr>
              <w:rPr>
                <w:b/>
              </w:rPr>
            </w:pPr>
          </w:p>
        </w:tc>
        <w:tc>
          <w:tcPr>
            <w:tcW w:w="4524" w:type="dxa"/>
          </w:tcPr>
          <w:p w14:paraId="25A6399E" w14:textId="38EA0C65" w:rsidR="00287E7E" w:rsidRPr="00927455" w:rsidRDefault="00E76405" w:rsidP="006C0FC8">
            <w:pPr>
              <w:rPr>
                <w:lang w:val="fr-FR"/>
              </w:rPr>
            </w:pPr>
            <w:r w:rsidRPr="00927455">
              <w:rPr>
                <w:b/>
                <w:lang w:val="fr-FR"/>
              </w:rPr>
              <w:t xml:space="preserve">Art. </w:t>
            </w:r>
            <w:r w:rsidR="005F5B93" w:rsidRPr="00927455">
              <w:rPr>
                <w:b/>
                <w:lang w:val="fr-FR"/>
              </w:rPr>
              <w:t>32</w:t>
            </w:r>
            <w:r w:rsidR="00287E7E" w:rsidRPr="00927455">
              <w:rPr>
                <w:b/>
                <w:lang w:val="fr-FR"/>
              </w:rPr>
              <w:t>.</w:t>
            </w:r>
            <w:r w:rsidR="00287E7E" w:rsidRPr="00927455">
              <w:rPr>
                <w:lang w:val="fr-FR"/>
              </w:rPr>
              <w:t xml:space="preserve"> Dans le point 3.3 de l’annexe 6 du même arrêté royal</w:t>
            </w:r>
            <w:r w:rsidR="00287E7E" w:rsidRPr="00927455">
              <w:rPr>
                <w:lang w:val="fr-BE"/>
              </w:rPr>
              <w:t>, dans le texte et dans le tableau du texte français,</w:t>
            </w:r>
            <w:r w:rsidR="00691A3A" w:rsidRPr="00927455">
              <w:rPr>
                <w:lang w:val="fr-FR"/>
              </w:rPr>
              <w:t xml:space="preserve"> les mots « </w:t>
            </w:r>
            <w:r w:rsidR="00691A3A" w:rsidRPr="00927455">
              <w:rPr>
                <w:lang w:val="fr-BE"/>
              </w:rPr>
              <w:t>structurels </w:t>
            </w:r>
            <w:r w:rsidR="00287E7E" w:rsidRPr="00927455">
              <w:rPr>
                <w:lang w:val="fr-FR"/>
              </w:rPr>
              <w:t>» sont à cha</w:t>
            </w:r>
            <w:r w:rsidR="00691A3A" w:rsidRPr="00927455">
              <w:rPr>
                <w:lang w:val="fr-FR"/>
              </w:rPr>
              <w:t>que fois remplacés par le mot « </w:t>
            </w:r>
            <w:r w:rsidR="00287E7E" w:rsidRPr="00927455">
              <w:rPr>
                <w:lang w:val="fr-BE"/>
              </w:rPr>
              <w:t>structuraux</w:t>
            </w:r>
            <w:r w:rsidR="00691A3A" w:rsidRPr="00927455">
              <w:rPr>
                <w:lang w:val="fr-BE"/>
              </w:rPr>
              <w:t> </w:t>
            </w:r>
            <w:r w:rsidR="00287E7E" w:rsidRPr="00927455">
              <w:rPr>
                <w:lang w:val="fr-FR"/>
              </w:rPr>
              <w:t>»</w:t>
            </w:r>
            <w:r w:rsidR="00691A3A" w:rsidRPr="00927455">
              <w:rPr>
                <w:lang w:val="fr-FR"/>
              </w:rPr>
              <w:t xml:space="preserve"> et le mot </w:t>
            </w:r>
            <w:r w:rsidR="00691A3A" w:rsidRPr="00927455">
              <w:rPr>
                <w:lang w:val="fr-FR"/>
              </w:rPr>
              <w:lastRenderedPageBreak/>
              <w:t>« structurel » est remplacé par le mot « structural </w:t>
            </w:r>
            <w:r w:rsidR="00287E7E" w:rsidRPr="00927455">
              <w:rPr>
                <w:lang w:val="fr-FR"/>
              </w:rPr>
              <w:t>».</w:t>
            </w:r>
          </w:p>
          <w:p w14:paraId="74FD38CA" w14:textId="77777777" w:rsidR="00287E7E" w:rsidRPr="00927455" w:rsidRDefault="00287E7E" w:rsidP="006C0FC8">
            <w:pPr>
              <w:rPr>
                <w:lang w:val="fr-FR"/>
              </w:rPr>
            </w:pPr>
          </w:p>
        </w:tc>
      </w:tr>
      <w:tr w:rsidR="0071410A" w:rsidRPr="00754BD6" w14:paraId="0002C6E2" w14:textId="77777777" w:rsidTr="00E205DF">
        <w:tc>
          <w:tcPr>
            <w:tcW w:w="4538" w:type="dxa"/>
            <w:gridSpan w:val="2"/>
          </w:tcPr>
          <w:p w14:paraId="60BFA776" w14:textId="77777777" w:rsidR="00904ABB" w:rsidRPr="00927455" w:rsidRDefault="00904ABB" w:rsidP="00E205DF"/>
        </w:tc>
        <w:tc>
          <w:tcPr>
            <w:tcW w:w="4524" w:type="dxa"/>
          </w:tcPr>
          <w:p w14:paraId="338854AD" w14:textId="697C7E62" w:rsidR="00904ABB" w:rsidRPr="00927455" w:rsidRDefault="00904ABB" w:rsidP="00E205DF">
            <w:pPr>
              <w:rPr>
                <w:lang w:val="fr-BE"/>
              </w:rPr>
            </w:pPr>
            <w:r w:rsidRPr="00927455">
              <w:rPr>
                <w:b/>
                <w:lang w:val="fr-BE"/>
              </w:rPr>
              <w:t xml:space="preserve">Art. </w:t>
            </w:r>
            <w:r w:rsidR="005F5B93" w:rsidRPr="00927455">
              <w:rPr>
                <w:b/>
                <w:lang w:val="fr-BE"/>
              </w:rPr>
              <w:t>33</w:t>
            </w:r>
            <w:r w:rsidRPr="00927455">
              <w:rPr>
                <w:b/>
                <w:lang w:val="fr-BE"/>
              </w:rPr>
              <w:t>.</w:t>
            </w:r>
            <w:r w:rsidRPr="00927455">
              <w:rPr>
                <w:lang w:val="fr-BE"/>
              </w:rPr>
              <w:t xml:space="preserve"> Dans le point 3.4.3 de l’annexe 6 du même arrêté royal, les modifications suivantes sont apportées :</w:t>
            </w:r>
          </w:p>
          <w:p w14:paraId="10253F87" w14:textId="77777777" w:rsidR="00904ABB" w:rsidRPr="00927455" w:rsidRDefault="00904ABB" w:rsidP="00E205DF">
            <w:pPr>
              <w:rPr>
                <w:lang w:val="fr-BE"/>
              </w:rPr>
            </w:pPr>
          </w:p>
        </w:tc>
      </w:tr>
      <w:tr w:rsidR="0071410A" w:rsidRPr="00754BD6" w14:paraId="7E0A3E7F" w14:textId="77777777" w:rsidTr="00E205DF">
        <w:tc>
          <w:tcPr>
            <w:tcW w:w="4538" w:type="dxa"/>
            <w:gridSpan w:val="2"/>
          </w:tcPr>
          <w:p w14:paraId="2CE682D4" w14:textId="77777777" w:rsidR="00904ABB" w:rsidRPr="00927455" w:rsidRDefault="00904ABB" w:rsidP="00E205DF">
            <w:pPr>
              <w:rPr>
                <w:b/>
              </w:rPr>
            </w:pPr>
          </w:p>
        </w:tc>
        <w:tc>
          <w:tcPr>
            <w:tcW w:w="4524" w:type="dxa"/>
          </w:tcPr>
          <w:p w14:paraId="2235CC3E" w14:textId="77777777" w:rsidR="00904ABB" w:rsidRPr="00927455" w:rsidRDefault="00EC2C75" w:rsidP="00E205DF">
            <w:pPr>
              <w:rPr>
                <w:lang w:val="fr-FR"/>
              </w:rPr>
            </w:pPr>
            <w:r w:rsidRPr="00927455">
              <w:rPr>
                <w:lang w:val="fr-BE"/>
              </w:rPr>
              <w:t>1° d</w:t>
            </w:r>
            <w:r w:rsidR="00904ABB" w:rsidRPr="00927455">
              <w:rPr>
                <w:lang w:val="fr-BE"/>
              </w:rPr>
              <w:t xml:space="preserve">ans </w:t>
            </w:r>
            <w:r w:rsidRPr="00927455">
              <w:rPr>
                <w:lang w:val="fr-BE"/>
              </w:rPr>
              <w:t>l’alinéa 2, deuxième tiret</w:t>
            </w:r>
            <w:r w:rsidR="00904ABB" w:rsidRPr="00927455">
              <w:rPr>
                <w:lang w:val="fr-BE"/>
              </w:rPr>
              <w:t xml:space="preserve"> le mot « </w:t>
            </w:r>
            <w:r w:rsidRPr="00927455">
              <w:rPr>
                <w:lang w:val="fr-BE"/>
              </w:rPr>
              <w:t>horizontale</w:t>
            </w:r>
            <w:r w:rsidR="00904ABB" w:rsidRPr="00927455">
              <w:rPr>
                <w:lang w:val="fr-BE"/>
              </w:rPr>
              <w:t xml:space="preserve"> » est </w:t>
            </w:r>
            <w:r w:rsidRPr="00927455">
              <w:rPr>
                <w:lang w:val="fr-BE"/>
              </w:rPr>
              <w:t xml:space="preserve">abrogé </w:t>
            </w:r>
            <w:r w:rsidRPr="00927455">
              <w:rPr>
                <w:lang w:val="fr-FR"/>
              </w:rPr>
              <w:t>;</w:t>
            </w:r>
          </w:p>
          <w:p w14:paraId="04E91D00" w14:textId="77777777" w:rsidR="00904ABB" w:rsidRPr="00927455" w:rsidRDefault="00904ABB" w:rsidP="00E205DF">
            <w:pPr>
              <w:rPr>
                <w:lang w:val="fr-FR"/>
              </w:rPr>
            </w:pPr>
          </w:p>
        </w:tc>
      </w:tr>
      <w:tr w:rsidR="00C0174D" w:rsidRPr="00754BD6" w14:paraId="1676FA51" w14:textId="77777777" w:rsidTr="00E205DF">
        <w:tc>
          <w:tcPr>
            <w:tcW w:w="4538" w:type="dxa"/>
            <w:gridSpan w:val="2"/>
          </w:tcPr>
          <w:p w14:paraId="73CF0321" w14:textId="77777777" w:rsidR="00C0174D" w:rsidRPr="00927455" w:rsidRDefault="00C0174D" w:rsidP="00C0174D"/>
        </w:tc>
        <w:tc>
          <w:tcPr>
            <w:tcW w:w="4524" w:type="dxa"/>
          </w:tcPr>
          <w:p w14:paraId="4EF13EE3" w14:textId="2368EA64" w:rsidR="00C0174D" w:rsidRPr="00927455" w:rsidRDefault="00C0174D" w:rsidP="00C0174D">
            <w:pPr>
              <w:rPr>
                <w:lang w:val="fr-FR"/>
              </w:rPr>
            </w:pPr>
            <w:r w:rsidRPr="00927455">
              <w:rPr>
                <w:lang w:val="fr-BE"/>
              </w:rPr>
              <w:t>2° dans l’alinéa 2, deuxième tiret le mot « A1 » est rem</w:t>
            </w:r>
            <w:r w:rsidRPr="00927455">
              <w:rPr>
                <w:lang w:val="fr-FR"/>
              </w:rPr>
              <w:t>placé par les mots « </w:t>
            </w:r>
            <w:r w:rsidRPr="00927455">
              <w:rPr>
                <w:lang w:val="fr-BE"/>
              </w:rPr>
              <w:t>A1 et/ou A2-s1, d0</w:t>
            </w:r>
            <w:r w:rsidRPr="00927455">
              <w:rPr>
                <w:lang w:val="fr-FR"/>
              </w:rPr>
              <w:t xml:space="preserve"> » ;</w:t>
            </w:r>
          </w:p>
          <w:p w14:paraId="67B7EFCA" w14:textId="77777777" w:rsidR="00C0174D" w:rsidRPr="00927455" w:rsidRDefault="00C0174D" w:rsidP="00C0174D">
            <w:pPr>
              <w:rPr>
                <w:lang w:val="fr-BE"/>
              </w:rPr>
            </w:pPr>
          </w:p>
        </w:tc>
      </w:tr>
      <w:tr w:rsidR="0071410A" w:rsidRPr="00754BD6" w14:paraId="4C40E8A0" w14:textId="77777777" w:rsidTr="00E205DF">
        <w:tc>
          <w:tcPr>
            <w:tcW w:w="4538" w:type="dxa"/>
            <w:gridSpan w:val="2"/>
          </w:tcPr>
          <w:p w14:paraId="7CF745C8" w14:textId="77777777" w:rsidR="00EC2C75" w:rsidRPr="00927455" w:rsidRDefault="00EC2C75" w:rsidP="00E205DF">
            <w:pPr>
              <w:rPr>
                <w:b/>
              </w:rPr>
            </w:pPr>
          </w:p>
        </w:tc>
        <w:tc>
          <w:tcPr>
            <w:tcW w:w="4524" w:type="dxa"/>
          </w:tcPr>
          <w:p w14:paraId="353D0F54" w14:textId="4C4FC4A6" w:rsidR="00EC2C75" w:rsidRPr="00927455" w:rsidRDefault="00C0174D" w:rsidP="00E205DF">
            <w:pPr>
              <w:rPr>
                <w:lang w:val="fr-FR"/>
              </w:rPr>
            </w:pPr>
            <w:r w:rsidRPr="00927455">
              <w:rPr>
                <w:lang w:val="fr-BE"/>
              </w:rPr>
              <w:t>3</w:t>
            </w:r>
            <w:r w:rsidR="00EC2C75" w:rsidRPr="00927455">
              <w:rPr>
                <w:lang w:val="fr-BE"/>
              </w:rPr>
              <w:t>° dans l’alinéa 3, deuxième tiret le mot « horizontale » est abrogé</w:t>
            </w:r>
            <w:r w:rsidR="00EC2C75" w:rsidRPr="00927455">
              <w:rPr>
                <w:lang w:val="fr-FR"/>
              </w:rPr>
              <w:t>.</w:t>
            </w:r>
          </w:p>
          <w:p w14:paraId="0281E528" w14:textId="77777777" w:rsidR="00EC2C75" w:rsidRPr="00927455" w:rsidRDefault="00EC2C75" w:rsidP="00E205DF">
            <w:pPr>
              <w:rPr>
                <w:lang w:val="fr-FR"/>
              </w:rPr>
            </w:pPr>
          </w:p>
        </w:tc>
      </w:tr>
      <w:tr w:rsidR="00C0174D" w:rsidRPr="00754BD6" w14:paraId="0ACD569D" w14:textId="77777777" w:rsidTr="00E205DF">
        <w:tc>
          <w:tcPr>
            <w:tcW w:w="4538" w:type="dxa"/>
            <w:gridSpan w:val="2"/>
          </w:tcPr>
          <w:p w14:paraId="08275A8B" w14:textId="77777777" w:rsidR="00C0174D" w:rsidRPr="00927455" w:rsidRDefault="00C0174D" w:rsidP="00C0174D"/>
        </w:tc>
        <w:tc>
          <w:tcPr>
            <w:tcW w:w="4524" w:type="dxa"/>
          </w:tcPr>
          <w:p w14:paraId="517BB3F5" w14:textId="3CDA9385" w:rsidR="00C0174D" w:rsidRPr="00927455" w:rsidRDefault="00C0174D" w:rsidP="00C0174D">
            <w:pPr>
              <w:rPr>
                <w:lang w:val="fr-FR"/>
              </w:rPr>
            </w:pPr>
            <w:r w:rsidRPr="00927455">
              <w:rPr>
                <w:lang w:val="fr-BE"/>
              </w:rPr>
              <w:t>4° dans l’alinéa 3, deuxième tiret le mot « A1 » est rem</w:t>
            </w:r>
            <w:r w:rsidRPr="00927455">
              <w:rPr>
                <w:lang w:val="fr-FR"/>
              </w:rPr>
              <w:t>placé par les mots « </w:t>
            </w:r>
            <w:r w:rsidRPr="00927455">
              <w:rPr>
                <w:lang w:val="fr-BE"/>
              </w:rPr>
              <w:t>A1 et/ou A2-s1, d0 »</w:t>
            </w:r>
            <w:r w:rsidRPr="00927455">
              <w:rPr>
                <w:lang w:val="fr-FR"/>
              </w:rPr>
              <w:t>.</w:t>
            </w:r>
          </w:p>
          <w:p w14:paraId="68C93A45" w14:textId="77777777" w:rsidR="00C0174D" w:rsidRPr="00927455" w:rsidRDefault="00C0174D" w:rsidP="00C0174D">
            <w:pPr>
              <w:rPr>
                <w:lang w:val="fr-BE"/>
              </w:rPr>
            </w:pPr>
          </w:p>
        </w:tc>
      </w:tr>
      <w:tr w:rsidR="0071410A" w:rsidRPr="00754BD6" w14:paraId="023FC7FC" w14:textId="77777777" w:rsidTr="00E205DF">
        <w:tc>
          <w:tcPr>
            <w:tcW w:w="4538" w:type="dxa"/>
            <w:gridSpan w:val="2"/>
          </w:tcPr>
          <w:p w14:paraId="537E603F" w14:textId="77777777" w:rsidR="00EB0995" w:rsidRPr="00927455" w:rsidRDefault="00EB0995" w:rsidP="00E205DF">
            <w:pPr>
              <w:rPr>
                <w:b/>
              </w:rPr>
            </w:pPr>
          </w:p>
        </w:tc>
        <w:tc>
          <w:tcPr>
            <w:tcW w:w="4524" w:type="dxa"/>
          </w:tcPr>
          <w:p w14:paraId="323F3238" w14:textId="1B111A9E" w:rsidR="00EB0995" w:rsidRPr="00927455" w:rsidRDefault="00E76405" w:rsidP="00E205DF">
            <w:pPr>
              <w:rPr>
                <w:lang w:val="fr-FR"/>
              </w:rPr>
            </w:pPr>
            <w:r w:rsidRPr="00927455">
              <w:rPr>
                <w:b/>
                <w:lang w:val="fr-BE"/>
              </w:rPr>
              <w:t xml:space="preserve">Art. </w:t>
            </w:r>
            <w:r w:rsidR="005F5B93" w:rsidRPr="00927455">
              <w:rPr>
                <w:b/>
                <w:lang w:val="fr-BE"/>
              </w:rPr>
              <w:t>34</w:t>
            </w:r>
            <w:r w:rsidR="00EB0995" w:rsidRPr="00927455">
              <w:rPr>
                <w:b/>
                <w:lang w:val="fr-BE"/>
              </w:rPr>
              <w:t>.</w:t>
            </w:r>
            <w:r w:rsidR="00EB0995" w:rsidRPr="00927455">
              <w:rPr>
                <w:lang w:val="fr-BE"/>
              </w:rPr>
              <w:t xml:space="preserve"> Dans le point 5.2 de l’annexe 6 du même arrêté royal, dans le texte néerlandais, le mot « </w:t>
            </w:r>
            <w:proofErr w:type="spellStart"/>
            <w:r w:rsidR="00EB0995" w:rsidRPr="00927455">
              <w:rPr>
                <w:lang w:val="fr-BE"/>
              </w:rPr>
              <w:t>algemene</w:t>
            </w:r>
            <w:proofErr w:type="spellEnd"/>
            <w:r w:rsidR="00EB0995" w:rsidRPr="00927455">
              <w:rPr>
                <w:lang w:val="fr-BE"/>
              </w:rPr>
              <w:t xml:space="preserve"> » est rem</w:t>
            </w:r>
            <w:r w:rsidR="00EB0995" w:rsidRPr="00927455">
              <w:rPr>
                <w:lang w:val="fr-FR"/>
              </w:rPr>
              <w:t xml:space="preserve">placé par le mot « </w:t>
            </w:r>
            <w:r w:rsidR="00EB0995" w:rsidRPr="00927455">
              <w:rPr>
                <w:lang w:val="fr-BE"/>
              </w:rPr>
              <w:t>totale</w:t>
            </w:r>
            <w:r w:rsidR="00EB0995" w:rsidRPr="00927455">
              <w:rPr>
                <w:lang w:val="fr-FR"/>
              </w:rPr>
              <w:t xml:space="preserve"> ».</w:t>
            </w:r>
          </w:p>
          <w:p w14:paraId="3D76664F" w14:textId="77777777" w:rsidR="00EB0995" w:rsidRPr="00927455" w:rsidRDefault="00EB0995" w:rsidP="00E205DF">
            <w:pPr>
              <w:rPr>
                <w:lang w:val="fr-FR"/>
              </w:rPr>
            </w:pPr>
          </w:p>
        </w:tc>
      </w:tr>
      <w:tr w:rsidR="0071410A" w:rsidRPr="00754BD6" w14:paraId="2EDE9D69" w14:textId="77777777" w:rsidTr="00E205DF">
        <w:tc>
          <w:tcPr>
            <w:tcW w:w="4538" w:type="dxa"/>
            <w:gridSpan w:val="2"/>
          </w:tcPr>
          <w:p w14:paraId="4B2B2773" w14:textId="77777777" w:rsidR="00EB0995" w:rsidRPr="00927455" w:rsidRDefault="00EB0995" w:rsidP="00E205DF"/>
        </w:tc>
        <w:tc>
          <w:tcPr>
            <w:tcW w:w="4524" w:type="dxa"/>
          </w:tcPr>
          <w:p w14:paraId="519554D9" w14:textId="25869E90" w:rsidR="00EB0995" w:rsidRPr="00927455" w:rsidRDefault="00E157D3" w:rsidP="00E205DF">
            <w:pPr>
              <w:rPr>
                <w:lang w:val="fr-BE"/>
              </w:rPr>
            </w:pPr>
            <w:r w:rsidRPr="00927455">
              <w:rPr>
                <w:b/>
                <w:lang w:val="fr-BE"/>
              </w:rPr>
              <w:t>Art</w:t>
            </w:r>
            <w:r w:rsidR="00E76405" w:rsidRPr="00927455">
              <w:rPr>
                <w:b/>
                <w:lang w:val="fr-BE"/>
              </w:rPr>
              <w:t xml:space="preserve">. </w:t>
            </w:r>
            <w:r w:rsidR="005F5B93" w:rsidRPr="00927455">
              <w:rPr>
                <w:b/>
                <w:lang w:val="fr-BE"/>
              </w:rPr>
              <w:t>35</w:t>
            </w:r>
            <w:r w:rsidR="00EB0995" w:rsidRPr="00927455">
              <w:rPr>
                <w:b/>
                <w:lang w:val="fr-BE"/>
              </w:rPr>
              <w:t>.</w:t>
            </w:r>
            <w:r w:rsidR="00EB0995" w:rsidRPr="00927455">
              <w:rPr>
                <w:lang w:val="fr-BE"/>
              </w:rPr>
              <w:t xml:space="preserve"> Dans le point 5.2.1 de l’annexe 6 du même arrêté royal, les modifications suivantes sont apportées :</w:t>
            </w:r>
          </w:p>
          <w:p w14:paraId="68E4DC26" w14:textId="77777777" w:rsidR="00EB0995" w:rsidRPr="00927455" w:rsidRDefault="00EB0995" w:rsidP="00E205DF">
            <w:pPr>
              <w:rPr>
                <w:lang w:val="fr-BE"/>
              </w:rPr>
            </w:pPr>
          </w:p>
        </w:tc>
      </w:tr>
      <w:tr w:rsidR="0071410A" w:rsidRPr="00754BD6" w14:paraId="61A79D9A" w14:textId="77777777" w:rsidTr="00E205DF">
        <w:tc>
          <w:tcPr>
            <w:tcW w:w="4538" w:type="dxa"/>
            <w:gridSpan w:val="2"/>
          </w:tcPr>
          <w:p w14:paraId="7890C751" w14:textId="77777777" w:rsidR="00EB0995" w:rsidRPr="00927455" w:rsidRDefault="00EB0995" w:rsidP="00E205DF">
            <w:pPr>
              <w:rPr>
                <w:b/>
              </w:rPr>
            </w:pPr>
          </w:p>
        </w:tc>
        <w:tc>
          <w:tcPr>
            <w:tcW w:w="4524" w:type="dxa"/>
          </w:tcPr>
          <w:p w14:paraId="653B6004" w14:textId="77777777" w:rsidR="00EB0995" w:rsidRPr="00927455" w:rsidRDefault="00EB0995" w:rsidP="00E205DF">
            <w:pPr>
              <w:rPr>
                <w:lang w:val="fr-FR"/>
              </w:rPr>
            </w:pPr>
            <w:r w:rsidRPr="00927455">
              <w:rPr>
                <w:lang w:val="fr-BE"/>
              </w:rPr>
              <w:t>1° dans l’alinéa 1</w:t>
            </w:r>
            <w:r w:rsidRPr="00927455">
              <w:rPr>
                <w:vertAlign w:val="superscript"/>
                <w:lang w:val="fr-BE"/>
              </w:rPr>
              <w:t>er</w:t>
            </w:r>
            <w:r w:rsidR="0090472D" w:rsidRPr="00927455">
              <w:rPr>
                <w:lang w:val="fr-BE"/>
              </w:rPr>
              <w:t xml:space="preserve"> et 2,</w:t>
            </w:r>
            <w:r w:rsidRPr="00927455">
              <w:rPr>
                <w:lang w:val="fr-BE"/>
              </w:rPr>
              <w:t xml:space="preserve"> dans le texte néerlandais, le</w:t>
            </w:r>
            <w:r w:rsidR="0090472D" w:rsidRPr="00927455">
              <w:rPr>
                <w:lang w:val="fr-BE"/>
              </w:rPr>
              <w:t>s</w:t>
            </w:r>
            <w:r w:rsidRPr="00927455">
              <w:rPr>
                <w:lang w:val="fr-BE"/>
              </w:rPr>
              <w:t xml:space="preserve"> mot</w:t>
            </w:r>
            <w:r w:rsidR="0090472D" w:rsidRPr="00927455">
              <w:rPr>
                <w:lang w:val="fr-BE"/>
              </w:rPr>
              <w:t>s</w:t>
            </w:r>
            <w:r w:rsidRPr="00927455">
              <w:rPr>
                <w:lang w:val="fr-BE"/>
              </w:rPr>
              <w:t xml:space="preserve"> «</w:t>
            </w:r>
            <w:r w:rsidR="0090472D" w:rsidRPr="00927455">
              <w:rPr>
                <w:lang w:val="fr-BE"/>
              </w:rPr>
              <w:t xml:space="preserve"> </w:t>
            </w:r>
            <w:proofErr w:type="spellStart"/>
            <w:r w:rsidR="0090472D" w:rsidRPr="00927455">
              <w:rPr>
                <w:lang w:val="fr-BE"/>
              </w:rPr>
              <w:t>branddetectieinstallatie</w:t>
            </w:r>
            <w:proofErr w:type="spellEnd"/>
            <w:r w:rsidR="0090472D" w:rsidRPr="00927455">
              <w:rPr>
                <w:lang w:val="fr-BE"/>
              </w:rPr>
              <w:t xml:space="preserve"> </w:t>
            </w:r>
            <w:r w:rsidRPr="00927455">
              <w:rPr>
                <w:lang w:val="fr-BE"/>
              </w:rPr>
              <w:t xml:space="preserve">» </w:t>
            </w:r>
            <w:r w:rsidR="0090472D" w:rsidRPr="00927455">
              <w:rPr>
                <w:lang w:val="fr-BE"/>
              </w:rPr>
              <w:t>sont à chaque fois</w:t>
            </w:r>
            <w:r w:rsidRPr="00927455">
              <w:rPr>
                <w:lang w:val="fr-BE"/>
              </w:rPr>
              <w:t xml:space="preserve"> rem</w:t>
            </w:r>
            <w:r w:rsidRPr="00927455">
              <w:rPr>
                <w:lang w:val="fr-FR"/>
              </w:rPr>
              <w:t>placé</w:t>
            </w:r>
            <w:r w:rsidR="0090472D" w:rsidRPr="00927455">
              <w:rPr>
                <w:lang w:val="fr-FR"/>
              </w:rPr>
              <w:t>s</w:t>
            </w:r>
            <w:r w:rsidRPr="00927455">
              <w:rPr>
                <w:lang w:val="fr-FR"/>
              </w:rPr>
              <w:t xml:space="preserve"> par le mot </w:t>
            </w:r>
            <w:r w:rsidRPr="00927455">
              <w:rPr>
                <w:lang w:val="fr-BE"/>
              </w:rPr>
              <w:t>«</w:t>
            </w:r>
            <w:r w:rsidR="0090472D" w:rsidRPr="00927455">
              <w:rPr>
                <w:lang w:val="fr-BE"/>
              </w:rPr>
              <w:t xml:space="preserve"> </w:t>
            </w:r>
            <w:proofErr w:type="spellStart"/>
            <w:r w:rsidR="0090472D" w:rsidRPr="00927455">
              <w:rPr>
                <w:lang w:val="fr-BE"/>
              </w:rPr>
              <w:t>branddetectie-installatie</w:t>
            </w:r>
            <w:proofErr w:type="spellEnd"/>
            <w:r w:rsidR="0090472D" w:rsidRPr="00927455">
              <w:rPr>
                <w:lang w:val="fr-BE"/>
              </w:rPr>
              <w:t xml:space="preserve"> » </w:t>
            </w:r>
            <w:r w:rsidRPr="00927455">
              <w:rPr>
                <w:lang w:val="fr-FR"/>
              </w:rPr>
              <w:t>;</w:t>
            </w:r>
          </w:p>
          <w:p w14:paraId="31DF6161" w14:textId="77777777" w:rsidR="00EB0995" w:rsidRPr="00927455" w:rsidRDefault="00EB0995" w:rsidP="00E205DF">
            <w:pPr>
              <w:rPr>
                <w:lang w:val="fr-FR"/>
              </w:rPr>
            </w:pPr>
          </w:p>
        </w:tc>
      </w:tr>
      <w:tr w:rsidR="0071410A" w:rsidRPr="00754BD6" w14:paraId="6B83379B" w14:textId="77777777" w:rsidTr="00E205DF">
        <w:tc>
          <w:tcPr>
            <w:tcW w:w="4538" w:type="dxa"/>
            <w:gridSpan w:val="2"/>
          </w:tcPr>
          <w:p w14:paraId="5F785A2F" w14:textId="77777777" w:rsidR="00EB0995" w:rsidRPr="00927455" w:rsidRDefault="00EB0995" w:rsidP="00E205DF">
            <w:pPr>
              <w:rPr>
                <w:b/>
              </w:rPr>
            </w:pPr>
          </w:p>
        </w:tc>
        <w:tc>
          <w:tcPr>
            <w:tcW w:w="4524" w:type="dxa"/>
          </w:tcPr>
          <w:p w14:paraId="2728A54D" w14:textId="77777777" w:rsidR="00EB0995" w:rsidRPr="00927455" w:rsidRDefault="00EB0995" w:rsidP="00E205DF">
            <w:pPr>
              <w:rPr>
                <w:lang w:val="fr-FR"/>
              </w:rPr>
            </w:pPr>
            <w:r w:rsidRPr="00927455">
              <w:rPr>
                <w:lang w:val="fr-BE"/>
              </w:rPr>
              <w:t>2° dans l’alinéa 3, deuxième tiret le mot « horizontale » est abrogé</w:t>
            </w:r>
            <w:r w:rsidRPr="00927455">
              <w:rPr>
                <w:lang w:val="fr-FR"/>
              </w:rPr>
              <w:t>.</w:t>
            </w:r>
          </w:p>
          <w:p w14:paraId="5D5A47D9" w14:textId="77777777" w:rsidR="00EB0995" w:rsidRPr="00927455" w:rsidRDefault="00EB0995" w:rsidP="00E205DF">
            <w:pPr>
              <w:rPr>
                <w:lang w:val="fr-FR"/>
              </w:rPr>
            </w:pPr>
          </w:p>
        </w:tc>
      </w:tr>
      <w:tr w:rsidR="0071410A" w:rsidRPr="00754BD6" w14:paraId="519875D6" w14:textId="77777777" w:rsidTr="00E205DF">
        <w:tc>
          <w:tcPr>
            <w:tcW w:w="4538" w:type="dxa"/>
            <w:gridSpan w:val="2"/>
          </w:tcPr>
          <w:p w14:paraId="28113096" w14:textId="77777777" w:rsidR="00E205DF" w:rsidRPr="00927455" w:rsidRDefault="00E205DF" w:rsidP="00E205DF">
            <w:pPr>
              <w:rPr>
                <w:b/>
              </w:rPr>
            </w:pPr>
          </w:p>
        </w:tc>
        <w:tc>
          <w:tcPr>
            <w:tcW w:w="4524" w:type="dxa"/>
          </w:tcPr>
          <w:p w14:paraId="3681B1AD" w14:textId="77777777" w:rsidR="00E205DF" w:rsidRPr="00927455" w:rsidRDefault="00E205DF" w:rsidP="00E205DF">
            <w:pPr>
              <w:rPr>
                <w:lang w:val="fr-FR"/>
              </w:rPr>
            </w:pPr>
            <w:r w:rsidRPr="00927455">
              <w:rPr>
                <w:lang w:val="fr-BE"/>
              </w:rPr>
              <w:t xml:space="preserve">a) dans le texte néerlandais, le mot « </w:t>
            </w:r>
            <w:proofErr w:type="spellStart"/>
            <w:r w:rsidRPr="00927455">
              <w:rPr>
                <w:lang w:val="fr-BE"/>
              </w:rPr>
              <w:t>erkenningprocedure</w:t>
            </w:r>
            <w:proofErr w:type="spellEnd"/>
            <w:r w:rsidRPr="00927455">
              <w:rPr>
                <w:lang w:val="fr-BE"/>
              </w:rPr>
              <w:t xml:space="preserve"> » est rem</w:t>
            </w:r>
            <w:r w:rsidRPr="00927455">
              <w:rPr>
                <w:lang w:val="fr-FR"/>
              </w:rPr>
              <w:t xml:space="preserve">placé par le mot </w:t>
            </w:r>
            <w:r w:rsidRPr="00927455">
              <w:rPr>
                <w:lang w:val="fr-BE"/>
              </w:rPr>
              <w:t xml:space="preserve">« </w:t>
            </w:r>
            <w:proofErr w:type="spellStart"/>
            <w:r w:rsidRPr="00927455">
              <w:rPr>
                <w:lang w:val="fr-BE"/>
              </w:rPr>
              <w:t>erkenningsprocedure</w:t>
            </w:r>
            <w:proofErr w:type="spellEnd"/>
            <w:r w:rsidRPr="00927455">
              <w:rPr>
                <w:lang w:val="fr-BE"/>
              </w:rPr>
              <w:t xml:space="preserve"> » </w:t>
            </w:r>
            <w:r w:rsidRPr="00927455">
              <w:rPr>
                <w:lang w:val="fr-FR"/>
              </w:rPr>
              <w:t>;</w:t>
            </w:r>
          </w:p>
          <w:p w14:paraId="288A02C1" w14:textId="77777777" w:rsidR="00E205DF" w:rsidRPr="00927455" w:rsidRDefault="00E205DF" w:rsidP="00E205DF">
            <w:pPr>
              <w:rPr>
                <w:lang w:val="fr-FR"/>
              </w:rPr>
            </w:pPr>
          </w:p>
        </w:tc>
      </w:tr>
      <w:tr w:rsidR="0071410A" w:rsidRPr="00754BD6" w14:paraId="236C5187" w14:textId="77777777" w:rsidTr="00E205DF">
        <w:tc>
          <w:tcPr>
            <w:tcW w:w="4538" w:type="dxa"/>
            <w:gridSpan w:val="2"/>
          </w:tcPr>
          <w:p w14:paraId="10F25037" w14:textId="77777777" w:rsidR="00E205DF" w:rsidRPr="00927455" w:rsidRDefault="00E205DF" w:rsidP="00E205DF">
            <w:pPr>
              <w:rPr>
                <w:lang w:val="fr-BE"/>
              </w:rPr>
            </w:pPr>
          </w:p>
        </w:tc>
        <w:tc>
          <w:tcPr>
            <w:tcW w:w="4524" w:type="dxa"/>
          </w:tcPr>
          <w:p w14:paraId="3AFC0FFE" w14:textId="77777777" w:rsidR="00C771E8" w:rsidRPr="00927455" w:rsidRDefault="00E205DF" w:rsidP="00C771E8">
            <w:pPr>
              <w:rPr>
                <w:lang w:val="fr-BE"/>
              </w:rPr>
            </w:pPr>
            <w:r w:rsidRPr="00927455">
              <w:rPr>
                <w:lang w:val="fr-BE"/>
              </w:rPr>
              <w:t>b) dans le texte français,</w:t>
            </w:r>
            <w:r w:rsidRPr="00927455">
              <w:rPr>
                <w:lang w:val="fr-FR"/>
              </w:rPr>
              <w:t xml:space="preserve"> le</w:t>
            </w:r>
            <w:r w:rsidR="00C771E8" w:rsidRPr="00927455">
              <w:rPr>
                <w:lang w:val="fr-FR"/>
              </w:rPr>
              <w:t>s</w:t>
            </w:r>
            <w:r w:rsidRPr="00927455">
              <w:rPr>
                <w:lang w:val="fr-FR"/>
              </w:rPr>
              <w:t xml:space="preserve"> mot</w:t>
            </w:r>
            <w:r w:rsidR="00C771E8" w:rsidRPr="00927455">
              <w:rPr>
                <w:lang w:val="fr-FR"/>
              </w:rPr>
              <w:t>s</w:t>
            </w:r>
            <w:r w:rsidRPr="00927455">
              <w:rPr>
                <w:lang w:val="fr-FR"/>
              </w:rPr>
              <w:t xml:space="preserve"> «</w:t>
            </w:r>
            <w:r w:rsidR="00C771E8" w:rsidRPr="00927455">
              <w:rPr>
                <w:lang w:val="fr-FR"/>
              </w:rPr>
              <w:t xml:space="preserve"> </w:t>
            </w:r>
            <w:r w:rsidR="00C771E8" w:rsidRPr="00927455">
              <w:rPr>
                <w:rFonts w:cs="Times New Roman"/>
                <w:noProof/>
                <w:lang w:val="fr-BE" w:eastAsia="nl-NL"/>
              </w:rPr>
              <w:t>lors de la mise en service, puis »</w:t>
            </w:r>
            <w:r w:rsidR="00C771E8" w:rsidRPr="00927455">
              <w:rPr>
                <w:lang w:val="fr-BE"/>
              </w:rPr>
              <w:t xml:space="preserve"> sont insérés entre les mots « Cette installation est contrôlée » et les mots « </w:t>
            </w:r>
            <w:r w:rsidR="00C771E8" w:rsidRPr="00927455">
              <w:rPr>
                <w:rFonts w:cs="Times New Roman"/>
                <w:noProof/>
                <w:lang w:val="fr-BE" w:eastAsia="nl-NL"/>
              </w:rPr>
              <w:t>tous les trois ans</w:t>
            </w:r>
            <w:r w:rsidR="00C771E8" w:rsidRPr="00927455">
              <w:rPr>
                <w:lang w:val="fr-BE"/>
              </w:rPr>
              <w:t xml:space="preserve"> » ;</w:t>
            </w:r>
          </w:p>
          <w:p w14:paraId="72FE5E15" w14:textId="77777777" w:rsidR="00516408" w:rsidRPr="00927455" w:rsidRDefault="00516408" w:rsidP="00E205DF">
            <w:pPr>
              <w:rPr>
                <w:lang w:val="fr-BE"/>
              </w:rPr>
            </w:pPr>
          </w:p>
        </w:tc>
      </w:tr>
      <w:tr w:rsidR="0071410A" w:rsidRPr="00754BD6" w14:paraId="55114974" w14:textId="77777777" w:rsidTr="006C0FC8">
        <w:tc>
          <w:tcPr>
            <w:tcW w:w="4538" w:type="dxa"/>
            <w:gridSpan w:val="2"/>
          </w:tcPr>
          <w:p w14:paraId="13ADA7AD" w14:textId="77777777" w:rsidR="00C771E8" w:rsidRPr="00927455" w:rsidRDefault="00C771E8" w:rsidP="006C0FC8">
            <w:pPr>
              <w:rPr>
                <w:lang w:val="fr-BE"/>
              </w:rPr>
            </w:pPr>
          </w:p>
        </w:tc>
        <w:tc>
          <w:tcPr>
            <w:tcW w:w="4524" w:type="dxa"/>
          </w:tcPr>
          <w:p w14:paraId="08065811" w14:textId="77777777" w:rsidR="00C771E8" w:rsidRPr="00927455" w:rsidRDefault="00C771E8" w:rsidP="00C771E8">
            <w:pPr>
              <w:rPr>
                <w:lang w:val="fr-BE"/>
              </w:rPr>
            </w:pPr>
            <w:r w:rsidRPr="00927455">
              <w:rPr>
                <w:lang w:val="fr-BE"/>
              </w:rPr>
              <w:t>c) dans le texte français,</w:t>
            </w:r>
            <w:r w:rsidRPr="00927455">
              <w:rPr>
                <w:lang w:val="fr-FR"/>
              </w:rPr>
              <w:t xml:space="preserve"> les mots «</w:t>
            </w:r>
            <w:r w:rsidRPr="00927455">
              <w:rPr>
                <w:rFonts w:cs="Times New Roman"/>
                <w:noProof/>
                <w:lang w:val="fr-BE" w:eastAsia="nl-NL"/>
              </w:rPr>
              <w:t>à partir de la mise en service »</w:t>
            </w:r>
            <w:r w:rsidRPr="00927455">
              <w:rPr>
                <w:lang w:val="fr-BE"/>
              </w:rPr>
              <w:t xml:space="preserve"> sont abrogés.</w:t>
            </w:r>
          </w:p>
          <w:p w14:paraId="766D2AD6" w14:textId="77777777" w:rsidR="00C771E8" w:rsidRPr="00927455" w:rsidRDefault="00C771E8" w:rsidP="00C771E8">
            <w:pPr>
              <w:rPr>
                <w:lang w:val="fr-BE"/>
              </w:rPr>
            </w:pPr>
          </w:p>
        </w:tc>
      </w:tr>
      <w:tr w:rsidR="0071410A" w:rsidRPr="00754BD6" w14:paraId="473F8462" w14:textId="77777777" w:rsidTr="009E07B6">
        <w:tc>
          <w:tcPr>
            <w:tcW w:w="4531" w:type="dxa"/>
          </w:tcPr>
          <w:p w14:paraId="7878170E" w14:textId="77777777" w:rsidR="009E07B6" w:rsidRPr="007522B5" w:rsidRDefault="009E07B6" w:rsidP="008A5B71">
            <w:pPr>
              <w:rPr>
                <w:lang w:val="fr-BE"/>
              </w:rPr>
            </w:pPr>
          </w:p>
        </w:tc>
        <w:tc>
          <w:tcPr>
            <w:tcW w:w="4531" w:type="dxa"/>
            <w:gridSpan w:val="2"/>
          </w:tcPr>
          <w:p w14:paraId="32197CD5" w14:textId="4E07306D" w:rsidR="009E07B6" w:rsidRPr="00927455" w:rsidRDefault="009E07B6" w:rsidP="008A5B71">
            <w:pPr>
              <w:rPr>
                <w:lang w:val="fr-BE"/>
              </w:rPr>
            </w:pPr>
            <w:r w:rsidRPr="00927455">
              <w:rPr>
                <w:b/>
                <w:lang w:val="fr-BE"/>
              </w:rPr>
              <w:t xml:space="preserve">Art. </w:t>
            </w:r>
            <w:r w:rsidR="005F5B93" w:rsidRPr="00927455">
              <w:rPr>
                <w:b/>
                <w:lang w:val="fr-BE"/>
              </w:rPr>
              <w:t>36</w:t>
            </w:r>
            <w:r w:rsidRPr="00927455">
              <w:rPr>
                <w:b/>
                <w:lang w:val="fr-BE"/>
              </w:rPr>
              <w:t>.</w:t>
            </w:r>
            <w:r w:rsidRPr="00927455">
              <w:rPr>
                <w:lang w:val="fr-BE"/>
              </w:rPr>
              <w:t xml:space="preserve"> Dans le point 5.3, de l’annexe 6 </w:t>
            </w:r>
            <w:r w:rsidRPr="00927455">
              <w:rPr>
                <w:lang w:val="fr-FR"/>
              </w:rPr>
              <w:t>du même arrêté royal</w:t>
            </w:r>
            <w:r w:rsidRPr="00927455">
              <w:rPr>
                <w:lang w:val="fr-BE"/>
              </w:rPr>
              <w:t>, les modifications suivantes sont apportées :</w:t>
            </w:r>
          </w:p>
          <w:p w14:paraId="16D6BDE4" w14:textId="77777777" w:rsidR="009E07B6" w:rsidRPr="00927455" w:rsidRDefault="009E07B6" w:rsidP="008A5B71">
            <w:pPr>
              <w:rPr>
                <w:lang w:val="fr-BE"/>
              </w:rPr>
            </w:pPr>
          </w:p>
        </w:tc>
      </w:tr>
      <w:tr w:rsidR="0071410A" w:rsidRPr="00754BD6" w14:paraId="148622A6" w14:textId="77777777" w:rsidTr="009E07B6">
        <w:tc>
          <w:tcPr>
            <w:tcW w:w="4531" w:type="dxa"/>
          </w:tcPr>
          <w:p w14:paraId="5A123D61" w14:textId="77777777" w:rsidR="009E07B6" w:rsidRPr="00927455" w:rsidRDefault="009E07B6" w:rsidP="008A5B71">
            <w:pPr>
              <w:rPr>
                <w:b/>
              </w:rPr>
            </w:pPr>
          </w:p>
        </w:tc>
        <w:tc>
          <w:tcPr>
            <w:tcW w:w="4531" w:type="dxa"/>
            <w:gridSpan w:val="2"/>
          </w:tcPr>
          <w:p w14:paraId="08C9985F" w14:textId="77777777" w:rsidR="009E07B6" w:rsidRPr="00927455" w:rsidRDefault="009E07B6" w:rsidP="008A5B71">
            <w:pPr>
              <w:rPr>
                <w:lang w:val="fr-BE"/>
              </w:rPr>
            </w:pPr>
            <w:r w:rsidRPr="00927455">
              <w:rPr>
                <w:lang w:val="fr-BE"/>
              </w:rPr>
              <w:t>1° à l’alinéa 2, 1 et 2, dans le texte français,</w:t>
            </w:r>
            <w:r w:rsidRPr="00927455">
              <w:rPr>
                <w:lang w:val="fr-FR"/>
              </w:rPr>
              <w:t xml:space="preserve"> les mots « </w:t>
            </w:r>
            <w:r w:rsidRPr="00927455">
              <w:rPr>
                <w:lang w:val="fr-BE"/>
              </w:rPr>
              <w:t xml:space="preserve">au sol </w:t>
            </w:r>
            <w:r w:rsidRPr="00927455">
              <w:rPr>
                <w:lang w:val="fr-FR"/>
              </w:rPr>
              <w:t xml:space="preserve">» sont chaque fois </w:t>
            </w:r>
            <w:r w:rsidR="00EC3F2A" w:rsidRPr="00927455">
              <w:rPr>
                <w:lang w:val="fr-FR"/>
              </w:rPr>
              <w:t xml:space="preserve">abrogés </w:t>
            </w:r>
            <w:r w:rsidRPr="00927455">
              <w:rPr>
                <w:lang w:val="fr-BE"/>
              </w:rPr>
              <w:t>;</w:t>
            </w:r>
          </w:p>
          <w:p w14:paraId="38E717BB" w14:textId="77777777" w:rsidR="009E07B6" w:rsidRPr="00927455" w:rsidRDefault="009E07B6" w:rsidP="008A5B71">
            <w:pPr>
              <w:rPr>
                <w:b/>
                <w:lang w:val="fr-BE"/>
              </w:rPr>
            </w:pPr>
          </w:p>
        </w:tc>
      </w:tr>
      <w:tr w:rsidR="0071410A" w:rsidRPr="00754BD6" w14:paraId="07040854" w14:textId="77777777" w:rsidTr="006C0FC8">
        <w:tc>
          <w:tcPr>
            <w:tcW w:w="4531" w:type="dxa"/>
          </w:tcPr>
          <w:p w14:paraId="0FC5AF8B" w14:textId="77777777" w:rsidR="00E06D18" w:rsidRPr="007522B5" w:rsidRDefault="00E06D18" w:rsidP="006C0FC8">
            <w:pPr>
              <w:rPr>
                <w:lang w:val="fr-BE"/>
              </w:rPr>
            </w:pPr>
          </w:p>
        </w:tc>
        <w:tc>
          <w:tcPr>
            <w:tcW w:w="4531" w:type="dxa"/>
            <w:gridSpan w:val="2"/>
          </w:tcPr>
          <w:p w14:paraId="2DEC3041" w14:textId="77777777" w:rsidR="009E07B6" w:rsidRPr="00927455" w:rsidRDefault="00EC3F2A" w:rsidP="006C0FC8">
            <w:pPr>
              <w:rPr>
                <w:lang w:val="fr-BE"/>
              </w:rPr>
            </w:pPr>
            <w:r w:rsidRPr="00927455">
              <w:rPr>
                <w:lang w:val="fr-BE"/>
              </w:rPr>
              <w:t xml:space="preserve">2° </w:t>
            </w:r>
            <w:r w:rsidRPr="00927455">
              <w:rPr>
                <w:lang w:val="fr-FR"/>
              </w:rPr>
              <w:t>à l’alinéa 2, 3 l</w:t>
            </w:r>
            <w:r w:rsidRPr="00927455">
              <w:rPr>
                <w:lang w:val="fr-BE"/>
              </w:rPr>
              <w:t xml:space="preserve">es mots </w:t>
            </w:r>
            <w:r w:rsidRPr="00927455">
              <w:rPr>
                <w:lang w:val="fr-FR"/>
              </w:rPr>
              <w:t>« installation d’extinction à la vapeur d’eau ou au gaz</w:t>
            </w:r>
            <w:r w:rsidRPr="00927455">
              <w:rPr>
                <w:lang w:val="fr-BE"/>
              </w:rPr>
              <w:t xml:space="preserve"> » sont rem</w:t>
            </w:r>
            <w:r w:rsidRPr="00927455">
              <w:rPr>
                <w:lang w:val="fr-FR"/>
              </w:rPr>
              <w:t xml:space="preserve">placés par les mots « installation </w:t>
            </w:r>
            <w:r w:rsidRPr="00927455">
              <w:rPr>
                <w:lang w:val="fr-BE"/>
              </w:rPr>
              <w:t xml:space="preserve">automatique </w:t>
            </w:r>
            <w:r w:rsidRPr="00927455">
              <w:rPr>
                <w:lang w:val="fr-FR"/>
              </w:rPr>
              <w:t>d’extinction à brouillard d’eau, à mousse ou au gaz</w:t>
            </w:r>
            <w:r w:rsidRPr="00927455">
              <w:rPr>
                <w:lang w:val="fr-BE"/>
              </w:rPr>
              <w:t xml:space="preserve"> ».</w:t>
            </w:r>
          </w:p>
          <w:p w14:paraId="5903EF66" w14:textId="77777777" w:rsidR="00E06D18" w:rsidRPr="00927455" w:rsidRDefault="00E06D18" w:rsidP="006C0FC8">
            <w:pPr>
              <w:rPr>
                <w:lang w:val="fr-BE"/>
              </w:rPr>
            </w:pPr>
          </w:p>
        </w:tc>
      </w:tr>
      <w:tr w:rsidR="0071410A" w:rsidRPr="00754BD6" w14:paraId="1D8510FF" w14:textId="77777777" w:rsidTr="00DE0158">
        <w:tc>
          <w:tcPr>
            <w:tcW w:w="4531" w:type="dxa"/>
          </w:tcPr>
          <w:p w14:paraId="2AFF6FC8" w14:textId="77777777" w:rsidR="00DE0158" w:rsidRPr="00927455" w:rsidRDefault="00DE0158" w:rsidP="00185ED0">
            <w:pPr>
              <w:rPr>
                <w:b/>
              </w:rPr>
            </w:pPr>
          </w:p>
        </w:tc>
        <w:tc>
          <w:tcPr>
            <w:tcW w:w="4531" w:type="dxa"/>
            <w:gridSpan w:val="2"/>
          </w:tcPr>
          <w:p w14:paraId="247002F5" w14:textId="1B396029" w:rsidR="00DE0158" w:rsidRPr="00927455" w:rsidRDefault="00E76405" w:rsidP="000E742F">
            <w:pPr>
              <w:rPr>
                <w:lang w:val="fr-BE"/>
              </w:rPr>
            </w:pPr>
            <w:r w:rsidRPr="00927455">
              <w:rPr>
                <w:b/>
                <w:lang w:val="fr-BE"/>
              </w:rPr>
              <w:t xml:space="preserve">Art. </w:t>
            </w:r>
            <w:r w:rsidR="005F5B93" w:rsidRPr="00927455">
              <w:rPr>
                <w:b/>
                <w:lang w:val="fr-BE"/>
              </w:rPr>
              <w:t>37</w:t>
            </w:r>
            <w:r w:rsidR="00DE0158" w:rsidRPr="00927455">
              <w:rPr>
                <w:b/>
                <w:lang w:val="fr-BE"/>
              </w:rPr>
              <w:t>.</w:t>
            </w:r>
            <w:r w:rsidR="00DE0158" w:rsidRPr="00927455">
              <w:rPr>
                <w:lang w:val="fr-BE"/>
              </w:rPr>
              <w:t xml:space="preserve"> Dans le point 5.3.1</w:t>
            </w:r>
            <w:r w:rsidR="00185ED0" w:rsidRPr="00927455">
              <w:rPr>
                <w:lang w:val="fr-BE"/>
              </w:rPr>
              <w:t>, alinéa 2,</w:t>
            </w:r>
            <w:r w:rsidR="00DE0158" w:rsidRPr="00927455">
              <w:rPr>
                <w:lang w:val="fr-BE"/>
              </w:rPr>
              <w:t xml:space="preserve"> de l’annexe 6 du même arrêté royal , dans le texte français,</w:t>
            </w:r>
            <w:r w:rsidR="00DE0158" w:rsidRPr="00927455">
              <w:rPr>
                <w:lang w:val="fr-FR"/>
              </w:rPr>
              <w:t xml:space="preserve"> les mots «</w:t>
            </w:r>
            <w:r w:rsidR="00F7169B" w:rsidRPr="00927455">
              <w:rPr>
                <w:lang w:val="fr-FR"/>
              </w:rPr>
              <w:t> </w:t>
            </w:r>
            <w:r w:rsidR="00DE0158" w:rsidRPr="00927455">
              <w:rPr>
                <w:lang w:val="fr-BE"/>
              </w:rPr>
              <w:t>au sol</w:t>
            </w:r>
            <w:r w:rsidR="00F7169B" w:rsidRPr="00927455">
              <w:rPr>
                <w:lang w:val="fr-BE"/>
              </w:rPr>
              <w:t> </w:t>
            </w:r>
            <w:r w:rsidR="00DE0158" w:rsidRPr="00927455">
              <w:rPr>
                <w:lang w:val="fr-FR"/>
              </w:rPr>
              <w:t xml:space="preserve">» sont abrogés </w:t>
            </w:r>
            <w:r w:rsidR="00DE0158" w:rsidRPr="00927455">
              <w:rPr>
                <w:lang w:val="fr-BE"/>
              </w:rPr>
              <w:t>;</w:t>
            </w:r>
          </w:p>
          <w:p w14:paraId="782E266D" w14:textId="77777777" w:rsidR="00DE0158" w:rsidRPr="00927455" w:rsidRDefault="00DE0158" w:rsidP="00185ED0">
            <w:pPr>
              <w:rPr>
                <w:lang w:val="fr-FR"/>
              </w:rPr>
            </w:pPr>
          </w:p>
        </w:tc>
      </w:tr>
      <w:tr w:rsidR="0071410A" w:rsidRPr="00754BD6" w14:paraId="5DFB0C46" w14:textId="77777777" w:rsidTr="006C0FC8">
        <w:tc>
          <w:tcPr>
            <w:tcW w:w="4538" w:type="dxa"/>
            <w:gridSpan w:val="2"/>
          </w:tcPr>
          <w:p w14:paraId="66B52F46" w14:textId="77777777" w:rsidR="009D10B7" w:rsidRPr="00927455" w:rsidRDefault="009D10B7" w:rsidP="006C0FC8">
            <w:pPr>
              <w:rPr>
                <w:b/>
              </w:rPr>
            </w:pPr>
          </w:p>
        </w:tc>
        <w:tc>
          <w:tcPr>
            <w:tcW w:w="4524" w:type="dxa"/>
          </w:tcPr>
          <w:p w14:paraId="4FE373B6" w14:textId="1B206CF8" w:rsidR="009D10B7" w:rsidRPr="00927455" w:rsidRDefault="00E76405" w:rsidP="006C0FC8">
            <w:pPr>
              <w:rPr>
                <w:lang w:val="fr-FR"/>
              </w:rPr>
            </w:pPr>
            <w:r w:rsidRPr="00927455">
              <w:rPr>
                <w:b/>
                <w:lang w:val="fr-BE"/>
              </w:rPr>
              <w:t xml:space="preserve">Art. </w:t>
            </w:r>
            <w:r w:rsidR="005F5B93" w:rsidRPr="00927455">
              <w:rPr>
                <w:b/>
                <w:lang w:val="fr-BE"/>
              </w:rPr>
              <w:t>38</w:t>
            </w:r>
            <w:r w:rsidR="009D10B7" w:rsidRPr="00927455">
              <w:rPr>
                <w:b/>
                <w:lang w:val="fr-BE"/>
              </w:rPr>
              <w:t>.</w:t>
            </w:r>
            <w:r w:rsidR="009D10B7" w:rsidRPr="00927455">
              <w:rPr>
                <w:lang w:val="fr-BE"/>
              </w:rPr>
              <w:t xml:space="preserve"> Dans le point 7.2.2 de l’annexe 6 </w:t>
            </w:r>
            <w:r w:rsidR="00F7169B" w:rsidRPr="00927455">
              <w:rPr>
                <w:lang w:val="fr-BE"/>
              </w:rPr>
              <w:t>du même arrêté royal les mots « point 1.2.2 </w:t>
            </w:r>
            <w:r w:rsidR="009D10B7" w:rsidRPr="00927455">
              <w:rPr>
                <w:lang w:val="fr-BE"/>
              </w:rPr>
              <w:t>» sont rem</w:t>
            </w:r>
            <w:r w:rsidR="009D10B7" w:rsidRPr="00927455">
              <w:rPr>
                <w:lang w:val="fr-FR"/>
              </w:rPr>
              <w:t>placés par les mots «</w:t>
            </w:r>
            <w:r w:rsidR="00F7169B" w:rsidRPr="00927455">
              <w:rPr>
                <w:lang w:val="fr-FR"/>
              </w:rPr>
              <w:t> </w:t>
            </w:r>
            <w:r w:rsidR="009D10B7" w:rsidRPr="00927455">
              <w:rPr>
                <w:lang w:val="fr-FR"/>
              </w:rPr>
              <w:t>point 1.2.1</w:t>
            </w:r>
            <w:r w:rsidR="00F7169B" w:rsidRPr="00927455">
              <w:rPr>
                <w:lang w:val="fr-BE"/>
              </w:rPr>
              <w:t> </w:t>
            </w:r>
            <w:r w:rsidR="009D10B7" w:rsidRPr="00927455">
              <w:rPr>
                <w:lang w:val="fr-BE"/>
              </w:rPr>
              <w:t>».</w:t>
            </w:r>
          </w:p>
          <w:p w14:paraId="63DADA71" w14:textId="77777777" w:rsidR="009D10B7" w:rsidRPr="00927455" w:rsidRDefault="009D10B7" w:rsidP="006C0FC8">
            <w:pPr>
              <w:rPr>
                <w:lang w:val="fr-FR"/>
              </w:rPr>
            </w:pPr>
          </w:p>
        </w:tc>
      </w:tr>
      <w:tr w:rsidR="0071410A" w:rsidRPr="00754BD6" w14:paraId="3A0FA48C" w14:textId="77777777" w:rsidTr="00BA772A">
        <w:tc>
          <w:tcPr>
            <w:tcW w:w="4538" w:type="dxa"/>
            <w:gridSpan w:val="2"/>
          </w:tcPr>
          <w:p w14:paraId="7F09D485" w14:textId="77777777" w:rsidR="00BA772A" w:rsidRPr="00927455" w:rsidRDefault="00BA772A" w:rsidP="000E742F">
            <w:pPr>
              <w:rPr>
                <w:b/>
              </w:rPr>
            </w:pPr>
          </w:p>
        </w:tc>
        <w:tc>
          <w:tcPr>
            <w:tcW w:w="4524" w:type="dxa"/>
          </w:tcPr>
          <w:p w14:paraId="372AF119" w14:textId="337B3C00" w:rsidR="00BA772A" w:rsidRPr="00927455" w:rsidRDefault="00E76405" w:rsidP="000E742F">
            <w:pPr>
              <w:rPr>
                <w:lang w:val="fr-BE"/>
              </w:rPr>
            </w:pPr>
            <w:r w:rsidRPr="00927455">
              <w:rPr>
                <w:b/>
                <w:lang w:val="fr-BE"/>
              </w:rPr>
              <w:t xml:space="preserve">Art. </w:t>
            </w:r>
            <w:r w:rsidR="005F5B93" w:rsidRPr="00927455">
              <w:rPr>
                <w:b/>
                <w:lang w:val="fr-BE"/>
              </w:rPr>
              <w:t>39</w:t>
            </w:r>
            <w:r w:rsidR="00BA772A" w:rsidRPr="00927455">
              <w:rPr>
                <w:b/>
                <w:lang w:val="fr-BE"/>
              </w:rPr>
              <w:t>.</w:t>
            </w:r>
            <w:r w:rsidR="00BA772A" w:rsidRPr="00927455">
              <w:rPr>
                <w:lang w:val="fr-BE"/>
              </w:rPr>
              <w:t xml:space="preserve"> Dans le point 8.1.1, alinéa 2, </w:t>
            </w:r>
            <w:r w:rsidR="00531ABC" w:rsidRPr="00927455">
              <w:rPr>
                <w:lang w:val="fr-BE"/>
              </w:rPr>
              <w:t xml:space="preserve">2° et 3° </w:t>
            </w:r>
            <w:r w:rsidR="00BA772A" w:rsidRPr="00927455">
              <w:rPr>
                <w:lang w:val="fr-BE"/>
              </w:rPr>
              <w:t>de l’annexe 6 du même arrêté royal, les mots «</w:t>
            </w:r>
            <w:r w:rsidR="00F7169B" w:rsidRPr="00927455">
              <w:rPr>
                <w:lang w:val="fr-BE"/>
              </w:rPr>
              <w:t> superficie totale </w:t>
            </w:r>
            <w:r w:rsidR="00BA772A" w:rsidRPr="00927455">
              <w:rPr>
                <w:lang w:val="fr-BE"/>
              </w:rPr>
              <w:t xml:space="preserve">» </w:t>
            </w:r>
            <w:r w:rsidR="00531ABC" w:rsidRPr="00927455">
              <w:rPr>
                <w:lang w:val="fr-FR"/>
              </w:rPr>
              <w:t>sont chaque fois remplacés par les mots «</w:t>
            </w:r>
            <w:r w:rsidR="00F7169B" w:rsidRPr="00927455">
              <w:rPr>
                <w:lang w:val="fr-FR"/>
              </w:rPr>
              <w:t> </w:t>
            </w:r>
            <w:r w:rsidR="00531ABC" w:rsidRPr="00927455">
              <w:rPr>
                <w:lang w:val="fr-BE"/>
              </w:rPr>
              <w:t>superficie au sol</w:t>
            </w:r>
            <w:r w:rsidR="00F7169B" w:rsidRPr="00927455">
              <w:rPr>
                <w:lang w:val="fr-BE"/>
              </w:rPr>
              <w:t> </w:t>
            </w:r>
            <w:r w:rsidR="00531ABC" w:rsidRPr="00927455">
              <w:rPr>
                <w:lang w:val="fr-FR"/>
              </w:rPr>
              <w:t>».</w:t>
            </w:r>
          </w:p>
          <w:p w14:paraId="05702387" w14:textId="77777777" w:rsidR="00BA772A" w:rsidRPr="00927455" w:rsidRDefault="00BA772A" w:rsidP="000E742F">
            <w:pPr>
              <w:rPr>
                <w:lang w:val="fr-BE"/>
              </w:rPr>
            </w:pPr>
          </w:p>
        </w:tc>
      </w:tr>
      <w:tr w:rsidR="0071410A" w:rsidRPr="00754BD6" w14:paraId="2F8A4C90" w14:textId="77777777" w:rsidTr="006C0FC8">
        <w:tc>
          <w:tcPr>
            <w:tcW w:w="4538" w:type="dxa"/>
            <w:gridSpan w:val="2"/>
          </w:tcPr>
          <w:p w14:paraId="052852AC" w14:textId="77777777" w:rsidR="00BA772A" w:rsidRPr="00927455" w:rsidRDefault="00BA772A" w:rsidP="006C0FC8">
            <w:pPr>
              <w:rPr>
                <w:b/>
                <w:lang w:val="fr-BE"/>
              </w:rPr>
            </w:pPr>
          </w:p>
        </w:tc>
        <w:tc>
          <w:tcPr>
            <w:tcW w:w="4524" w:type="dxa"/>
          </w:tcPr>
          <w:p w14:paraId="76F852B8" w14:textId="77777777" w:rsidR="00BA772A" w:rsidRPr="00927455" w:rsidRDefault="00BA772A" w:rsidP="006C0FC8">
            <w:pPr>
              <w:rPr>
                <w:b/>
                <w:lang w:val="fr-BE"/>
              </w:rPr>
            </w:pPr>
          </w:p>
        </w:tc>
      </w:tr>
      <w:tr w:rsidR="0071410A" w:rsidRPr="00754BD6" w14:paraId="15B04112" w14:textId="77777777" w:rsidTr="004F667F">
        <w:tc>
          <w:tcPr>
            <w:tcW w:w="4538" w:type="dxa"/>
            <w:gridSpan w:val="2"/>
          </w:tcPr>
          <w:p w14:paraId="339D5739" w14:textId="77777777" w:rsidR="0061605C" w:rsidRPr="00927455" w:rsidRDefault="0061605C" w:rsidP="003774D1">
            <w:pPr>
              <w:rPr>
                <w:b/>
              </w:rPr>
            </w:pPr>
          </w:p>
        </w:tc>
        <w:tc>
          <w:tcPr>
            <w:tcW w:w="4524" w:type="dxa"/>
          </w:tcPr>
          <w:p w14:paraId="3627EA1E" w14:textId="64B76F74" w:rsidR="003774D1" w:rsidRPr="00927455" w:rsidRDefault="003774D1" w:rsidP="003774D1">
            <w:pPr>
              <w:rPr>
                <w:b/>
                <w:lang w:val="fr-FR"/>
              </w:rPr>
            </w:pPr>
            <w:r w:rsidRPr="00927455">
              <w:rPr>
                <w:b/>
                <w:lang w:val="fr-FR"/>
              </w:rPr>
              <w:t xml:space="preserve">Chapitre 4. Modifications de l’annexe 2/1 de l’arrêté royal du 7 juillet 1994 fixant les normes de base en matière de prévention contre l'incendie et l'explosion, auxquelles les </w:t>
            </w:r>
            <w:r w:rsidR="00927455">
              <w:rPr>
                <w:b/>
                <w:lang w:val="fr-FR"/>
              </w:rPr>
              <w:t>bâtiments</w:t>
            </w:r>
            <w:r w:rsidRPr="00927455">
              <w:rPr>
                <w:b/>
                <w:lang w:val="fr-FR"/>
              </w:rPr>
              <w:t xml:space="preserve"> doivent satisfaire</w:t>
            </w:r>
          </w:p>
          <w:p w14:paraId="344D5485" w14:textId="77777777" w:rsidR="0061605C" w:rsidRPr="00927455" w:rsidRDefault="0061605C" w:rsidP="003774D1">
            <w:pPr>
              <w:rPr>
                <w:b/>
                <w:lang w:val="fr-FR"/>
              </w:rPr>
            </w:pPr>
          </w:p>
        </w:tc>
      </w:tr>
      <w:tr w:rsidR="0071410A" w:rsidRPr="00754BD6" w14:paraId="799127E1" w14:textId="77777777" w:rsidTr="002757C3">
        <w:tc>
          <w:tcPr>
            <w:tcW w:w="4538" w:type="dxa"/>
            <w:gridSpan w:val="2"/>
          </w:tcPr>
          <w:p w14:paraId="5E9CA876" w14:textId="77777777" w:rsidR="00AD6061" w:rsidRPr="00927455" w:rsidRDefault="00AD6061" w:rsidP="000E742F"/>
        </w:tc>
        <w:tc>
          <w:tcPr>
            <w:tcW w:w="4524" w:type="dxa"/>
          </w:tcPr>
          <w:p w14:paraId="3AF79A5F" w14:textId="51A99C8F" w:rsidR="00AD6061" w:rsidRPr="00927455" w:rsidRDefault="007822E9" w:rsidP="002757C3">
            <w:pPr>
              <w:rPr>
                <w:lang w:val="fr-BE"/>
              </w:rPr>
            </w:pPr>
            <w:r w:rsidRPr="00927455">
              <w:rPr>
                <w:b/>
                <w:lang w:val="fr-BE"/>
              </w:rPr>
              <w:t xml:space="preserve">Art. </w:t>
            </w:r>
            <w:r w:rsidR="005F5B93" w:rsidRPr="00927455">
              <w:rPr>
                <w:b/>
                <w:lang w:val="fr-BE"/>
              </w:rPr>
              <w:t>40</w:t>
            </w:r>
            <w:r w:rsidR="00AD6061" w:rsidRPr="00927455">
              <w:rPr>
                <w:b/>
                <w:lang w:val="fr-BE"/>
              </w:rPr>
              <w:t>.</w:t>
            </w:r>
            <w:r w:rsidR="00AD6061" w:rsidRPr="00927455">
              <w:rPr>
                <w:lang w:val="fr-BE"/>
              </w:rPr>
              <w:t xml:space="preserve"> </w:t>
            </w:r>
            <w:r w:rsidR="000E742F" w:rsidRPr="00927455">
              <w:rPr>
                <w:lang w:val="fr-FR"/>
              </w:rPr>
              <w:t>Dans le point 2.2, alinéa 2, deuxième tiret, de l’annexe 7 du même arrêté royal</w:t>
            </w:r>
            <w:r w:rsidR="000E742F" w:rsidRPr="00927455">
              <w:rPr>
                <w:lang w:val="fr-BE"/>
              </w:rPr>
              <w:t>, dans le texte néerlandais,</w:t>
            </w:r>
            <w:r w:rsidR="000E742F" w:rsidRPr="00927455">
              <w:rPr>
                <w:lang w:val="fr-FR"/>
              </w:rPr>
              <w:t xml:space="preserve"> le mot « </w:t>
            </w:r>
            <w:proofErr w:type="spellStart"/>
            <w:r w:rsidR="000E742F" w:rsidRPr="00927455">
              <w:rPr>
                <w:lang w:val="fr-BE"/>
              </w:rPr>
              <w:t>parkeergebouwen</w:t>
            </w:r>
            <w:proofErr w:type="spellEnd"/>
            <w:r w:rsidR="000E742F" w:rsidRPr="00927455">
              <w:rPr>
                <w:lang w:val="fr-BE"/>
              </w:rPr>
              <w:t xml:space="preserve"> </w:t>
            </w:r>
            <w:r w:rsidR="000E742F" w:rsidRPr="00927455">
              <w:rPr>
                <w:lang w:val="fr-FR"/>
              </w:rPr>
              <w:t xml:space="preserve">» est remplacé par le mot « </w:t>
            </w:r>
            <w:r w:rsidR="000E742F" w:rsidRPr="00927455">
              <w:rPr>
                <w:lang w:val="fr-BE"/>
              </w:rPr>
              <w:t xml:space="preserve">parkings </w:t>
            </w:r>
            <w:r w:rsidR="000E742F" w:rsidRPr="00927455">
              <w:rPr>
                <w:lang w:val="fr-FR"/>
              </w:rPr>
              <w:t>».</w:t>
            </w:r>
          </w:p>
          <w:p w14:paraId="47EA10BE" w14:textId="77777777" w:rsidR="00AD6061" w:rsidRPr="00927455" w:rsidRDefault="00AD6061" w:rsidP="002757C3">
            <w:pPr>
              <w:rPr>
                <w:lang w:val="fr-BE"/>
              </w:rPr>
            </w:pPr>
          </w:p>
        </w:tc>
      </w:tr>
      <w:tr w:rsidR="000E742F" w:rsidRPr="00754BD6" w14:paraId="43995A89" w14:textId="77777777" w:rsidTr="000E742F">
        <w:tc>
          <w:tcPr>
            <w:tcW w:w="4538" w:type="dxa"/>
            <w:gridSpan w:val="2"/>
          </w:tcPr>
          <w:p w14:paraId="1FD6CC25" w14:textId="77777777" w:rsidR="000E742F" w:rsidRPr="00927455" w:rsidRDefault="000E742F" w:rsidP="000E742F"/>
        </w:tc>
        <w:tc>
          <w:tcPr>
            <w:tcW w:w="4524" w:type="dxa"/>
          </w:tcPr>
          <w:p w14:paraId="0E626F60" w14:textId="4A5D5D14" w:rsidR="000E742F" w:rsidRPr="00927455" w:rsidRDefault="00E76405" w:rsidP="000E742F">
            <w:pPr>
              <w:rPr>
                <w:lang w:val="fr-BE"/>
              </w:rPr>
            </w:pPr>
            <w:r w:rsidRPr="00927455">
              <w:rPr>
                <w:b/>
                <w:lang w:val="fr-BE"/>
              </w:rPr>
              <w:t xml:space="preserve">Art. </w:t>
            </w:r>
            <w:r w:rsidR="005F5B93" w:rsidRPr="00927455">
              <w:rPr>
                <w:b/>
                <w:lang w:val="fr-BE"/>
              </w:rPr>
              <w:t>41</w:t>
            </w:r>
            <w:r w:rsidR="000E742F" w:rsidRPr="00927455">
              <w:rPr>
                <w:b/>
                <w:lang w:val="fr-BE"/>
              </w:rPr>
              <w:t>.</w:t>
            </w:r>
            <w:r w:rsidR="000E742F" w:rsidRPr="00927455">
              <w:rPr>
                <w:lang w:val="fr-BE"/>
              </w:rPr>
              <w:t xml:space="preserve"> Dans l’annexe 7 du même arrêté royal, il est inséré un point 3, comportant les points 3.1 à 3.8 rédigé comme suit :</w:t>
            </w:r>
          </w:p>
          <w:p w14:paraId="715777BC" w14:textId="77777777" w:rsidR="000E742F" w:rsidRPr="00927455" w:rsidRDefault="000E742F" w:rsidP="000E742F">
            <w:pPr>
              <w:rPr>
                <w:lang w:val="fr-BE"/>
              </w:rPr>
            </w:pPr>
          </w:p>
        </w:tc>
      </w:tr>
      <w:tr w:rsidR="000E742F" w:rsidRPr="00754BD6" w14:paraId="7182E1F3" w14:textId="77777777" w:rsidTr="002757C3">
        <w:tc>
          <w:tcPr>
            <w:tcW w:w="4538" w:type="dxa"/>
            <w:gridSpan w:val="2"/>
          </w:tcPr>
          <w:p w14:paraId="6D3321B1" w14:textId="77777777" w:rsidR="000E742F" w:rsidRPr="00927455" w:rsidRDefault="000E742F" w:rsidP="002757C3">
            <w:pPr>
              <w:rPr>
                <w:b/>
                <w:lang w:val="fr-BE"/>
              </w:rPr>
            </w:pPr>
          </w:p>
        </w:tc>
        <w:tc>
          <w:tcPr>
            <w:tcW w:w="4524" w:type="dxa"/>
          </w:tcPr>
          <w:p w14:paraId="5DA08107" w14:textId="77777777" w:rsidR="000E742F" w:rsidRPr="00927455" w:rsidRDefault="000E742F" w:rsidP="002757C3">
            <w:pPr>
              <w:rPr>
                <w:b/>
                <w:lang w:val="fr-BE"/>
              </w:rPr>
            </w:pPr>
          </w:p>
        </w:tc>
      </w:tr>
      <w:tr w:rsidR="0071410A" w:rsidRPr="00927455" w14:paraId="131BD0B5" w14:textId="77777777" w:rsidTr="002757C3">
        <w:tc>
          <w:tcPr>
            <w:tcW w:w="4538" w:type="dxa"/>
            <w:gridSpan w:val="2"/>
          </w:tcPr>
          <w:p w14:paraId="7016125B" w14:textId="77777777" w:rsidR="00AD6061" w:rsidRPr="00927455" w:rsidRDefault="00AD6061" w:rsidP="002757C3">
            <w:pPr>
              <w:rPr>
                <w:b/>
              </w:rPr>
            </w:pPr>
          </w:p>
        </w:tc>
        <w:tc>
          <w:tcPr>
            <w:tcW w:w="4524" w:type="dxa"/>
          </w:tcPr>
          <w:p w14:paraId="19CB2EFD" w14:textId="77777777" w:rsidR="00AD6061" w:rsidRPr="00927455" w:rsidRDefault="00AD6061" w:rsidP="002757C3">
            <w:pPr>
              <w:rPr>
                <w:b/>
              </w:rPr>
            </w:pPr>
            <w:r w:rsidRPr="00927455">
              <w:rPr>
                <w:lang w:val="fr-BE"/>
              </w:rPr>
              <w:t>«</w:t>
            </w:r>
            <w:r w:rsidRPr="00927455">
              <w:rPr>
                <w:b/>
              </w:rPr>
              <w:t xml:space="preserve"> 3. LES PARKINGS</w:t>
            </w:r>
          </w:p>
          <w:p w14:paraId="22D65230" w14:textId="77777777" w:rsidR="00AD6061" w:rsidRPr="00927455" w:rsidRDefault="00AD6061" w:rsidP="002757C3">
            <w:pPr>
              <w:rPr>
                <w:b/>
              </w:rPr>
            </w:pPr>
          </w:p>
        </w:tc>
      </w:tr>
      <w:tr w:rsidR="0071410A" w:rsidRPr="00754BD6" w14:paraId="3992DFFF" w14:textId="77777777" w:rsidTr="004F667F">
        <w:tc>
          <w:tcPr>
            <w:tcW w:w="4538" w:type="dxa"/>
            <w:gridSpan w:val="2"/>
          </w:tcPr>
          <w:p w14:paraId="21CD60EC" w14:textId="77777777" w:rsidR="00513C3D" w:rsidRPr="00927455" w:rsidRDefault="00513C3D" w:rsidP="00882C7F"/>
        </w:tc>
        <w:tc>
          <w:tcPr>
            <w:tcW w:w="4524" w:type="dxa"/>
          </w:tcPr>
          <w:p w14:paraId="5F0C0C68" w14:textId="77777777" w:rsidR="00882C7F" w:rsidRPr="00927455" w:rsidRDefault="00882C7F" w:rsidP="00882C7F">
            <w:pPr>
              <w:rPr>
                <w:lang w:val="fr-BE"/>
              </w:rPr>
            </w:pPr>
            <w:r w:rsidRPr="00927455">
              <w:rPr>
                <w:b/>
                <w:lang w:val="fr-BE"/>
              </w:rPr>
              <w:t>3.1</w:t>
            </w:r>
            <w:r w:rsidRPr="00927455">
              <w:rPr>
                <w:lang w:val="fr-BE"/>
              </w:rPr>
              <w:t xml:space="preserve"> </w:t>
            </w:r>
            <w:r w:rsidRPr="00927455">
              <w:rPr>
                <w:b/>
                <w:lang w:val="fr-BE"/>
              </w:rPr>
              <w:t>Objet</w:t>
            </w:r>
          </w:p>
          <w:p w14:paraId="6C44E757" w14:textId="77777777" w:rsidR="00882C7F" w:rsidRPr="00927455" w:rsidRDefault="00882C7F" w:rsidP="00882C7F">
            <w:pPr>
              <w:rPr>
                <w:lang w:val="fr-BE"/>
              </w:rPr>
            </w:pPr>
            <w:r w:rsidRPr="00927455">
              <w:rPr>
                <w:lang w:val="fr-BE"/>
              </w:rPr>
              <w:t>Le présent chapitre fixe les conditions auxquelles doivent répondre la conception, la construction et l’aménagement des parkings afin de :</w:t>
            </w:r>
          </w:p>
          <w:p w14:paraId="2A6BF496" w14:textId="77777777" w:rsidR="00882C7F" w:rsidRPr="00927455" w:rsidRDefault="00882C7F" w:rsidP="00882C7F">
            <w:pPr>
              <w:rPr>
                <w:lang w:val="fr-BE"/>
              </w:rPr>
            </w:pPr>
          </w:p>
          <w:p w14:paraId="0A92DB43" w14:textId="77777777" w:rsidR="00882C7F" w:rsidRPr="00927455" w:rsidRDefault="00882C7F" w:rsidP="00882C7F">
            <w:pPr>
              <w:rPr>
                <w:lang w:val="fr-BE"/>
              </w:rPr>
            </w:pPr>
            <w:r w:rsidRPr="00927455">
              <w:rPr>
                <w:lang w:val="fr-BE"/>
              </w:rPr>
              <w:lastRenderedPageBreak/>
              <w:t>a)</w:t>
            </w:r>
            <w:r w:rsidRPr="00927455">
              <w:rPr>
                <w:lang w:val="fr-BE"/>
              </w:rPr>
              <w:tab/>
              <w:t>prévenir la naissance, le développement et la propagation d’un incendie;</w:t>
            </w:r>
          </w:p>
          <w:p w14:paraId="3EF258BB" w14:textId="77777777" w:rsidR="00882C7F" w:rsidRPr="00927455" w:rsidRDefault="00882C7F" w:rsidP="00882C7F">
            <w:pPr>
              <w:rPr>
                <w:lang w:val="fr-BE"/>
              </w:rPr>
            </w:pPr>
            <w:r w:rsidRPr="00927455">
              <w:rPr>
                <w:lang w:val="fr-BE"/>
              </w:rPr>
              <w:t>b)</w:t>
            </w:r>
            <w:r w:rsidRPr="00927455">
              <w:rPr>
                <w:lang w:val="fr-BE"/>
              </w:rPr>
              <w:tab/>
              <w:t>assurer la sécurité des personnes;</w:t>
            </w:r>
          </w:p>
          <w:p w14:paraId="7242CB08" w14:textId="77777777" w:rsidR="00882C7F" w:rsidRPr="00927455" w:rsidRDefault="00882C7F" w:rsidP="00882C7F">
            <w:pPr>
              <w:rPr>
                <w:lang w:val="fr-BE"/>
              </w:rPr>
            </w:pPr>
            <w:r w:rsidRPr="00927455">
              <w:rPr>
                <w:lang w:val="fr-BE"/>
              </w:rPr>
              <w:t>c)</w:t>
            </w:r>
            <w:r w:rsidRPr="00927455">
              <w:rPr>
                <w:lang w:val="fr-BE"/>
              </w:rPr>
              <w:tab/>
              <w:t>faciliter de façon préventive l’intervention du service d’incendie.</w:t>
            </w:r>
          </w:p>
          <w:p w14:paraId="0773EE97" w14:textId="77777777" w:rsidR="00882C7F" w:rsidRPr="00927455" w:rsidRDefault="00882C7F" w:rsidP="00882C7F">
            <w:pPr>
              <w:rPr>
                <w:lang w:val="fr-BE"/>
              </w:rPr>
            </w:pPr>
          </w:p>
          <w:p w14:paraId="0594D3ED" w14:textId="77777777" w:rsidR="00513C3D" w:rsidRPr="00927455" w:rsidRDefault="00513C3D" w:rsidP="003774D1">
            <w:pPr>
              <w:rPr>
                <w:lang w:val="fr-BE"/>
              </w:rPr>
            </w:pPr>
          </w:p>
        </w:tc>
      </w:tr>
      <w:tr w:rsidR="0071410A" w:rsidRPr="00754BD6" w14:paraId="4C55A201" w14:textId="77777777" w:rsidTr="004F667F">
        <w:tc>
          <w:tcPr>
            <w:tcW w:w="4538" w:type="dxa"/>
            <w:gridSpan w:val="2"/>
          </w:tcPr>
          <w:p w14:paraId="49C16053" w14:textId="77777777" w:rsidR="007822E9" w:rsidRPr="00927455" w:rsidRDefault="007822E9" w:rsidP="003774D1"/>
        </w:tc>
        <w:tc>
          <w:tcPr>
            <w:tcW w:w="4524" w:type="dxa"/>
          </w:tcPr>
          <w:p w14:paraId="1A9925B9" w14:textId="77777777" w:rsidR="00882C7F" w:rsidRPr="00927455" w:rsidRDefault="00882C7F" w:rsidP="00882C7F">
            <w:pPr>
              <w:rPr>
                <w:b/>
                <w:lang w:val="fr-BE"/>
              </w:rPr>
            </w:pPr>
            <w:r w:rsidRPr="00927455">
              <w:rPr>
                <w:b/>
                <w:lang w:val="fr-BE"/>
              </w:rPr>
              <w:t>3.2 Domaine d’application</w:t>
            </w:r>
          </w:p>
          <w:p w14:paraId="0048EE52" w14:textId="77777777" w:rsidR="00882C7F" w:rsidRPr="00927455" w:rsidRDefault="00882C7F" w:rsidP="00882C7F">
            <w:pPr>
              <w:rPr>
                <w:lang w:val="fr-BE"/>
              </w:rPr>
            </w:pPr>
            <w:r w:rsidRPr="00927455">
              <w:rPr>
                <w:lang w:val="fr-BE"/>
              </w:rPr>
              <w:t>Les dispositions du présent chapitre s’appliquent aux parkings visés par le point 5.2.4 des annexes 2/1, 3/1 et 4/1 du présent arrêté.</w:t>
            </w:r>
          </w:p>
          <w:p w14:paraId="08EB778A" w14:textId="77777777" w:rsidR="007822E9" w:rsidRPr="00927455" w:rsidRDefault="007822E9" w:rsidP="00882C7F">
            <w:pPr>
              <w:rPr>
                <w:lang w:val="fr-BE"/>
              </w:rPr>
            </w:pPr>
          </w:p>
        </w:tc>
      </w:tr>
      <w:tr w:rsidR="0071410A" w:rsidRPr="00754BD6" w14:paraId="47F4B2A3" w14:textId="77777777" w:rsidTr="004F667F">
        <w:tc>
          <w:tcPr>
            <w:tcW w:w="4538" w:type="dxa"/>
            <w:gridSpan w:val="2"/>
          </w:tcPr>
          <w:p w14:paraId="6F321486" w14:textId="77777777" w:rsidR="007822E9" w:rsidRPr="00927455" w:rsidRDefault="007822E9" w:rsidP="003774D1"/>
        </w:tc>
        <w:tc>
          <w:tcPr>
            <w:tcW w:w="4524" w:type="dxa"/>
          </w:tcPr>
          <w:p w14:paraId="6F4A48C5" w14:textId="77777777" w:rsidR="00882C7F" w:rsidRPr="00927455" w:rsidRDefault="00882C7F" w:rsidP="00882C7F">
            <w:pPr>
              <w:rPr>
                <w:b/>
                <w:lang w:val="fr-BE"/>
              </w:rPr>
            </w:pPr>
            <w:r w:rsidRPr="00927455">
              <w:rPr>
                <w:b/>
                <w:lang w:val="fr-BE"/>
              </w:rPr>
              <w:t>3.3 Protection contre l’incendie</w:t>
            </w:r>
          </w:p>
          <w:p w14:paraId="0FD6A395" w14:textId="77777777" w:rsidR="00882C7F" w:rsidRPr="00927455" w:rsidRDefault="00882C7F" w:rsidP="00882C7F">
            <w:pPr>
              <w:rPr>
                <w:lang w:val="fr-BE"/>
              </w:rPr>
            </w:pPr>
            <w:r w:rsidRPr="00927455">
              <w:rPr>
                <w:lang w:val="fr-BE"/>
              </w:rPr>
              <w:t>La conception, l’exécution, l’usage et le contrôle des installations de protection contre l’incendie satisfont aux règles de bonne pratique et aux normes en vigueur en la matière.</w:t>
            </w:r>
          </w:p>
          <w:p w14:paraId="384E41E7" w14:textId="77777777" w:rsidR="00882C7F" w:rsidRPr="00927455" w:rsidRDefault="00882C7F" w:rsidP="00882C7F">
            <w:pPr>
              <w:rPr>
                <w:lang w:val="fr-BE"/>
              </w:rPr>
            </w:pPr>
          </w:p>
          <w:p w14:paraId="2D430C4B" w14:textId="77777777" w:rsidR="00882C7F" w:rsidRPr="00927455" w:rsidRDefault="00882C7F" w:rsidP="00882C7F">
            <w:pPr>
              <w:rPr>
                <w:lang w:val="fr-BE"/>
              </w:rPr>
            </w:pPr>
            <w:r w:rsidRPr="00927455">
              <w:rPr>
                <w:lang w:val="fr-BE"/>
              </w:rPr>
              <w:t>Les installations de protection active contre l’incendie sont conçues de façon à ce que leurs différents composants soient compatibles. Elles fonctionnent en synergie de sorte que le fonctionnement ou la panne d’un composant ne menace pas le fonctionnement des autres composants et installations.</w:t>
            </w:r>
          </w:p>
          <w:p w14:paraId="003B56C4" w14:textId="77777777" w:rsidR="00882C7F" w:rsidRPr="00927455" w:rsidRDefault="00882C7F" w:rsidP="00882C7F">
            <w:pPr>
              <w:rPr>
                <w:lang w:val="fr-BE"/>
              </w:rPr>
            </w:pPr>
          </w:p>
          <w:p w14:paraId="7F7C558C" w14:textId="77777777" w:rsidR="00882C7F" w:rsidRPr="00927455" w:rsidRDefault="00882C7F" w:rsidP="00882C7F">
            <w:pPr>
              <w:rPr>
                <w:lang w:val="fr-BE"/>
              </w:rPr>
            </w:pPr>
            <w:r w:rsidRPr="00927455">
              <w:rPr>
                <w:lang w:val="fr-BE"/>
              </w:rPr>
              <w:t>Les installations de protection active contre l’incendie sont inspectées et entretenues à intervalle régulier par un organisme ou une personne compétente en la matière.</w:t>
            </w:r>
          </w:p>
          <w:p w14:paraId="5FEACC7A" w14:textId="77777777" w:rsidR="00882C7F" w:rsidRPr="00927455" w:rsidRDefault="00882C7F" w:rsidP="00882C7F">
            <w:pPr>
              <w:rPr>
                <w:lang w:val="fr-BE"/>
              </w:rPr>
            </w:pPr>
          </w:p>
          <w:p w14:paraId="4DB34CD8" w14:textId="77777777" w:rsidR="00882C7F" w:rsidRPr="00927455" w:rsidRDefault="00882C7F" w:rsidP="00882C7F">
            <w:pPr>
              <w:rPr>
                <w:lang w:val="fr-BE"/>
              </w:rPr>
            </w:pPr>
            <w:r w:rsidRPr="00927455">
              <w:rPr>
                <w:lang w:val="fr-BE"/>
              </w:rPr>
              <w:t>Les prescriptions spécifiques concernant les canalisations électriques de commande et d’alimentation des installations de protection active restent d’application.</w:t>
            </w:r>
          </w:p>
          <w:p w14:paraId="7297E337" w14:textId="77777777" w:rsidR="007822E9" w:rsidRPr="00927455" w:rsidRDefault="007822E9" w:rsidP="003774D1">
            <w:pPr>
              <w:rPr>
                <w:lang w:val="fr-BE"/>
              </w:rPr>
            </w:pPr>
          </w:p>
        </w:tc>
      </w:tr>
      <w:tr w:rsidR="00513C3D" w:rsidRPr="00754BD6" w14:paraId="35EC7AC4" w14:textId="77777777" w:rsidTr="004F667F">
        <w:tc>
          <w:tcPr>
            <w:tcW w:w="4538" w:type="dxa"/>
            <w:gridSpan w:val="2"/>
          </w:tcPr>
          <w:p w14:paraId="6ECDAE6D" w14:textId="508D8EE9" w:rsidR="00513C3D" w:rsidRPr="00927455" w:rsidRDefault="00513C3D" w:rsidP="00513C3D"/>
        </w:tc>
        <w:tc>
          <w:tcPr>
            <w:tcW w:w="4524" w:type="dxa"/>
          </w:tcPr>
          <w:p w14:paraId="63A96C67" w14:textId="77777777" w:rsidR="00882C7F" w:rsidRPr="00927455" w:rsidRDefault="00882C7F" w:rsidP="00882C7F">
            <w:pPr>
              <w:rPr>
                <w:b/>
                <w:lang w:val="fr-BE"/>
              </w:rPr>
            </w:pPr>
            <w:r w:rsidRPr="00927455">
              <w:rPr>
                <w:b/>
                <w:lang w:val="fr-BE"/>
              </w:rPr>
              <w:t>3.3.1 Types de protection</w:t>
            </w:r>
          </w:p>
          <w:p w14:paraId="75B09F54" w14:textId="77777777" w:rsidR="00882C7F" w:rsidRPr="00927455" w:rsidRDefault="00882C7F" w:rsidP="00882C7F">
            <w:pPr>
              <w:rPr>
                <w:lang w:val="fr-BE"/>
              </w:rPr>
            </w:pPr>
            <w:r w:rsidRPr="00927455">
              <w:rPr>
                <w:lang w:val="fr-BE"/>
              </w:rPr>
              <w:t>Différents types de protection sont identifiés en en fonction du concept de protection contre l’incendie mis en œuvre :</w:t>
            </w:r>
          </w:p>
          <w:p w14:paraId="13DD59A5" w14:textId="77777777" w:rsidR="00882C7F" w:rsidRPr="00927455" w:rsidRDefault="00882C7F" w:rsidP="00882C7F">
            <w:pPr>
              <w:rPr>
                <w:lang w:val="fr-BE"/>
              </w:rPr>
            </w:pPr>
            <w:r w:rsidRPr="00927455">
              <w:rPr>
                <w:lang w:val="fr-BE"/>
              </w:rPr>
              <w:t>-</w:t>
            </w:r>
            <w:r w:rsidRPr="00927455">
              <w:rPr>
                <w:lang w:val="fr-BE"/>
              </w:rPr>
              <w:tab/>
              <w:t>EFC &amp; Sprinklage</w:t>
            </w:r>
          </w:p>
          <w:p w14:paraId="2DC4D9CC" w14:textId="77777777" w:rsidR="00882C7F" w:rsidRPr="00927455" w:rsidRDefault="00882C7F" w:rsidP="00882C7F">
            <w:pPr>
              <w:rPr>
                <w:lang w:val="fr-BE"/>
              </w:rPr>
            </w:pPr>
            <w:r w:rsidRPr="00927455">
              <w:rPr>
                <w:lang w:val="fr-BE"/>
              </w:rPr>
              <w:t>-</w:t>
            </w:r>
            <w:r w:rsidRPr="00927455">
              <w:rPr>
                <w:lang w:val="fr-BE"/>
              </w:rPr>
              <w:tab/>
              <w:t>EFC</w:t>
            </w:r>
          </w:p>
          <w:p w14:paraId="73E42C31" w14:textId="77777777" w:rsidR="00882C7F" w:rsidRPr="00927455" w:rsidRDefault="00882C7F" w:rsidP="00882C7F">
            <w:pPr>
              <w:rPr>
                <w:lang w:val="fr-BE"/>
              </w:rPr>
            </w:pPr>
            <w:r w:rsidRPr="00927455">
              <w:rPr>
                <w:lang w:val="fr-BE"/>
              </w:rPr>
              <w:t>-</w:t>
            </w:r>
            <w:r w:rsidRPr="00927455">
              <w:rPr>
                <w:lang w:val="fr-BE"/>
              </w:rPr>
              <w:tab/>
              <w:t>Sprinklage</w:t>
            </w:r>
          </w:p>
          <w:p w14:paraId="13803FC7" w14:textId="77777777" w:rsidR="00882C7F" w:rsidRPr="00927455" w:rsidRDefault="00882C7F" w:rsidP="00882C7F">
            <w:pPr>
              <w:rPr>
                <w:lang w:val="fr-BE"/>
              </w:rPr>
            </w:pPr>
            <w:r w:rsidRPr="00927455">
              <w:rPr>
                <w:lang w:val="fr-BE"/>
              </w:rPr>
              <w:t>-</w:t>
            </w:r>
            <w:r w:rsidRPr="00927455">
              <w:rPr>
                <w:lang w:val="fr-BE"/>
              </w:rPr>
              <w:tab/>
              <w:t>Baie de ventilation</w:t>
            </w:r>
          </w:p>
          <w:p w14:paraId="3A1B5F07" w14:textId="77777777" w:rsidR="00882C7F" w:rsidRPr="00927455" w:rsidRDefault="00882C7F" w:rsidP="00882C7F">
            <w:pPr>
              <w:rPr>
                <w:lang w:val="fr-BE"/>
              </w:rPr>
            </w:pPr>
            <w:r w:rsidRPr="00927455">
              <w:rPr>
                <w:lang w:val="fr-BE"/>
              </w:rPr>
              <w:t>-</w:t>
            </w:r>
            <w:r w:rsidRPr="00927455">
              <w:rPr>
                <w:lang w:val="fr-BE"/>
              </w:rPr>
              <w:tab/>
              <w:t>Ouvert</w:t>
            </w:r>
          </w:p>
          <w:p w14:paraId="4719700D" w14:textId="77777777" w:rsidR="00513C3D" w:rsidRPr="00927455" w:rsidRDefault="00882C7F" w:rsidP="00882C7F">
            <w:pPr>
              <w:rPr>
                <w:lang w:val="fr-BE"/>
              </w:rPr>
            </w:pPr>
            <w:r w:rsidRPr="00927455">
              <w:rPr>
                <w:lang w:val="fr-BE"/>
              </w:rPr>
              <w:t>Dans les parkings d’une superficie totale supérieure à 250 m² (*), l’un de ces types de protection doit être mis en œuvre à chaque niveau de parking, tel qu’indiqué au tableau ci-dessous :</w:t>
            </w:r>
          </w:p>
        </w:tc>
      </w:tr>
      <w:tr w:rsidR="00513C3D" w:rsidRPr="00754BD6" w14:paraId="40A4A58C" w14:textId="77777777" w:rsidTr="004F667F">
        <w:tc>
          <w:tcPr>
            <w:tcW w:w="4538" w:type="dxa"/>
            <w:gridSpan w:val="2"/>
          </w:tcPr>
          <w:p w14:paraId="4C2E7516" w14:textId="77777777" w:rsidR="00513C3D" w:rsidRPr="00927455" w:rsidRDefault="00513C3D" w:rsidP="003774D1">
            <w:pPr>
              <w:rPr>
                <w:lang w:val="fr-BE"/>
              </w:rPr>
            </w:pPr>
          </w:p>
        </w:tc>
        <w:tc>
          <w:tcPr>
            <w:tcW w:w="4524" w:type="dxa"/>
          </w:tcPr>
          <w:p w14:paraId="2D4EBC90" w14:textId="77777777" w:rsidR="00513C3D" w:rsidRPr="00927455" w:rsidRDefault="00513C3D" w:rsidP="003774D1">
            <w:pPr>
              <w:rPr>
                <w:lang w:val="fr-BE"/>
              </w:rPr>
            </w:pPr>
          </w:p>
        </w:tc>
      </w:tr>
      <w:tr w:rsidR="00DD7F4D" w:rsidRPr="00754BD6" w14:paraId="01FE2E9B" w14:textId="77777777" w:rsidTr="004F667F">
        <w:tc>
          <w:tcPr>
            <w:tcW w:w="4538" w:type="dxa"/>
            <w:gridSpan w:val="2"/>
          </w:tcPr>
          <w:p w14:paraId="076FBF68" w14:textId="77777777" w:rsidR="00DD7F4D" w:rsidRPr="00927455" w:rsidRDefault="00DD7F4D" w:rsidP="003774D1">
            <w:pPr>
              <w:rPr>
                <w:lang w:val="fr-BE"/>
              </w:rPr>
            </w:pPr>
          </w:p>
        </w:tc>
        <w:tc>
          <w:tcPr>
            <w:tcW w:w="4524" w:type="dxa"/>
          </w:tcPr>
          <w:p w14:paraId="650EC090" w14:textId="77777777" w:rsidR="00DD7F4D" w:rsidRPr="00927455" w:rsidRDefault="00DD7F4D" w:rsidP="003774D1">
            <w:pPr>
              <w:rPr>
                <w:lang w:val="fr-BE"/>
              </w:rPr>
            </w:pPr>
          </w:p>
        </w:tc>
      </w:tr>
      <w:tr w:rsidR="00513C3D" w:rsidRPr="00927455" w14:paraId="4EDC9DD3" w14:textId="77777777" w:rsidTr="004F667F">
        <w:tc>
          <w:tcPr>
            <w:tcW w:w="4538" w:type="dxa"/>
            <w:gridSpan w:val="2"/>
          </w:tcPr>
          <w:p w14:paraId="26D5B7FD" w14:textId="77777777" w:rsidR="00513C3D" w:rsidRPr="00927455" w:rsidRDefault="00513C3D" w:rsidP="003774D1">
            <w:pPr>
              <w:rPr>
                <w:lang w:val="fr-BE"/>
              </w:rPr>
            </w:pPr>
          </w:p>
        </w:tc>
        <w:tc>
          <w:tcPr>
            <w:tcW w:w="4524" w:type="dxa"/>
          </w:tcPr>
          <w:p w14:paraId="7000196F" w14:textId="77777777" w:rsidR="00513C3D" w:rsidRPr="00927455" w:rsidRDefault="00513C3D" w:rsidP="003774D1">
            <w:pPr>
              <w:rPr>
                <w:lang w:val="fr-BE"/>
              </w:rPr>
            </w:pPr>
          </w:p>
        </w:tc>
      </w:tr>
    </w:tbl>
    <w:tbl>
      <w:tblPr>
        <w:tblStyle w:val="Tabelraster11"/>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20"/>
        <w:gridCol w:w="8833"/>
      </w:tblGrid>
      <w:tr w:rsidR="00A53A2A" w:rsidRPr="00927455" w14:paraId="7EC76DB6" w14:textId="77777777" w:rsidTr="00A53A2A">
        <w:trPr>
          <w:cantSplit/>
        </w:trPr>
        <w:tc>
          <w:tcPr>
            <w:tcW w:w="1020" w:type="dxa"/>
            <w:shd w:val="clear" w:color="auto" w:fill="auto"/>
            <w:tcMar>
              <w:right w:w="0" w:type="dxa"/>
            </w:tcMar>
          </w:tcPr>
          <w:p w14:paraId="009F9414" w14:textId="77777777" w:rsidR="00A53A2A" w:rsidRPr="00927455" w:rsidRDefault="00A53A2A" w:rsidP="002757C3">
            <w:pPr>
              <w:rPr>
                <w:lang w:eastAsia="nl-NL"/>
              </w:rPr>
            </w:pPr>
          </w:p>
        </w:tc>
        <w:tc>
          <w:tcPr>
            <w:tcW w:w="8833" w:type="dxa"/>
            <w:tcMar>
              <w:left w:w="0" w:type="dxa"/>
            </w:tcMar>
          </w:tcPr>
          <w:tbl>
            <w:tblPr>
              <w:tblStyle w:val="Tabelraster11"/>
              <w:tblW w:w="8752" w:type="dxa"/>
              <w:tblLayout w:type="fixed"/>
              <w:tblCellMar>
                <w:top w:w="85" w:type="dxa"/>
                <w:left w:w="85" w:type="dxa"/>
                <w:bottom w:w="85" w:type="dxa"/>
                <w:right w:w="85" w:type="dxa"/>
              </w:tblCellMar>
              <w:tblLook w:val="04A0" w:firstRow="1" w:lastRow="0" w:firstColumn="1" w:lastColumn="0" w:noHBand="0" w:noVBand="1"/>
            </w:tblPr>
            <w:tblGrid>
              <w:gridCol w:w="502"/>
              <w:gridCol w:w="559"/>
              <w:gridCol w:w="283"/>
              <w:gridCol w:w="703"/>
              <w:gridCol w:w="1613"/>
              <w:gridCol w:w="1273"/>
              <w:gridCol w:w="1273"/>
              <w:gridCol w:w="1273"/>
              <w:gridCol w:w="1273"/>
            </w:tblGrid>
            <w:tr w:rsidR="00A53A2A" w:rsidRPr="00927455" w14:paraId="7BF06A41" w14:textId="77777777" w:rsidTr="002757C3">
              <w:tc>
                <w:tcPr>
                  <w:tcW w:w="1061" w:type="dxa"/>
                  <w:gridSpan w:val="2"/>
                  <w:tcBorders>
                    <w:top w:val="nil"/>
                    <w:left w:val="nil"/>
                    <w:bottom w:val="nil"/>
                    <w:right w:val="nil"/>
                  </w:tcBorders>
                  <w:vAlign w:val="center"/>
                </w:tcPr>
                <w:p w14:paraId="05007060" w14:textId="77777777" w:rsidR="00A53A2A" w:rsidRPr="00927455" w:rsidRDefault="00A53A2A" w:rsidP="002757C3">
                  <w:pPr>
                    <w:jc w:val="center"/>
                    <w:rPr>
                      <w:szCs w:val="16"/>
                    </w:rPr>
                  </w:pPr>
                </w:p>
              </w:tc>
              <w:tc>
                <w:tcPr>
                  <w:tcW w:w="283" w:type="dxa"/>
                  <w:tcBorders>
                    <w:top w:val="nil"/>
                    <w:left w:val="nil"/>
                    <w:bottom w:val="nil"/>
                  </w:tcBorders>
                  <w:vAlign w:val="center"/>
                </w:tcPr>
                <w:p w14:paraId="7CE3D3B0" w14:textId="77777777" w:rsidR="00A53A2A" w:rsidRPr="00927455" w:rsidRDefault="00A53A2A" w:rsidP="002757C3">
                  <w:pPr>
                    <w:jc w:val="center"/>
                    <w:rPr>
                      <w:szCs w:val="16"/>
                    </w:rPr>
                  </w:pPr>
                </w:p>
              </w:tc>
              <w:tc>
                <w:tcPr>
                  <w:tcW w:w="7408" w:type="dxa"/>
                  <w:gridSpan w:val="6"/>
                  <w:tcBorders>
                    <w:bottom w:val="single" w:sz="12" w:space="0" w:color="auto"/>
                  </w:tcBorders>
                </w:tcPr>
                <w:p w14:paraId="4B3CF0D8" w14:textId="77777777" w:rsidR="00A53A2A" w:rsidRPr="00927455" w:rsidRDefault="00A53A2A" w:rsidP="002757C3">
                  <w:pPr>
                    <w:jc w:val="center"/>
                    <w:rPr>
                      <w:b/>
                      <w:szCs w:val="16"/>
                    </w:rPr>
                  </w:pPr>
                  <w:proofErr w:type="spellStart"/>
                  <w:r w:rsidRPr="00927455">
                    <w:rPr>
                      <w:b/>
                      <w:szCs w:val="16"/>
                    </w:rPr>
                    <w:t>Superficie</w:t>
                  </w:r>
                  <w:proofErr w:type="spellEnd"/>
                  <w:r w:rsidRPr="00927455">
                    <w:rPr>
                      <w:b/>
                      <w:szCs w:val="16"/>
                    </w:rPr>
                    <w:t xml:space="preserve"> </w:t>
                  </w:r>
                  <w:proofErr w:type="spellStart"/>
                  <w:r w:rsidRPr="00927455">
                    <w:rPr>
                      <w:b/>
                      <w:szCs w:val="16"/>
                    </w:rPr>
                    <w:t>totale</w:t>
                  </w:r>
                  <w:proofErr w:type="spellEnd"/>
                  <w:r w:rsidRPr="00927455">
                    <w:rPr>
                      <w:b/>
                      <w:szCs w:val="16"/>
                    </w:rPr>
                    <w:t xml:space="preserve"> du parking S</w:t>
                  </w:r>
                </w:p>
              </w:tc>
            </w:tr>
            <w:tr w:rsidR="00A53A2A" w:rsidRPr="00927455" w14:paraId="16AB47D5" w14:textId="77777777" w:rsidTr="002757C3">
              <w:tc>
                <w:tcPr>
                  <w:tcW w:w="1061" w:type="dxa"/>
                  <w:gridSpan w:val="2"/>
                  <w:tcBorders>
                    <w:top w:val="nil"/>
                    <w:left w:val="nil"/>
                    <w:bottom w:val="nil"/>
                    <w:right w:val="nil"/>
                  </w:tcBorders>
                  <w:vAlign w:val="center"/>
                </w:tcPr>
                <w:p w14:paraId="51292D02" w14:textId="77777777" w:rsidR="00A53A2A" w:rsidRPr="00927455" w:rsidRDefault="00A53A2A" w:rsidP="002757C3">
                  <w:pPr>
                    <w:jc w:val="center"/>
                    <w:rPr>
                      <w:szCs w:val="16"/>
                    </w:rPr>
                  </w:pPr>
                </w:p>
              </w:tc>
              <w:tc>
                <w:tcPr>
                  <w:tcW w:w="283" w:type="dxa"/>
                  <w:tcBorders>
                    <w:top w:val="nil"/>
                    <w:left w:val="nil"/>
                    <w:bottom w:val="nil"/>
                  </w:tcBorders>
                  <w:vAlign w:val="center"/>
                </w:tcPr>
                <w:p w14:paraId="33B0870F" w14:textId="77777777" w:rsidR="00A53A2A" w:rsidRPr="00927455" w:rsidRDefault="00A53A2A" w:rsidP="002757C3">
                  <w:pPr>
                    <w:jc w:val="center"/>
                    <w:rPr>
                      <w:szCs w:val="16"/>
                    </w:rPr>
                  </w:pPr>
                </w:p>
              </w:tc>
              <w:tc>
                <w:tcPr>
                  <w:tcW w:w="703" w:type="dxa"/>
                  <w:vMerge w:val="restart"/>
                  <w:tcBorders>
                    <w:top w:val="single" w:sz="12" w:space="0" w:color="auto"/>
                  </w:tcBorders>
                  <w:vAlign w:val="center"/>
                </w:tcPr>
                <w:p w14:paraId="163A226B" w14:textId="77777777" w:rsidR="00A53A2A" w:rsidRPr="00927455" w:rsidRDefault="00A53A2A" w:rsidP="002757C3">
                  <w:pPr>
                    <w:jc w:val="center"/>
                    <w:rPr>
                      <w:szCs w:val="16"/>
                    </w:rPr>
                  </w:pPr>
                  <w:r w:rsidRPr="00927455">
                    <w:rPr>
                      <w:szCs w:val="16"/>
                    </w:rPr>
                    <w:t>S</w:t>
                  </w:r>
                </w:p>
                <w:p w14:paraId="4F471FCA" w14:textId="77777777" w:rsidR="00A53A2A" w:rsidRPr="00927455" w:rsidRDefault="00A53A2A" w:rsidP="002757C3">
                  <w:pPr>
                    <w:jc w:val="center"/>
                    <w:rPr>
                      <w:szCs w:val="16"/>
                    </w:rPr>
                  </w:pPr>
                  <w:r w:rsidRPr="00927455">
                    <w:rPr>
                      <w:szCs w:val="16"/>
                    </w:rPr>
                    <w:t>≤</w:t>
                  </w:r>
                </w:p>
                <w:p w14:paraId="769B55B5" w14:textId="77777777" w:rsidR="00A53A2A" w:rsidRPr="00927455" w:rsidRDefault="00A53A2A" w:rsidP="002757C3">
                  <w:pPr>
                    <w:jc w:val="center"/>
                    <w:rPr>
                      <w:szCs w:val="16"/>
                    </w:rPr>
                  </w:pPr>
                  <w:r w:rsidRPr="00927455">
                    <w:rPr>
                      <w:szCs w:val="16"/>
                    </w:rPr>
                    <w:t>250</w:t>
                  </w:r>
                </w:p>
                <w:p w14:paraId="4033EBFA" w14:textId="77777777" w:rsidR="00A53A2A" w:rsidRPr="00927455" w:rsidRDefault="00A53A2A" w:rsidP="002757C3">
                  <w:pPr>
                    <w:jc w:val="center"/>
                    <w:rPr>
                      <w:szCs w:val="16"/>
                    </w:rPr>
                  </w:pPr>
                  <w:r w:rsidRPr="00927455">
                    <w:rPr>
                      <w:szCs w:val="16"/>
                    </w:rPr>
                    <w:t>m²</w:t>
                  </w:r>
                </w:p>
                <w:p w14:paraId="22F0ACF7" w14:textId="77777777" w:rsidR="00A53A2A" w:rsidRPr="00927455" w:rsidRDefault="00A53A2A" w:rsidP="002757C3">
                  <w:pPr>
                    <w:jc w:val="center"/>
                    <w:rPr>
                      <w:szCs w:val="16"/>
                    </w:rPr>
                  </w:pPr>
                  <w:r w:rsidRPr="00927455">
                    <w:rPr>
                      <w:szCs w:val="16"/>
                    </w:rPr>
                    <w:t>(*)</w:t>
                  </w:r>
                </w:p>
              </w:tc>
              <w:tc>
                <w:tcPr>
                  <w:tcW w:w="5432" w:type="dxa"/>
                  <w:gridSpan w:val="4"/>
                  <w:tcBorders>
                    <w:top w:val="single" w:sz="12" w:space="0" w:color="auto"/>
                  </w:tcBorders>
                </w:tcPr>
                <w:p w14:paraId="06283CBA" w14:textId="77777777" w:rsidR="00A53A2A" w:rsidRPr="00927455" w:rsidRDefault="00A53A2A" w:rsidP="002757C3">
                  <w:pPr>
                    <w:jc w:val="center"/>
                    <w:rPr>
                      <w:szCs w:val="16"/>
                    </w:rPr>
                  </w:pPr>
                  <w:r w:rsidRPr="00927455">
                    <w:rPr>
                      <w:szCs w:val="16"/>
                    </w:rPr>
                    <w:t>250 m² (*) &lt; S ≤ 60 000 m²</w:t>
                  </w:r>
                </w:p>
              </w:tc>
              <w:tc>
                <w:tcPr>
                  <w:tcW w:w="1273" w:type="dxa"/>
                  <w:vMerge w:val="restart"/>
                  <w:tcBorders>
                    <w:top w:val="single" w:sz="12" w:space="0" w:color="auto"/>
                  </w:tcBorders>
                  <w:vAlign w:val="center"/>
                </w:tcPr>
                <w:p w14:paraId="50AE5980" w14:textId="77777777" w:rsidR="00A53A2A" w:rsidRPr="00927455" w:rsidRDefault="00A53A2A" w:rsidP="002757C3">
                  <w:pPr>
                    <w:jc w:val="center"/>
                    <w:rPr>
                      <w:szCs w:val="16"/>
                    </w:rPr>
                  </w:pPr>
                  <w:r w:rsidRPr="00927455">
                    <w:rPr>
                      <w:szCs w:val="16"/>
                    </w:rPr>
                    <w:t>S</w:t>
                  </w:r>
                </w:p>
                <w:p w14:paraId="4BAC6A9A" w14:textId="77777777" w:rsidR="00A53A2A" w:rsidRPr="00927455" w:rsidRDefault="00A53A2A" w:rsidP="002757C3">
                  <w:pPr>
                    <w:jc w:val="center"/>
                    <w:rPr>
                      <w:szCs w:val="16"/>
                    </w:rPr>
                  </w:pPr>
                  <w:r w:rsidRPr="00927455">
                    <w:rPr>
                      <w:szCs w:val="16"/>
                    </w:rPr>
                    <w:t>&gt;</w:t>
                  </w:r>
                </w:p>
                <w:p w14:paraId="30826D63" w14:textId="77777777" w:rsidR="00A53A2A" w:rsidRPr="00927455" w:rsidRDefault="00A53A2A" w:rsidP="002757C3">
                  <w:pPr>
                    <w:jc w:val="center"/>
                    <w:rPr>
                      <w:szCs w:val="16"/>
                    </w:rPr>
                  </w:pPr>
                  <w:r w:rsidRPr="00927455">
                    <w:rPr>
                      <w:szCs w:val="16"/>
                    </w:rPr>
                    <w:t>60 000 m²</w:t>
                  </w:r>
                </w:p>
              </w:tc>
            </w:tr>
            <w:tr w:rsidR="00A53A2A" w:rsidRPr="00754BD6" w14:paraId="48ACC25B" w14:textId="77777777" w:rsidTr="002757C3">
              <w:tc>
                <w:tcPr>
                  <w:tcW w:w="1061" w:type="dxa"/>
                  <w:gridSpan w:val="2"/>
                  <w:tcBorders>
                    <w:top w:val="nil"/>
                    <w:left w:val="nil"/>
                    <w:bottom w:val="nil"/>
                    <w:right w:val="nil"/>
                  </w:tcBorders>
                  <w:vAlign w:val="center"/>
                </w:tcPr>
                <w:p w14:paraId="43EF7A30" w14:textId="77777777" w:rsidR="00A53A2A" w:rsidRPr="00927455" w:rsidRDefault="00A53A2A" w:rsidP="002757C3">
                  <w:pPr>
                    <w:jc w:val="center"/>
                    <w:rPr>
                      <w:szCs w:val="16"/>
                    </w:rPr>
                  </w:pPr>
                </w:p>
              </w:tc>
              <w:tc>
                <w:tcPr>
                  <w:tcW w:w="283" w:type="dxa"/>
                  <w:tcBorders>
                    <w:top w:val="nil"/>
                    <w:left w:val="nil"/>
                    <w:bottom w:val="nil"/>
                  </w:tcBorders>
                  <w:vAlign w:val="center"/>
                </w:tcPr>
                <w:p w14:paraId="552F6C09" w14:textId="77777777" w:rsidR="00A53A2A" w:rsidRPr="00927455" w:rsidRDefault="00A53A2A" w:rsidP="002757C3">
                  <w:pPr>
                    <w:jc w:val="center"/>
                    <w:rPr>
                      <w:szCs w:val="16"/>
                    </w:rPr>
                  </w:pPr>
                </w:p>
              </w:tc>
              <w:tc>
                <w:tcPr>
                  <w:tcW w:w="703" w:type="dxa"/>
                  <w:vMerge/>
                  <w:vAlign w:val="center"/>
                </w:tcPr>
                <w:p w14:paraId="175084FE" w14:textId="77777777" w:rsidR="00A53A2A" w:rsidRPr="00927455" w:rsidRDefault="00A53A2A" w:rsidP="002757C3">
                  <w:pPr>
                    <w:jc w:val="center"/>
                    <w:rPr>
                      <w:szCs w:val="16"/>
                    </w:rPr>
                  </w:pPr>
                </w:p>
              </w:tc>
              <w:tc>
                <w:tcPr>
                  <w:tcW w:w="5432" w:type="dxa"/>
                  <w:gridSpan w:val="4"/>
                </w:tcPr>
                <w:p w14:paraId="070AB116" w14:textId="07151A2E" w:rsidR="00A53A2A" w:rsidRPr="00927455" w:rsidRDefault="00A53A2A" w:rsidP="002757C3">
                  <w:pPr>
                    <w:jc w:val="center"/>
                    <w:rPr>
                      <w:b/>
                      <w:szCs w:val="16"/>
                      <w:lang w:val="fr-BE"/>
                    </w:rPr>
                  </w:pPr>
                  <w:r w:rsidRPr="00927455">
                    <w:rPr>
                      <w:b/>
                      <w:szCs w:val="16"/>
                      <w:lang w:val="fr-BE"/>
                    </w:rPr>
                    <w:t xml:space="preserve">Superficie du </w:t>
                  </w:r>
                  <w:r w:rsidR="00E41F9C" w:rsidRPr="00927455">
                    <w:rPr>
                      <w:b/>
                      <w:szCs w:val="16"/>
                      <w:lang w:val="fr-BE"/>
                    </w:rPr>
                    <w:t xml:space="preserve">plus grand </w:t>
                  </w:r>
                  <w:r w:rsidRPr="00927455">
                    <w:rPr>
                      <w:b/>
                      <w:szCs w:val="16"/>
                      <w:lang w:val="fr-BE"/>
                    </w:rPr>
                    <w:t xml:space="preserve">sous-compartiment </w:t>
                  </w:r>
                  <w:proofErr w:type="spellStart"/>
                  <w:r w:rsidRPr="00927455">
                    <w:rPr>
                      <w:b/>
                      <w:szCs w:val="16"/>
                      <w:lang w:val="fr-BE"/>
                    </w:rPr>
                    <w:t>S</w:t>
                  </w:r>
                  <w:r w:rsidRPr="00927455">
                    <w:rPr>
                      <w:b/>
                      <w:szCs w:val="16"/>
                      <w:vertAlign w:val="subscript"/>
                      <w:lang w:val="fr-BE"/>
                    </w:rPr>
                    <w:t>sc</w:t>
                  </w:r>
                  <w:proofErr w:type="spellEnd"/>
                </w:p>
              </w:tc>
              <w:tc>
                <w:tcPr>
                  <w:tcW w:w="1273" w:type="dxa"/>
                  <w:vMerge/>
                  <w:vAlign w:val="center"/>
                </w:tcPr>
                <w:p w14:paraId="40383DEF" w14:textId="77777777" w:rsidR="00A53A2A" w:rsidRPr="00927455" w:rsidRDefault="00A53A2A" w:rsidP="002757C3">
                  <w:pPr>
                    <w:jc w:val="center"/>
                    <w:rPr>
                      <w:szCs w:val="16"/>
                      <w:lang w:val="fr-BE"/>
                    </w:rPr>
                  </w:pPr>
                </w:p>
              </w:tc>
            </w:tr>
            <w:tr w:rsidR="00A53A2A" w:rsidRPr="00927455" w14:paraId="52BA493B" w14:textId="77777777" w:rsidTr="002757C3">
              <w:tc>
                <w:tcPr>
                  <w:tcW w:w="1061" w:type="dxa"/>
                  <w:gridSpan w:val="2"/>
                  <w:tcBorders>
                    <w:top w:val="nil"/>
                    <w:left w:val="nil"/>
                    <w:bottom w:val="nil"/>
                    <w:right w:val="nil"/>
                  </w:tcBorders>
                  <w:vAlign w:val="center"/>
                </w:tcPr>
                <w:p w14:paraId="26A8F04E" w14:textId="77777777" w:rsidR="00A53A2A" w:rsidRPr="00927455" w:rsidRDefault="00A53A2A" w:rsidP="002757C3">
                  <w:pPr>
                    <w:jc w:val="center"/>
                    <w:rPr>
                      <w:szCs w:val="16"/>
                      <w:lang w:val="fr-BE"/>
                    </w:rPr>
                  </w:pPr>
                </w:p>
              </w:tc>
              <w:tc>
                <w:tcPr>
                  <w:tcW w:w="283" w:type="dxa"/>
                  <w:tcBorders>
                    <w:top w:val="nil"/>
                    <w:left w:val="nil"/>
                    <w:bottom w:val="nil"/>
                  </w:tcBorders>
                  <w:vAlign w:val="center"/>
                </w:tcPr>
                <w:p w14:paraId="3A17B29C" w14:textId="77777777" w:rsidR="00A53A2A" w:rsidRPr="00927455" w:rsidRDefault="00A53A2A" w:rsidP="002757C3">
                  <w:pPr>
                    <w:jc w:val="center"/>
                    <w:rPr>
                      <w:szCs w:val="16"/>
                      <w:lang w:val="fr-BE"/>
                    </w:rPr>
                  </w:pPr>
                </w:p>
              </w:tc>
              <w:tc>
                <w:tcPr>
                  <w:tcW w:w="703" w:type="dxa"/>
                  <w:vMerge/>
                  <w:tcBorders>
                    <w:bottom w:val="single" w:sz="4" w:space="0" w:color="auto"/>
                  </w:tcBorders>
                  <w:vAlign w:val="center"/>
                </w:tcPr>
                <w:p w14:paraId="3A2BCF15" w14:textId="77777777" w:rsidR="00A53A2A" w:rsidRPr="00927455" w:rsidRDefault="00A53A2A" w:rsidP="002757C3">
                  <w:pPr>
                    <w:jc w:val="center"/>
                    <w:rPr>
                      <w:szCs w:val="16"/>
                      <w:lang w:val="fr-BE"/>
                    </w:rPr>
                  </w:pPr>
                </w:p>
              </w:tc>
              <w:tc>
                <w:tcPr>
                  <w:tcW w:w="1613" w:type="dxa"/>
                  <w:tcBorders>
                    <w:top w:val="single" w:sz="12" w:space="0" w:color="auto"/>
                    <w:bottom w:val="single" w:sz="4" w:space="0" w:color="auto"/>
                  </w:tcBorders>
                  <w:vAlign w:val="center"/>
                </w:tcPr>
                <w:p w14:paraId="3DB42C40" w14:textId="77777777" w:rsidR="00A53A2A" w:rsidRPr="00927455" w:rsidRDefault="00A53A2A" w:rsidP="002757C3">
                  <w:pPr>
                    <w:jc w:val="center"/>
                    <w:rPr>
                      <w:szCs w:val="16"/>
                    </w:rPr>
                  </w:pPr>
                  <w:proofErr w:type="spellStart"/>
                  <w:r w:rsidRPr="00927455">
                    <w:rPr>
                      <w:szCs w:val="16"/>
                    </w:rPr>
                    <w:t>S</w:t>
                  </w:r>
                  <w:r w:rsidRPr="00927455">
                    <w:rPr>
                      <w:szCs w:val="16"/>
                      <w:vertAlign w:val="subscript"/>
                    </w:rPr>
                    <w:t>sc</w:t>
                  </w:r>
                  <w:proofErr w:type="spellEnd"/>
                  <w:r w:rsidRPr="00927455">
                    <w:rPr>
                      <w:szCs w:val="16"/>
                    </w:rPr>
                    <w:t xml:space="preserve"> ≤</w:t>
                  </w:r>
                </w:p>
                <w:p w14:paraId="44126200" w14:textId="77777777" w:rsidR="00A53A2A" w:rsidRPr="00927455" w:rsidRDefault="00A53A2A" w:rsidP="002757C3">
                  <w:pPr>
                    <w:jc w:val="center"/>
                    <w:rPr>
                      <w:szCs w:val="16"/>
                    </w:rPr>
                  </w:pPr>
                  <w:r w:rsidRPr="00927455">
                    <w:rPr>
                      <w:szCs w:val="16"/>
                    </w:rPr>
                    <w:t>1 250 m²</w:t>
                  </w:r>
                </w:p>
              </w:tc>
              <w:tc>
                <w:tcPr>
                  <w:tcW w:w="1273" w:type="dxa"/>
                  <w:tcBorders>
                    <w:top w:val="single" w:sz="12" w:space="0" w:color="auto"/>
                    <w:bottom w:val="single" w:sz="4" w:space="0" w:color="auto"/>
                  </w:tcBorders>
                </w:tcPr>
                <w:p w14:paraId="1046702C" w14:textId="77777777" w:rsidR="00A53A2A" w:rsidRPr="00927455" w:rsidRDefault="00A53A2A" w:rsidP="002757C3">
                  <w:pPr>
                    <w:jc w:val="center"/>
                    <w:rPr>
                      <w:szCs w:val="16"/>
                    </w:rPr>
                  </w:pPr>
                  <w:r w:rsidRPr="00927455">
                    <w:rPr>
                      <w:szCs w:val="16"/>
                    </w:rPr>
                    <w:t>1 250 m²</w:t>
                  </w:r>
                </w:p>
                <w:p w14:paraId="7949F71C" w14:textId="77777777" w:rsidR="00A53A2A" w:rsidRPr="00927455" w:rsidRDefault="00A53A2A" w:rsidP="002757C3">
                  <w:pPr>
                    <w:jc w:val="center"/>
                    <w:rPr>
                      <w:szCs w:val="16"/>
                    </w:rPr>
                  </w:pPr>
                  <w:r w:rsidRPr="00927455">
                    <w:rPr>
                      <w:szCs w:val="16"/>
                    </w:rPr>
                    <w:t xml:space="preserve">&lt; </w:t>
                  </w:r>
                  <w:proofErr w:type="spellStart"/>
                  <w:r w:rsidRPr="00927455">
                    <w:rPr>
                      <w:szCs w:val="16"/>
                    </w:rPr>
                    <w:t>S</w:t>
                  </w:r>
                  <w:r w:rsidRPr="00927455">
                    <w:rPr>
                      <w:szCs w:val="16"/>
                      <w:vertAlign w:val="subscript"/>
                    </w:rPr>
                    <w:t>sc</w:t>
                  </w:r>
                  <w:proofErr w:type="spellEnd"/>
                  <w:r w:rsidRPr="00927455">
                    <w:rPr>
                      <w:szCs w:val="16"/>
                    </w:rPr>
                    <w:t xml:space="preserve"> ≤</w:t>
                  </w:r>
                </w:p>
                <w:p w14:paraId="2599F70B" w14:textId="77777777" w:rsidR="00A53A2A" w:rsidRPr="00927455" w:rsidRDefault="00A53A2A" w:rsidP="002757C3">
                  <w:pPr>
                    <w:jc w:val="center"/>
                    <w:rPr>
                      <w:szCs w:val="16"/>
                    </w:rPr>
                  </w:pPr>
                  <w:r w:rsidRPr="00927455">
                    <w:rPr>
                      <w:szCs w:val="16"/>
                    </w:rPr>
                    <w:t>2 500 m²</w:t>
                  </w:r>
                </w:p>
              </w:tc>
              <w:tc>
                <w:tcPr>
                  <w:tcW w:w="1273" w:type="dxa"/>
                  <w:tcBorders>
                    <w:top w:val="single" w:sz="12" w:space="0" w:color="auto"/>
                    <w:bottom w:val="single" w:sz="4" w:space="0" w:color="auto"/>
                  </w:tcBorders>
                  <w:vAlign w:val="center"/>
                </w:tcPr>
                <w:p w14:paraId="1EA71CDE" w14:textId="77777777" w:rsidR="00A53A2A" w:rsidRPr="00927455" w:rsidRDefault="00A53A2A" w:rsidP="002757C3">
                  <w:pPr>
                    <w:jc w:val="center"/>
                    <w:rPr>
                      <w:szCs w:val="16"/>
                    </w:rPr>
                  </w:pPr>
                  <w:r w:rsidRPr="00927455">
                    <w:rPr>
                      <w:szCs w:val="16"/>
                    </w:rPr>
                    <w:t>2 500 m²</w:t>
                  </w:r>
                </w:p>
                <w:p w14:paraId="0C0B2926" w14:textId="77777777" w:rsidR="00A53A2A" w:rsidRPr="00927455" w:rsidRDefault="00A53A2A" w:rsidP="002757C3">
                  <w:pPr>
                    <w:jc w:val="center"/>
                    <w:rPr>
                      <w:szCs w:val="16"/>
                    </w:rPr>
                  </w:pPr>
                  <w:r w:rsidRPr="00927455">
                    <w:rPr>
                      <w:szCs w:val="16"/>
                    </w:rPr>
                    <w:t xml:space="preserve">&lt; </w:t>
                  </w:r>
                  <w:proofErr w:type="spellStart"/>
                  <w:r w:rsidRPr="00927455">
                    <w:rPr>
                      <w:szCs w:val="16"/>
                    </w:rPr>
                    <w:t>S</w:t>
                  </w:r>
                  <w:r w:rsidRPr="00927455">
                    <w:rPr>
                      <w:szCs w:val="16"/>
                      <w:vertAlign w:val="subscript"/>
                    </w:rPr>
                    <w:t>sc</w:t>
                  </w:r>
                  <w:proofErr w:type="spellEnd"/>
                  <w:r w:rsidRPr="00927455">
                    <w:rPr>
                      <w:szCs w:val="16"/>
                    </w:rPr>
                    <w:t xml:space="preserve"> ≤</w:t>
                  </w:r>
                </w:p>
                <w:p w14:paraId="233648A2" w14:textId="77777777" w:rsidR="00A53A2A" w:rsidRPr="00927455" w:rsidRDefault="00A53A2A" w:rsidP="002757C3">
                  <w:pPr>
                    <w:jc w:val="center"/>
                    <w:rPr>
                      <w:szCs w:val="16"/>
                    </w:rPr>
                  </w:pPr>
                  <w:r w:rsidRPr="00927455">
                    <w:rPr>
                      <w:szCs w:val="16"/>
                    </w:rPr>
                    <w:t>5 000 m²</w:t>
                  </w:r>
                </w:p>
              </w:tc>
              <w:tc>
                <w:tcPr>
                  <w:tcW w:w="1273" w:type="dxa"/>
                  <w:tcBorders>
                    <w:top w:val="single" w:sz="12" w:space="0" w:color="auto"/>
                    <w:bottom w:val="single" w:sz="4" w:space="0" w:color="auto"/>
                  </w:tcBorders>
                  <w:vAlign w:val="center"/>
                </w:tcPr>
                <w:p w14:paraId="748D40AC" w14:textId="77777777" w:rsidR="00A53A2A" w:rsidRPr="00927455" w:rsidRDefault="00A53A2A" w:rsidP="002757C3">
                  <w:pPr>
                    <w:jc w:val="center"/>
                    <w:rPr>
                      <w:szCs w:val="16"/>
                    </w:rPr>
                  </w:pPr>
                  <w:r w:rsidRPr="00927455">
                    <w:rPr>
                      <w:szCs w:val="16"/>
                    </w:rPr>
                    <w:t>5 000 m²</w:t>
                  </w:r>
                </w:p>
                <w:p w14:paraId="69F6EDCF" w14:textId="77777777" w:rsidR="00A53A2A" w:rsidRPr="00927455" w:rsidRDefault="00A53A2A" w:rsidP="002757C3">
                  <w:pPr>
                    <w:jc w:val="center"/>
                    <w:rPr>
                      <w:szCs w:val="16"/>
                    </w:rPr>
                  </w:pPr>
                  <w:r w:rsidRPr="00927455">
                    <w:rPr>
                      <w:szCs w:val="16"/>
                    </w:rPr>
                    <w:t xml:space="preserve">&lt; </w:t>
                  </w:r>
                  <w:proofErr w:type="spellStart"/>
                  <w:r w:rsidRPr="00927455">
                    <w:rPr>
                      <w:szCs w:val="16"/>
                    </w:rPr>
                    <w:t>S</w:t>
                  </w:r>
                  <w:r w:rsidRPr="00927455">
                    <w:rPr>
                      <w:szCs w:val="16"/>
                      <w:vertAlign w:val="subscript"/>
                    </w:rPr>
                    <w:t>sc</w:t>
                  </w:r>
                  <w:proofErr w:type="spellEnd"/>
                </w:p>
              </w:tc>
              <w:tc>
                <w:tcPr>
                  <w:tcW w:w="1273" w:type="dxa"/>
                  <w:vMerge/>
                  <w:tcBorders>
                    <w:bottom w:val="single" w:sz="4" w:space="0" w:color="auto"/>
                  </w:tcBorders>
                  <w:vAlign w:val="center"/>
                </w:tcPr>
                <w:p w14:paraId="410E0A9F" w14:textId="77777777" w:rsidR="00A53A2A" w:rsidRPr="00927455" w:rsidRDefault="00A53A2A" w:rsidP="002757C3">
                  <w:pPr>
                    <w:jc w:val="center"/>
                    <w:rPr>
                      <w:szCs w:val="16"/>
                    </w:rPr>
                  </w:pPr>
                </w:p>
              </w:tc>
            </w:tr>
            <w:tr w:rsidR="00A53A2A" w:rsidRPr="00927455" w14:paraId="337DBE76" w14:textId="77777777" w:rsidTr="002757C3">
              <w:trPr>
                <w:trHeight w:val="170"/>
              </w:trPr>
              <w:tc>
                <w:tcPr>
                  <w:tcW w:w="1061" w:type="dxa"/>
                  <w:gridSpan w:val="2"/>
                  <w:tcBorders>
                    <w:top w:val="nil"/>
                    <w:left w:val="nil"/>
                    <w:bottom w:val="single" w:sz="4" w:space="0" w:color="auto"/>
                    <w:right w:val="nil"/>
                  </w:tcBorders>
                  <w:tcMar>
                    <w:top w:w="0" w:type="dxa"/>
                    <w:bottom w:w="0" w:type="dxa"/>
                  </w:tcMar>
                  <w:vAlign w:val="center"/>
                </w:tcPr>
                <w:p w14:paraId="4F98439C" w14:textId="77777777" w:rsidR="00A53A2A" w:rsidRPr="00927455" w:rsidRDefault="00A53A2A" w:rsidP="002757C3">
                  <w:pPr>
                    <w:jc w:val="center"/>
                    <w:rPr>
                      <w:sz w:val="18"/>
                      <w:szCs w:val="18"/>
                    </w:rPr>
                  </w:pPr>
                </w:p>
              </w:tc>
              <w:tc>
                <w:tcPr>
                  <w:tcW w:w="283" w:type="dxa"/>
                  <w:tcBorders>
                    <w:top w:val="nil"/>
                    <w:left w:val="nil"/>
                    <w:bottom w:val="single" w:sz="4" w:space="0" w:color="auto"/>
                    <w:right w:val="single" w:sz="4" w:space="0" w:color="auto"/>
                  </w:tcBorders>
                  <w:tcMar>
                    <w:top w:w="0" w:type="dxa"/>
                    <w:bottom w:w="0" w:type="dxa"/>
                  </w:tcMar>
                  <w:vAlign w:val="center"/>
                </w:tcPr>
                <w:p w14:paraId="1F669615" w14:textId="77777777" w:rsidR="00A53A2A" w:rsidRPr="00927455" w:rsidRDefault="00A53A2A" w:rsidP="002757C3">
                  <w:pPr>
                    <w:jc w:val="center"/>
                    <w:rPr>
                      <w:sz w:val="18"/>
                      <w:szCs w:val="18"/>
                    </w:rPr>
                  </w:pPr>
                </w:p>
              </w:tc>
              <w:tc>
                <w:tcPr>
                  <w:tcW w:w="703" w:type="dxa"/>
                  <w:tcBorders>
                    <w:left w:val="single" w:sz="4" w:space="0" w:color="auto"/>
                    <w:bottom w:val="single" w:sz="4" w:space="0" w:color="auto"/>
                    <w:right w:val="single" w:sz="4" w:space="0" w:color="auto"/>
                  </w:tcBorders>
                  <w:tcMar>
                    <w:top w:w="0" w:type="dxa"/>
                    <w:bottom w:w="0" w:type="dxa"/>
                  </w:tcMar>
                  <w:vAlign w:val="center"/>
                </w:tcPr>
                <w:p w14:paraId="3D987860" w14:textId="77777777" w:rsidR="00A53A2A" w:rsidRPr="00927455" w:rsidRDefault="00A53A2A" w:rsidP="002757C3">
                  <w:pPr>
                    <w:jc w:val="center"/>
                    <w:rPr>
                      <w:sz w:val="18"/>
                      <w:szCs w:val="18"/>
                    </w:rPr>
                  </w:pPr>
                </w:p>
              </w:tc>
              <w:tc>
                <w:tcPr>
                  <w:tcW w:w="1613" w:type="dxa"/>
                  <w:tcBorders>
                    <w:left w:val="single" w:sz="4" w:space="0" w:color="auto"/>
                    <w:bottom w:val="single" w:sz="4" w:space="0" w:color="auto"/>
                    <w:right w:val="nil"/>
                  </w:tcBorders>
                  <w:tcMar>
                    <w:top w:w="0" w:type="dxa"/>
                    <w:bottom w:w="0" w:type="dxa"/>
                  </w:tcMar>
                  <w:vAlign w:val="center"/>
                </w:tcPr>
                <w:p w14:paraId="1D4EBF10" w14:textId="77777777" w:rsidR="00A53A2A" w:rsidRPr="00927455" w:rsidRDefault="00A53A2A" w:rsidP="002757C3">
                  <w:pPr>
                    <w:jc w:val="center"/>
                    <w:rPr>
                      <w:sz w:val="18"/>
                      <w:szCs w:val="18"/>
                    </w:rPr>
                  </w:pPr>
                </w:p>
              </w:tc>
              <w:tc>
                <w:tcPr>
                  <w:tcW w:w="1273" w:type="dxa"/>
                  <w:tcBorders>
                    <w:left w:val="nil"/>
                    <w:bottom w:val="single" w:sz="4" w:space="0" w:color="auto"/>
                    <w:right w:val="nil"/>
                  </w:tcBorders>
                </w:tcPr>
                <w:p w14:paraId="71048786" w14:textId="77777777" w:rsidR="00A53A2A" w:rsidRPr="00927455" w:rsidRDefault="00A53A2A" w:rsidP="002757C3">
                  <w:pPr>
                    <w:jc w:val="center"/>
                    <w:rPr>
                      <w:sz w:val="18"/>
                      <w:szCs w:val="18"/>
                    </w:rPr>
                  </w:pPr>
                </w:p>
              </w:tc>
              <w:tc>
                <w:tcPr>
                  <w:tcW w:w="1273" w:type="dxa"/>
                  <w:tcBorders>
                    <w:left w:val="nil"/>
                    <w:bottom w:val="single" w:sz="4" w:space="0" w:color="auto"/>
                    <w:right w:val="nil"/>
                  </w:tcBorders>
                  <w:tcMar>
                    <w:top w:w="0" w:type="dxa"/>
                    <w:bottom w:w="0" w:type="dxa"/>
                  </w:tcMar>
                  <w:vAlign w:val="center"/>
                </w:tcPr>
                <w:p w14:paraId="55D02128" w14:textId="77777777" w:rsidR="00A53A2A" w:rsidRPr="00927455" w:rsidRDefault="00A53A2A" w:rsidP="002757C3">
                  <w:pPr>
                    <w:jc w:val="center"/>
                    <w:rPr>
                      <w:sz w:val="18"/>
                      <w:szCs w:val="18"/>
                    </w:rPr>
                  </w:pPr>
                </w:p>
              </w:tc>
              <w:tc>
                <w:tcPr>
                  <w:tcW w:w="1273" w:type="dxa"/>
                  <w:tcBorders>
                    <w:left w:val="nil"/>
                    <w:bottom w:val="single" w:sz="4" w:space="0" w:color="auto"/>
                    <w:right w:val="single" w:sz="4" w:space="0" w:color="auto"/>
                  </w:tcBorders>
                  <w:tcMar>
                    <w:top w:w="0" w:type="dxa"/>
                    <w:bottom w:w="0" w:type="dxa"/>
                  </w:tcMar>
                  <w:vAlign w:val="center"/>
                </w:tcPr>
                <w:p w14:paraId="2C94D094" w14:textId="77777777" w:rsidR="00A53A2A" w:rsidRPr="00927455" w:rsidRDefault="00A53A2A" w:rsidP="002757C3">
                  <w:pPr>
                    <w:jc w:val="center"/>
                    <w:rPr>
                      <w:sz w:val="18"/>
                      <w:szCs w:val="18"/>
                    </w:rPr>
                  </w:pPr>
                </w:p>
              </w:tc>
              <w:tc>
                <w:tcPr>
                  <w:tcW w:w="1273" w:type="dxa"/>
                  <w:tcBorders>
                    <w:left w:val="single" w:sz="4" w:space="0" w:color="auto"/>
                    <w:bottom w:val="single" w:sz="4" w:space="0" w:color="auto"/>
                    <w:right w:val="single" w:sz="4" w:space="0" w:color="auto"/>
                  </w:tcBorders>
                  <w:tcMar>
                    <w:top w:w="0" w:type="dxa"/>
                    <w:bottom w:w="0" w:type="dxa"/>
                  </w:tcMar>
                  <w:vAlign w:val="center"/>
                </w:tcPr>
                <w:p w14:paraId="64127775" w14:textId="77777777" w:rsidR="00A53A2A" w:rsidRPr="00927455" w:rsidRDefault="00A53A2A" w:rsidP="002757C3">
                  <w:pPr>
                    <w:jc w:val="center"/>
                    <w:rPr>
                      <w:sz w:val="18"/>
                      <w:szCs w:val="18"/>
                    </w:rPr>
                  </w:pPr>
                </w:p>
              </w:tc>
            </w:tr>
            <w:tr w:rsidR="00A53A2A" w:rsidRPr="00927455" w14:paraId="13F36EF2" w14:textId="77777777" w:rsidTr="002757C3">
              <w:tc>
                <w:tcPr>
                  <w:tcW w:w="1344" w:type="dxa"/>
                  <w:gridSpan w:val="3"/>
                  <w:tcBorders>
                    <w:bottom w:val="single" w:sz="4" w:space="0" w:color="auto"/>
                  </w:tcBorders>
                  <w:vAlign w:val="center"/>
                </w:tcPr>
                <w:p w14:paraId="7A00917A" w14:textId="77777777" w:rsidR="00A53A2A" w:rsidRPr="00927455" w:rsidRDefault="00A53A2A" w:rsidP="002757C3">
                  <w:pPr>
                    <w:jc w:val="center"/>
                    <w:rPr>
                      <w:b/>
                      <w:szCs w:val="16"/>
                    </w:rPr>
                  </w:pPr>
                  <w:proofErr w:type="spellStart"/>
                  <w:r w:rsidRPr="00927455">
                    <w:rPr>
                      <w:b/>
                      <w:szCs w:val="16"/>
                    </w:rPr>
                    <w:t>Niveau</w:t>
                  </w:r>
                  <w:proofErr w:type="spellEnd"/>
                </w:p>
                <w:p w14:paraId="02D9E2A5" w14:textId="77777777" w:rsidR="00A53A2A" w:rsidRPr="00927455" w:rsidRDefault="00A53A2A" w:rsidP="002757C3">
                  <w:pPr>
                    <w:jc w:val="center"/>
                    <w:rPr>
                      <w:b/>
                      <w:szCs w:val="16"/>
                    </w:rPr>
                  </w:pPr>
                  <w:r w:rsidRPr="00927455">
                    <w:rPr>
                      <w:b/>
                      <w:szCs w:val="16"/>
                    </w:rPr>
                    <w:t>hors-sol</w:t>
                  </w:r>
                </w:p>
              </w:tc>
              <w:tc>
                <w:tcPr>
                  <w:tcW w:w="703" w:type="dxa"/>
                  <w:tcBorders>
                    <w:bottom w:val="single" w:sz="4" w:space="0" w:color="auto"/>
                  </w:tcBorders>
                  <w:vAlign w:val="center"/>
                </w:tcPr>
                <w:p w14:paraId="7BD88803" w14:textId="77777777" w:rsidR="00A53A2A" w:rsidRPr="00927455" w:rsidRDefault="00A53A2A" w:rsidP="002757C3">
                  <w:pPr>
                    <w:jc w:val="center"/>
                    <w:rPr>
                      <w:szCs w:val="16"/>
                    </w:rPr>
                  </w:pPr>
                  <w:r w:rsidRPr="00927455">
                    <w:rPr>
                      <w:szCs w:val="16"/>
                    </w:rPr>
                    <w:t>/</w:t>
                  </w:r>
                </w:p>
              </w:tc>
              <w:tc>
                <w:tcPr>
                  <w:tcW w:w="1613" w:type="dxa"/>
                  <w:tcBorders>
                    <w:bottom w:val="single" w:sz="4" w:space="0" w:color="auto"/>
                  </w:tcBorders>
                  <w:shd w:val="pct10" w:color="auto" w:fill="auto"/>
                  <w:vAlign w:val="center"/>
                </w:tcPr>
                <w:p w14:paraId="00D94518" w14:textId="46C9AC6D" w:rsidR="00A53A2A" w:rsidRPr="00927455" w:rsidRDefault="00A53A2A" w:rsidP="002757C3">
                  <w:pPr>
                    <w:jc w:val="center"/>
                    <w:rPr>
                      <w:szCs w:val="16"/>
                      <w:lang w:val="fr-BE"/>
                    </w:rPr>
                  </w:pPr>
                  <w:r w:rsidRPr="00927455">
                    <w:rPr>
                      <w:szCs w:val="16"/>
                      <w:lang w:val="fr-BE"/>
                    </w:rPr>
                    <w:t>EFC</w:t>
                  </w:r>
                  <w:r w:rsidR="00860CE1" w:rsidRPr="00927455">
                    <w:rPr>
                      <w:szCs w:val="16"/>
                      <w:vertAlign w:val="superscript"/>
                      <w:lang w:val="fr-BE"/>
                    </w:rPr>
                    <w:t>1,2,3</w:t>
                  </w:r>
                </w:p>
                <w:p w14:paraId="2A3C527B" w14:textId="77777777" w:rsidR="00A53A2A" w:rsidRPr="00927455" w:rsidRDefault="00A53A2A" w:rsidP="002757C3">
                  <w:pPr>
                    <w:jc w:val="center"/>
                    <w:rPr>
                      <w:b/>
                      <w:i/>
                      <w:szCs w:val="16"/>
                      <w:lang w:val="fr-BE"/>
                    </w:rPr>
                  </w:pPr>
                  <w:r w:rsidRPr="00927455">
                    <w:rPr>
                      <w:b/>
                      <w:i/>
                      <w:szCs w:val="16"/>
                      <w:lang w:val="fr-BE"/>
                    </w:rPr>
                    <w:t>OU</w:t>
                  </w:r>
                </w:p>
                <w:p w14:paraId="67350B54" w14:textId="138A75F2" w:rsidR="00A53A2A" w:rsidRPr="00927455" w:rsidRDefault="00A53A2A" w:rsidP="002757C3">
                  <w:pPr>
                    <w:jc w:val="center"/>
                    <w:rPr>
                      <w:szCs w:val="16"/>
                      <w:lang w:val="fr-BE"/>
                    </w:rPr>
                  </w:pPr>
                  <w:r w:rsidRPr="00927455">
                    <w:rPr>
                      <w:szCs w:val="16"/>
                      <w:lang w:val="fr-BE"/>
                    </w:rPr>
                    <w:t>Sprinklage</w:t>
                  </w:r>
                  <w:r w:rsidR="00860CE1" w:rsidRPr="00927455">
                    <w:rPr>
                      <w:szCs w:val="16"/>
                      <w:vertAlign w:val="superscript"/>
                      <w:lang w:val="fr-BE"/>
                    </w:rPr>
                    <w:t>1,2</w:t>
                  </w:r>
                </w:p>
                <w:p w14:paraId="79008844" w14:textId="77777777" w:rsidR="00A53A2A" w:rsidRPr="00927455" w:rsidRDefault="00A53A2A" w:rsidP="002757C3">
                  <w:pPr>
                    <w:jc w:val="center"/>
                    <w:rPr>
                      <w:b/>
                      <w:i/>
                      <w:szCs w:val="16"/>
                      <w:lang w:val="fr-BE"/>
                    </w:rPr>
                  </w:pPr>
                  <w:r w:rsidRPr="00927455">
                    <w:rPr>
                      <w:b/>
                      <w:i/>
                      <w:szCs w:val="16"/>
                      <w:lang w:val="fr-BE"/>
                    </w:rPr>
                    <w:t>OU</w:t>
                  </w:r>
                </w:p>
                <w:p w14:paraId="24788CB2" w14:textId="77777777" w:rsidR="00A53A2A" w:rsidRPr="00927455" w:rsidRDefault="00A53A2A" w:rsidP="002757C3">
                  <w:pPr>
                    <w:jc w:val="center"/>
                    <w:rPr>
                      <w:szCs w:val="16"/>
                      <w:lang w:val="fr-BE"/>
                    </w:rPr>
                  </w:pPr>
                  <w:r w:rsidRPr="00927455">
                    <w:rPr>
                      <w:szCs w:val="16"/>
                      <w:lang w:val="fr-BE"/>
                    </w:rPr>
                    <w:t>Baie de</w:t>
                  </w:r>
                </w:p>
                <w:p w14:paraId="3FBA4309" w14:textId="77777777" w:rsidR="00A53A2A" w:rsidRPr="00927455" w:rsidRDefault="00A53A2A" w:rsidP="002757C3">
                  <w:pPr>
                    <w:jc w:val="center"/>
                    <w:rPr>
                      <w:szCs w:val="16"/>
                      <w:lang w:val="fr-BE"/>
                    </w:rPr>
                  </w:pPr>
                  <w:r w:rsidRPr="00927455">
                    <w:rPr>
                      <w:szCs w:val="16"/>
                      <w:lang w:val="fr-BE"/>
                    </w:rPr>
                    <w:t>ventilation</w:t>
                  </w:r>
                </w:p>
                <w:p w14:paraId="67AA76DA" w14:textId="77777777" w:rsidR="00A53A2A" w:rsidRPr="00927455" w:rsidRDefault="00A53A2A" w:rsidP="002757C3">
                  <w:pPr>
                    <w:jc w:val="center"/>
                    <w:rPr>
                      <w:b/>
                      <w:i/>
                      <w:szCs w:val="16"/>
                      <w:lang w:val="fr-BE"/>
                    </w:rPr>
                  </w:pPr>
                  <w:r w:rsidRPr="00927455">
                    <w:rPr>
                      <w:b/>
                      <w:i/>
                      <w:szCs w:val="16"/>
                      <w:lang w:val="fr-BE"/>
                    </w:rPr>
                    <w:t>OU</w:t>
                  </w:r>
                </w:p>
                <w:p w14:paraId="119E6715" w14:textId="77777777" w:rsidR="00A53A2A" w:rsidRPr="00927455" w:rsidRDefault="00A53A2A" w:rsidP="002757C3">
                  <w:pPr>
                    <w:jc w:val="center"/>
                    <w:rPr>
                      <w:szCs w:val="16"/>
                      <w:lang w:val="fr-BE"/>
                    </w:rPr>
                  </w:pPr>
                  <w:r w:rsidRPr="00927455">
                    <w:rPr>
                      <w:szCs w:val="16"/>
                      <w:lang w:val="fr-BE"/>
                    </w:rPr>
                    <w:t>Ouvert</w:t>
                  </w:r>
                </w:p>
              </w:tc>
              <w:tc>
                <w:tcPr>
                  <w:tcW w:w="1273" w:type="dxa"/>
                  <w:tcBorders>
                    <w:bottom w:val="single" w:sz="4" w:space="0" w:color="auto"/>
                  </w:tcBorders>
                  <w:shd w:val="pct20" w:color="auto" w:fill="auto"/>
                  <w:vAlign w:val="center"/>
                </w:tcPr>
                <w:p w14:paraId="04E55AF6" w14:textId="41DB6DFA" w:rsidR="00A53A2A" w:rsidRPr="00927455" w:rsidRDefault="00A53A2A" w:rsidP="002757C3">
                  <w:pPr>
                    <w:jc w:val="center"/>
                    <w:rPr>
                      <w:szCs w:val="16"/>
                      <w:lang w:val="fr-BE"/>
                    </w:rPr>
                  </w:pPr>
                  <w:r w:rsidRPr="00927455">
                    <w:rPr>
                      <w:szCs w:val="16"/>
                      <w:lang w:val="fr-BE"/>
                    </w:rPr>
                    <w:t>EFC</w:t>
                  </w:r>
                  <w:r w:rsidR="00643F28" w:rsidRPr="00927455">
                    <w:rPr>
                      <w:szCs w:val="16"/>
                      <w:vertAlign w:val="superscript"/>
                      <w:lang w:val="fr-BE"/>
                    </w:rPr>
                    <w:t>1,2</w:t>
                  </w:r>
                </w:p>
                <w:p w14:paraId="6DDF4A09" w14:textId="77777777" w:rsidR="00A53A2A" w:rsidRPr="00927455" w:rsidRDefault="00A53A2A" w:rsidP="002757C3">
                  <w:pPr>
                    <w:jc w:val="center"/>
                    <w:rPr>
                      <w:b/>
                      <w:i/>
                      <w:szCs w:val="16"/>
                      <w:lang w:val="fr-BE"/>
                    </w:rPr>
                  </w:pPr>
                  <w:r w:rsidRPr="00927455">
                    <w:rPr>
                      <w:b/>
                      <w:i/>
                      <w:szCs w:val="16"/>
                      <w:lang w:val="fr-BE"/>
                    </w:rPr>
                    <w:t>OU</w:t>
                  </w:r>
                </w:p>
                <w:p w14:paraId="2A281DBA" w14:textId="7DA37824" w:rsidR="00A53A2A" w:rsidRPr="00927455" w:rsidRDefault="00A53A2A" w:rsidP="002757C3">
                  <w:pPr>
                    <w:jc w:val="center"/>
                    <w:rPr>
                      <w:szCs w:val="16"/>
                      <w:lang w:val="fr-BE"/>
                    </w:rPr>
                  </w:pPr>
                  <w:r w:rsidRPr="00927455">
                    <w:rPr>
                      <w:szCs w:val="16"/>
                      <w:lang w:val="fr-BE"/>
                    </w:rPr>
                    <w:t>Sprinklage</w:t>
                  </w:r>
                  <w:r w:rsidR="00643F28" w:rsidRPr="00927455">
                    <w:rPr>
                      <w:szCs w:val="16"/>
                      <w:vertAlign w:val="superscript"/>
                      <w:lang w:val="fr-BE"/>
                    </w:rPr>
                    <w:t>1</w:t>
                  </w:r>
                </w:p>
                <w:p w14:paraId="6009361F" w14:textId="77777777" w:rsidR="00A53A2A" w:rsidRPr="00927455" w:rsidRDefault="00A53A2A" w:rsidP="002757C3">
                  <w:pPr>
                    <w:jc w:val="center"/>
                    <w:rPr>
                      <w:b/>
                      <w:i/>
                      <w:szCs w:val="16"/>
                      <w:lang w:val="fr-BE"/>
                    </w:rPr>
                  </w:pPr>
                  <w:r w:rsidRPr="00927455">
                    <w:rPr>
                      <w:b/>
                      <w:i/>
                      <w:szCs w:val="16"/>
                      <w:lang w:val="fr-BE"/>
                    </w:rPr>
                    <w:t>OU</w:t>
                  </w:r>
                </w:p>
                <w:p w14:paraId="5C6E1D06" w14:textId="77777777" w:rsidR="00A53A2A" w:rsidRPr="00927455" w:rsidRDefault="00A53A2A" w:rsidP="002757C3">
                  <w:pPr>
                    <w:jc w:val="center"/>
                    <w:rPr>
                      <w:szCs w:val="16"/>
                      <w:lang w:val="fr-BE"/>
                    </w:rPr>
                  </w:pPr>
                  <w:r w:rsidRPr="00927455">
                    <w:rPr>
                      <w:szCs w:val="16"/>
                      <w:lang w:val="fr-BE"/>
                    </w:rPr>
                    <w:t>Ouvert</w:t>
                  </w:r>
                </w:p>
              </w:tc>
              <w:tc>
                <w:tcPr>
                  <w:tcW w:w="1273" w:type="dxa"/>
                  <w:tcBorders>
                    <w:bottom w:val="single" w:sz="4" w:space="0" w:color="auto"/>
                  </w:tcBorders>
                  <w:shd w:val="pct30" w:color="auto" w:fill="auto"/>
                  <w:vAlign w:val="center"/>
                </w:tcPr>
                <w:p w14:paraId="075C6040" w14:textId="191CB6F4" w:rsidR="00A53A2A" w:rsidRPr="00927455" w:rsidRDefault="00A53A2A" w:rsidP="002757C3">
                  <w:pPr>
                    <w:jc w:val="center"/>
                    <w:rPr>
                      <w:szCs w:val="16"/>
                      <w:lang w:val="fr-BE"/>
                    </w:rPr>
                  </w:pPr>
                  <w:r w:rsidRPr="00927455">
                    <w:rPr>
                      <w:szCs w:val="16"/>
                      <w:lang w:val="fr-BE"/>
                    </w:rPr>
                    <w:t>EFC</w:t>
                  </w:r>
                  <w:r w:rsidR="00643F28" w:rsidRPr="00927455">
                    <w:rPr>
                      <w:szCs w:val="16"/>
                      <w:vertAlign w:val="superscript"/>
                      <w:lang w:val="fr-BE"/>
                    </w:rPr>
                    <w:t>1</w:t>
                  </w:r>
                </w:p>
                <w:p w14:paraId="7DE52E65" w14:textId="77777777" w:rsidR="00A53A2A" w:rsidRPr="00927455" w:rsidRDefault="00A53A2A" w:rsidP="002757C3">
                  <w:pPr>
                    <w:jc w:val="center"/>
                    <w:rPr>
                      <w:b/>
                      <w:i/>
                      <w:szCs w:val="16"/>
                      <w:lang w:val="fr-BE"/>
                    </w:rPr>
                  </w:pPr>
                  <w:r w:rsidRPr="00927455">
                    <w:rPr>
                      <w:b/>
                      <w:i/>
                      <w:szCs w:val="16"/>
                      <w:lang w:val="fr-BE"/>
                    </w:rPr>
                    <w:t>OU</w:t>
                  </w:r>
                </w:p>
                <w:p w14:paraId="5C31CCE7" w14:textId="78881F11" w:rsidR="00A53A2A" w:rsidRPr="00927455" w:rsidRDefault="00A53A2A" w:rsidP="002757C3">
                  <w:pPr>
                    <w:jc w:val="center"/>
                    <w:rPr>
                      <w:szCs w:val="16"/>
                      <w:lang w:val="fr-BE"/>
                    </w:rPr>
                  </w:pPr>
                  <w:r w:rsidRPr="00927455">
                    <w:rPr>
                      <w:szCs w:val="16"/>
                      <w:lang w:val="fr-BE"/>
                    </w:rPr>
                    <w:t>Sprinklage</w:t>
                  </w:r>
                  <w:r w:rsidR="00643F28" w:rsidRPr="00927455">
                    <w:rPr>
                      <w:szCs w:val="16"/>
                      <w:vertAlign w:val="superscript"/>
                      <w:lang w:val="fr-BE"/>
                    </w:rPr>
                    <w:t>1</w:t>
                  </w:r>
                </w:p>
                <w:p w14:paraId="7D8EAFA0" w14:textId="77777777" w:rsidR="00A53A2A" w:rsidRPr="00927455" w:rsidRDefault="00A53A2A" w:rsidP="002757C3">
                  <w:pPr>
                    <w:jc w:val="center"/>
                    <w:rPr>
                      <w:b/>
                      <w:i/>
                      <w:szCs w:val="16"/>
                      <w:lang w:val="fr-BE"/>
                    </w:rPr>
                  </w:pPr>
                  <w:r w:rsidRPr="00927455">
                    <w:rPr>
                      <w:b/>
                      <w:i/>
                      <w:szCs w:val="16"/>
                      <w:lang w:val="fr-BE"/>
                    </w:rPr>
                    <w:t>OU</w:t>
                  </w:r>
                </w:p>
                <w:p w14:paraId="65F49B0A" w14:textId="77777777" w:rsidR="00A53A2A" w:rsidRPr="00927455" w:rsidRDefault="00A53A2A" w:rsidP="002757C3">
                  <w:pPr>
                    <w:jc w:val="center"/>
                    <w:rPr>
                      <w:szCs w:val="16"/>
                      <w:lang w:val="fr-BE"/>
                    </w:rPr>
                  </w:pPr>
                  <w:r w:rsidRPr="00927455">
                    <w:rPr>
                      <w:szCs w:val="16"/>
                      <w:lang w:val="fr-BE"/>
                    </w:rPr>
                    <w:t>Ouvert</w:t>
                  </w:r>
                </w:p>
              </w:tc>
              <w:tc>
                <w:tcPr>
                  <w:tcW w:w="1273" w:type="dxa"/>
                  <w:tcBorders>
                    <w:bottom w:val="single" w:sz="4" w:space="0" w:color="auto"/>
                  </w:tcBorders>
                  <w:shd w:val="pct45" w:color="auto" w:fill="auto"/>
                  <w:vAlign w:val="center"/>
                </w:tcPr>
                <w:p w14:paraId="73ECA9AB" w14:textId="5E3AB3A7" w:rsidR="00A53A2A" w:rsidRPr="00927455" w:rsidRDefault="00A53A2A" w:rsidP="002757C3">
                  <w:pPr>
                    <w:jc w:val="center"/>
                    <w:rPr>
                      <w:szCs w:val="16"/>
                    </w:rPr>
                  </w:pPr>
                  <w:r w:rsidRPr="00927455">
                    <w:rPr>
                      <w:szCs w:val="16"/>
                    </w:rPr>
                    <w:t>EFC</w:t>
                  </w:r>
                  <w:r w:rsidR="00643F28" w:rsidRPr="00927455">
                    <w:rPr>
                      <w:szCs w:val="16"/>
                      <w:vertAlign w:val="superscript"/>
                    </w:rPr>
                    <w:t>1</w:t>
                  </w:r>
                </w:p>
                <w:p w14:paraId="5935F98F" w14:textId="77777777" w:rsidR="00A53A2A" w:rsidRPr="00927455" w:rsidRDefault="00A53A2A" w:rsidP="002757C3">
                  <w:pPr>
                    <w:jc w:val="center"/>
                    <w:rPr>
                      <w:szCs w:val="16"/>
                    </w:rPr>
                  </w:pPr>
                  <w:r w:rsidRPr="00927455">
                    <w:rPr>
                      <w:szCs w:val="16"/>
                    </w:rPr>
                    <w:t>&amp;</w:t>
                  </w:r>
                </w:p>
                <w:p w14:paraId="06B3C748" w14:textId="0D0AF5E6" w:rsidR="00A53A2A" w:rsidRPr="00927455" w:rsidRDefault="00A53A2A" w:rsidP="002757C3">
                  <w:pPr>
                    <w:jc w:val="center"/>
                    <w:rPr>
                      <w:szCs w:val="16"/>
                    </w:rPr>
                  </w:pPr>
                  <w:r w:rsidRPr="00927455">
                    <w:rPr>
                      <w:szCs w:val="16"/>
                    </w:rPr>
                    <w:t>Sprinklage</w:t>
                  </w:r>
                  <w:r w:rsidR="00643F28" w:rsidRPr="00927455">
                    <w:rPr>
                      <w:szCs w:val="16"/>
                      <w:vertAlign w:val="superscript"/>
                    </w:rPr>
                    <w:t>1</w:t>
                  </w:r>
                </w:p>
                <w:p w14:paraId="39F0D0F3" w14:textId="77777777" w:rsidR="00A53A2A" w:rsidRPr="00927455" w:rsidRDefault="00A53A2A" w:rsidP="002757C3">
                  <w:pPr>
                    <w:jc w:val="center"/>
                    <w:rPr>
                      <w:b/>
                      <w:i/>
                      <w:szCs w:val="16"/>
                    </w:rPr>
                  </w:pPr>
                  <w:r w:rsidRPr="00927455">
                    <w:rPr>
                      <w:b/>
                      <w:i/>
                      <w:szCs w:val="16"/>
                    </w:rPr>
                    <w:t>OU</w:t>
                  </w:r>
                </w:p>
                <w:p w14:paraId="668CD22B" w14:textId="77777777" w:rsidR="00A53A2A" w:rsidRPr="00927455" w:rsidRDefault="00A53A2A" w:rsidP="002757C3">
                  <w:pPr>
                    <w:jc w:val="center"/>
                    <w:rPr>
                      <w:szCs w:val="16"/>
                    </w:rPr>
                  </w:pPr>
                  <w:proofErr w:type="spellStart"/>
                  <w:r w:rsidRPr="00927455">
                    <w:rPr>
                      <w:szCs w:val="16"/>
                    </w:rPr>
                    <w:t>Ouvert</w:t>
                  </w:r>
                  <w:proofErr w:type="spellEnd"/>
                </w:p>
              </w:tc>
              <w:tc>
                <w:tcPr>
                  <w:tcW w:w="1273" w:type="dxa"/>
                  <w:tcBorders>
                    <w:bottom w:val="single" w:sz="4" w:space="0" w:color="auto"/>
                  </w:tcBorders>
                  <w:shd w:val="pct45" w:color="auto" w:fill="auto"/>
                  <w:vAlign w:val="center"/>
                </w:tcPr>
                <w:p w14:paraId="436797EF" w14:textId="74E05C1D" w:rsidR="00A53A2A" w:rsidRPr="00927455" w:rsidRDefault="00A53A2A" w:rsidP="002757C3">
                  <w:pPr>
                    <w:jc w:val="center"/>
                    <w:rPr>
                      <w:szCs w:val="16"/>
                    </w:rPr>
                  </w:pPr>
                  <w:r w:rsidRPr="00927455">
                    <w:rPr>
                      <w:szCs w:val="16"/>
                    </w:rPr>
                    <w:t>EFC</w:t>
                  </w:r>
                  <w:r w:rsidR="00643F28" w:rsidRPr="00927455">
                    <w:rPr>
                      <w:szCs w:val="16"/>
                      <w:vertAlign w:val="superscript"/>
                    </w:rPr>
                    <w:t>1</w:t>
                  </w:r>
                </w:p>
                <w:p w14:paraId="783C7D45" w14:textId="77777777" w:rsidR="00A53A2A" w:rsidRPr="00927455" w:rsidRDefault="00A53A2A" w:rsidP="002757C3">
                  <w:pPr>
                    <w:jc w:val="center"/>
                    <w:rPr>
                      <w:szCs w:val="16"/>
                    </w:rPr>
                  </w:pPr>
                  <w:r w:rsidRPr="00927455">
                    <w:rPr>
                      <w:szCs w:val="16"/>
                    </w:rPr>
                    <w:t>&amp;</w:t>
                  </w:r>
                </w:p>
                <w:p w14:paraId="439EAAEA" w14:textId="757717FE" w:rsidR="00A53A2A" w:rsidRPr="00927455" w:rsidRDefault="00A53A2A" w:rsidP="002757C3">
                  <w:pPr>
                    <w:jc w:val="center"/>
                    <w:rPr>
                      <w:szCs w:val="16"/>
                    </w:rPr>
                  </w:pPr>
                  <w:r w:rsidRPr="00927455">
                    <w:rPr>
                      <w:szCs w:val="16"/>
                    </w:rPr>
                    <w:t>Sprinklage</w:t>
                  </w:r>
                  <w:r w:rsidR="00643F28" w:rsidRPr="00927455">
                    <w:rPr>
                      <w:szCs w:val="16"/>
                      <w:vertAlign w:val="superscript"/>
                    </w:rPr>
                    <w:t>1</w:t>
                  </w:r>
                </w:p>
                <w:p w14:paraId="390FADBF" w14:textId="77777777" w:rsidR="00A53A2A" w:rsidRPr="00927455" w:rsidRDefault="00A53A2A" w:rsidP="002757C3">
                  <w:pPr>
                    <w:jc w:val="center"/>
                    <w:rPr>
                      <w:b/>
                      <w:i/>
                      <w:szCs w:val="16"/>
                    </w:rPr>
                  </w:pPr>
                  <w:r w:rsidRPr="00927455">
                    <w:rPr>
                      <w:b/>
                      <w:i/>
                      <w:szCs w:val="16"/>
                    </w:rPr>
                    <w:t>OU</w:t>
                  </w:r>
                </w:p>
                <w:p w14:paraId="298950F4" w14:textId="77777777" w:rsidR="00A53A2A" w:rsidRPr="00927455" w:rsidRDefault="00A53A2A" w:rsidP="002757C3">
                  <w:pPr>
                    <w:jc w:val="center"/>
                    <w:rPr>
                      <w:szCs w:val="16"/>
                    </w:rPr>
                  </w:pPr>
                  <w:proofErr w:type="spellStart"/>
                  <w:r w:rsidRPr="00927455">
                    <w:rPr>
                      <w:szCs w:val="16"/>
                    </w:rPr>
                    <w:t>Ouvert</w:t>
                  </w:r>
                  <w:proofErr w:type="spellEnd"/>
                </w:p>
              </w:tc>
            </w:tr>
            <w:tr w:rsidR="00A53A2A" w:rsidRPr="00927455" w14:paraId="7212E394" w14:textId="77777777" w:rsidTr="002757C3">
              <w:tc>
                <w:tcPr>
                  <w:tcW w:w="1344" w:type="dxa"/>
                  <w:gridSpan w:val="3"/>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7CF3E645" w14:textId="77777777" w:rsidR="00A53A2A" w:rsidRPr="00927455" w:rsidRDefault="00A53A2A" w:rsidP="002757C3">
                  <w:pPr>
                    <w:jc w:val="center"/>
                    <w:rPr>
                      <w:b/>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3D5D349" w14:textId="77777777" w:rsidR="00A53A2A" w:rsidRPr="00927455" w:rsidRDefault="00A53A2A" w:rsidP="002757C3">
                  <w:pPr>
                    <w:jc w:val="center"/>
                    <w:rPr>
                      <w:sz w:val="18"/>
                      <w:szCs w:val="18"/>
                    </w:rPr>
                  </w:pPr>
                </w:p>
              </w:tc>
              <w:tc>
                <w:tcPr>
                  <w:tcW w:w="1613" w:type="dxa"/>
                  <w:tcBorders>
                    <w:top w:val="single" w:sz="4" w:space="0" w:color="auto"/>
                    <w:left w:val="single" w:sz="4" w:space="0" w:color="auto"/>
                    <w:bottom w:val="single" w:sz="4" w:space="0" w:color="auto"/>
                    <w:right w:val="nil"/>
                  </w:tcBorders>
                  <w:shd w:val="clear" w:color="auto" w:fill="auto"/>
                  <w:tcMar>
                    <w:top w:w="0" w:type="dxa"/>
                    <w:bottom w:w="0" w:type="dxa"/>
                  </w:tcMar>
                  <w:vAlign w:val="center"/>
                </w:tcPr>
                <w:p w14:paraId="2D1778DA" w14:textId="77777777" w:rsidR="00A53A2A" w:rsidRPr="00927455" w:rsidRDefault="00A53A2A" w:rsidP="002757C3">
                  <w:pPr>
                    <w:jc w:val="center"/>
                    <w:rPr>
                      <w:sz w:val="18"/>
                      <w:szCs w:val="18"/>
                    </w:rPr>
                  </w:pPr>
                </w:p>
              </w:tc>
              <w:tc>
                <w:tcPr>
                  <w:tcW w:w="1273" w:type="dxa"/>
                  <w:tcBorders>
                    <w:top w:val="single" w:sz="4" w:space="0" w:color="auto"/>
                    <w:left w:val="nil"/>
                    <w:bottom w:val="single" w:sz="4" w:space="0" w:color="auto"/>
                    <w:right w:val="nil"/>
                  </w:tcBorders>
                </w:tcPr>
                <w:p w14:paraId="78841B28" w14:textId="77777777" w:rsidR="00A53A2A" w:rsidRPr="00927455" w:rsidRDefault="00A53A2A" w:rsidP="002757C3">
                  <w:pPr>
                    <w:jc w:val="center"/>
                    <w:rPr>
                      <w:sz w:val="18"/>
                      <w:szCs w:val="18"/>
                    </w:rPr>
                  </w:pPr>
                </w:p>
              </w:tc>
              <w:tc>
                <w:tcPr>
                  <w:tcW w:w="1273" w:type="dxa"/>
                  <w:tcBorders>
                    <w:top w:val="single" w:sz="4" w:space="0" w:color="auto"/>
                    <w:left w:val="nil"/>
                    <w:bottom w:val="single" w:sz="4" w:space="0" w:color="auto"/>
                    <w:right w:val="nil"/>
                  </w:tcBorders>
                  <w:shd w:val="clear" w:color="auto" w:fill="auto"/>
                  <w:tcMar>
                    <w:top w:w="0" w:type="dxa"/>
                    <w:bottom w:w="0" w:type="dxa"/>
                  </w:tcMar>
                  <w:vAlign w:val="center"/>
                </w:tcPr>
                <w:p w14:paraId="7F12D72C" w14:textId="77777777" w:rsidR="00A53A2A" w:rsidRPr="00927455" w:rsidRDefault="00A53A2A" w:rsidP="002757C3">
                  <w:pPr>
                    <w:jc w:val="center"/>
                    <w:rPr>
                      <w:sz w:val="18"/>
                      <w:szCs w:val="18"/>
                    </w:rPr>
                  </w:pPr>
                </w:p>
              </w:tc>
              <w:tc>
                <w:tcPr>
                  <w:tcW w:w="1273" w:type="dxa"/>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10D5A6C0" w14:textId="77777777" w:rsidR="00A53A2A" w:rsidRPr="00927455" w:rsidRDefault="00A53A2A" w:rsidP="002757C3">
                  <w:pPr>
                    <w:jc w:val="center"/>
                    <w:rPr>
                      <w:sz w:val="18"/>
                      <w:szCs w:val="18"/>
                    </w:rPr>
                  </w:pPr>
                </w:p>
              </w:tc>
              <w:tc>
                <w:tcPr>
                  <w:tcW w:w="1273"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F6ADFA6" w14:textId="77777777" w:rsidR="00A53A2A" w:rsidRPr="00927455" w:rsidRDefault="00A53A2A" w:rsidP="002757C3">
                  <w:pPr>
                    <w:jc w:val="center"/>
                    <w:rPr>
                      <w:sz w:val="18"/>
                      <w:szCs w:val="18"/>
                    </w:rPr>
                  </w:pPr>
                </w:p>
              </w:tc>
            </w:tr>
            <w:tr w:rsidR="00A53A2A" w:rsidRPr="00927455" w14:paraId="73764929" w14:textId="77777777" w:rsidTr="002757C3">
              <w:tc>
                <w:tcPr>
                  <w:tcW w:w="502" w:type="dxa"/>
                  <w:vMerge w:val="restart"/>
                  <w:tcBorders>
                    <w:top w:val="single" w:sz="4" w:space="0" w:color="auto"/>
                    <w:bottom w:val="single" w:sz="4" w:space="0" w:color="auto"/>
                  </w:tcBorders>
                  <w:textDirection w:val="btLr"/>
                  <w:vAlign w:val="center"/>
                </w:tcPr>
                <w:p w14:paraId="59B1A3C5" w14:textId="77777777" w:rsidR="00A53A2A" w:rsidRPr="00927455" w:rsidRDefault="00A53A2A" w:rsidP="002757C3">
                  <w:pPr>
                    <w:ind w:left="113" w:right="113"/>
                    <w:jc w:val="center"/>
                    <w:rPr>
                      <w:b/>
                      <w:szCs w:val="16"/>
                    </w:rPr>
                  </w:pPr>
                  <w:proofErr w:type="spellStart"/>
                  <w:r w:rsidRPr="00927455">
                    <w:rPr>
                      <w:b/>
                      <w:szCs w:val="16"/>
                    </w:rPr>
                    <w:t>Niveau</w:t>
                  </w:r>
                  <w:proofErr w:type="spellEnd"/>
                  <w:r w:rsidRPr="00927455">
                    <w:rPr>
                      <w:b/>
                      <w:szCs w:val="16"/>
                    </w:rPr>
                    <w:t xml:space="preserve"> sous-sol</w:t>
                  </w:r>
                </w:p>
              </w:tc>
              <w:tc>
                <w:tcPr>
                  <w:tcW w:w="842" w:type="dxa"/>
                  <w:gridSpan w:val="2"/>
                  <w:tcBorders>
                    <w:top w:val="single" w:sz="4" w:space="0" w:color="auto"/>
                    <w:bottom w:val="single" w:sz="4" w:space="0" w:color="auto"/>
                  </w:tcBorders>
                  <w:vAlign w:val="center"/>
                </w:tcPr>
                <w:p w14:paraId="0EE491EA" w14:textId="77777777" w:rsidR="00A53A2A" w:rsidRPr="00927455" w:rsidRDefault="00A53A2A" w:rsidP="002757C3">
                  <w:pPr>
                    <w:jc w:val="center"/>
                    <w:rPr>
                      <w:szCs w:val="16"/>
                    </w:rPr>
                  </w:pPr>
                  <w:r w:rsidRPr="00927455">
                    <w:rPr>
                      <w:szCs w:val="16"/>
                    </w:rPr>
                    <w:t>0 m</w:t>
                  </w:r>
                </w:p>
                <w:p w14:paraId="71BE6D36" w14:textId="77777777" w:rsidR="00A53A2A" w:rsidRPr="00927455" w:rsidRDefault="00A53A2A" w:rsidP="002757C3">
                  <w:pPr>
                    <w:jc w:val="center"/>
                    <w:rPr>
                      <w:szCs w:val="16"/>
                    </w:rPr>
                  </w:pPr>
                  <w:r w:rsidRPr="00927455">
                    <w:rPr>
                      <w:szCs w:val="16"/>
                    </w:rPr>
                    <w:t>&lt; p ≤</w:t>
                  </w:r>
                </w:p>
                <w:p w14:paraId="31709B17" w14:textId="77777777" w:rsidR="00A53A2A" w:rsidRPr="00927455" w:rsidRDefault="00A53A2A" w:rsidP="002757C3">
                  <w:pPr>
                    <w:jc w:val="center"/>
                    <w:rPr>
                      <w:szCs w:val="16"/>
                    </w:rPr>
                  </w:pPr>
                  <w:r w:rsidRPr="00927455">
                    <w:rPr>
                      <w:szCs w:val="16"/>
                    </w:rPr>
                    <w:t>7 m</w:t>
                  </w:r>
                </w:p>
              </w:tc>
              <w:tc>
                <w:tcPr>
                  <w:tcW w:w="703" w:type="dxa"/>
                  <w:vMerge w:val="restart"/>
                  <w:tcBorders>
                    <w:top w:val="single" w:sz="4" w:space="0" w:color="auto"/>
                  </w:tcBorders>
                  <w:vAlign w:val="center"/>
                </w:tcPr>
                <w:p w14:paraId="47FA9F8A" w14:textId="77777777" w:rsidR="00A53A2A" w:rsidRPr="00927455" w:rsidRDefault="00A53A2A" w:rsidP="002757C3">
                  <w:pPr>
                    <w:jc w:val="center"/>
                    <w:rPr>
                      <w:szCs w:val="16"/>
                    </w:rPr>
                  </w:pPr>
                  <w:r w:rsidRPr="00927455">
                    <w:rPr>
                      <w:szCs w:val="16"/>
                    </w:rPr>
                    <w:t>/</w:t>
                  </w:r>
                </w:p>
                <w:p w14:paraId="74C75755" w14:textId="77777777" w:rsidR="00A53A2A" w:rsidRPr="00927455" w:rsidRDefault="00A53A2A" w:rsidP="002757C3">
                  <w:pPr>
                    <w:jc w:val="center"/>
                    <w:rPr>
                      <w:szCs w:val="16"/>
                    </w:rPr>
                  </w:pPr>
                </w:p>
              </w:tc>
              <w:tc>
                <w:tcPr>
                  <w:tcW w:w="1613" w:type="dxa"/>
                  <w:tcBorders>
                    <w:top w:val="single" w:sz="4" w:space="0" w:color="auto"/>
                    <w:bottom w:val="single" w:sz="4" w:space="0" w:color="auto"/>
                  </w:tcBorders>
                  <w:shd w:val="pct10" w:color="auto" w:fill="auto"/>
                  <w:vAlign w:val="center"/>
                </w:tcPr>
                <w:p w14:paraId="08D17F6A" w14:textId="371CE420" w:rsidR="00A53A2A" w:rsidRPr="00927455" w:rsidRDefault="00A53A2A" w:rsidP="002757C3">
                  <w:pPr>
                    <w:jc w:val="center"/>
                    <w:rPr>
                      <w:szCs w:val="16"/>
                      <w:lang w:val="fr-BE"/>
                    </w:rPr>
                  </w:pPr>
                  <w:r w:rsidRPr="00927455">
                    <w:rPr>
                      <w:szCs w:val="16"/>
                      <w:lang w:val="fr-BE"/>
                    </w:rPr>
                    <w:t>EFC</w:t>
                  </w:r>
                  <w:r w:rsidR="00860CE1" w:rsidRPr="00927455">
                    <w:rPr>
                      <w:szCs w:val="16"/>
                      <w:vertAlign w:val="superscript"/>
                      <w:lang w:val="fr-BE"/>
                    </w:rPr>
                    <w:t>1,2,3</w:t>
                  </w:r>
                </w:p>
                <w:p w14:paraId="6811CBCA" w14:textId="77777777" w:rsidR="00A53A2A" w:rsidRPr="00927455" w:rsidRDefault="00A53A2A" w:rsidP="002757C3">
                  <w:pPr>
                    <w:jc w:val="center"/>
                    <w:rPr>
                      <w:b/>
                      <w:i/>
                      <w:szCs w:val="16"/>
                      <w:lang w:val="fr-BE"/>
                    </w:rPr>
                  </w:pPr>
                  <w:r w:rsidRPr="00927455">
                    <w:rPr>
                      <w:b/>
                      <w:i/>
                      <w:szCs w:val="16"/>
                      <w:lang w:val="fr-BE"/>
                    </w:rPr>
                    <w:t>OU</w:t>
                  </w:r>
                </w:p>
                <w:p w14:paraId="0DC3ECC3" w14:textId="6A686575" w:rsidR="00A53A2A" w:rsidRPr="00927455" w:rsidRDefault="00A53A2A" w:rsidP="002757C3">
                  <w:pPr>
                    <w:jc w:val="center"/>
                    <w:rPr>
                      <w:szCs w:val="16"/>
                      <w:lang w:val="fr-BE"/>
                    </w:rPr>
                  </w:pPr>
                  <w:r w:rsidRPr="00927455">
                    <w:rPr>
                      <w:szCs w:val="16"/>
                      <w:lang w:val="fr-BE"/>
                    </w:rPr>
                    <w:t>Sprinklage</w:t>
                  </w:r>
                  <w:r w:rsidR="00860CE1" w:rsidRPr="00927455">
                    <w:rPr>
                      <w:szCs w:val="16"/>
                      <w:vertAlign w:val="superscript"/>
                      <w:lang w:val="fr-BE"/>
                    </w:rPr>
                    <w:t>1,2</w:t>
                  </w:r>
                </w:p>
                <w:p w14:paraId="305EA94A" w14:textId="77777777" w:rsidR="00A53A2A" w:rsidRPr="00927455" w:rsidRDefault="00A53A2A" w:rsidP="002757C3">
                  <w:pPr>
                    <w:jc w:val="center"/>
                    <w:rPr>
                      <w:b/>
                      <w:i/>
                      <w:szCs w:val="16"/>
                      <w:lang w:val="fr-BE"/>
                    </w:rPr>
                  </w:pPr>
                  <w:r w:rsidRPr="00927455">
                    <w:rPr>
                      <w:b/>
                      <w:i/>
                      <w:szCs w:val="16"/>
                      <w:lang w:val="fr-BE"/>
                    </w:rPr>
                    <w:t>OU</w:t>
                  </w:r>
                </w:p>
                <w:p w14:paraId="3A915B6B" w14:textId="77777777" w:rsidR="00A53A2A" w:rsidRPr="00927455" w:rsidRDefault="00A53A2A" w:rsidP="002757C3">
                  <w:pPr>
                    <w:jc w:val="center"/>
                    <w:rPr>
                      <w:szCs w:val="16"/>
                      <w:lang w:val="fr-BE"/>
                    </w:rPr>
                  </w:pPr>
                  <w:r w:rsidRPr="00927455">
                    <w:rPr>
                      <w:szCs w:val="16"/>
                      <w:lang w:val="fr-BE"/>
                    </w:rPr>
                    <w:t>Baie de ventilation</w:t>
                  </w:r>
                </w:p>
                <w:p w14:paraId="756CE20C" w14:textId="77777777" w:rsidR="00A53A2A" w:rsidRPr="00927455" w:rsidRDefault="00A53A2A" w:rsidP="002757C3">
                  <w:pPr>
                    <w:jc w:val="center"/>
                    <w:rPr>
                      <w:b/>
                      <w:i/>
                      <w:szCs w:val="16"/>
                      <w:lang w:val="fr-BE"/>
                    </w:rPr>
                  </w:pPr>
                  <w:r w:rsidRPr="00927455">
                    <w:rPr>
                      <w:b/>
                      <w:i/>
                      <w:szCs w:val="16"/>
                      <w:lang w:val="fr-BE"/>
                    </w:rPr>
                    <w:t>OU</w:t>
                  </w:r>
                </w:p>
                <w:p w14:paraId="6D28DFD1" w14:textId="77777777" w:rsidR="00A53A2A" w:rsidRPr="00927455" w:rsidRDefault="00A53A2A" w:rsidP="002757C3">
                  <w:pPr>
                    <w:jc w:val="center"/>
                    <w:rPr>
                      <w:szCs w:val="16"/>
                      <w:lang w:val="fr-BE"/>
                    </w:rPr>
                  </w:pPr>
                  <w:r w:rsidRPr="00927455">
                    <w:rPr>
                      <w:szCs w:val="16"/>
                      <w:lang w:val="fr-BE"/>
                    </w:rPr>
                    <w:t>Ouvert</w:t>
                  </w:r>
                </w:p>
              </w:tc>
              <w:tc>
                <w:tcPr>
                  <w:tcW w:w="1273" w:type="dxa"/>
                  <w:tcBorders>
                    <w:top w:val="single" w:sz="4" w:space="0" w:color="auto"/>
                    <w:bottom w:val="single" w:sz="4" w:space="0" w:color="auto"/>
                  </w:tcBorders>
                  <w:shd w:val="pct20" w:color="auto" w:fill="auto"/>
                  <w:vAlign w:val="center"/>
                </w:tcPr>
                <w:p w14:paraId="541F3FB3" w14:textId="42091E6F" w:rsidR="00A53A2A" w:rsidRPr="00927455" w:rsidRDefault="00A53A2A" w:rsidP="002757C3">
                  <w:pPr>
                    <w:jc w:val="center"/>
                    <w:rPr>
                      <w:szCs w:val="16"/>
                      <w:lang w:val="fr-BE"/>
                    </w:rPr>
                  </w:pPr>
                  <w:r w:rsidRPr="00927455">
                    <w:rPr>
                      <w:szCs w:val="16"/>
                      <w:lang w:val="fr-BE"/>
                    </w:rPr>
                    <w:t>EFC</w:t>
                  </w:r>
                  <w:r w:rsidR="00643F28" w:rsidRPr="00927455">
                    <w:rPr>
                      <w:szCs w:val="16"/>
                      <w:vertAlign w:val="superscript"/>
                      <w:lang w:val="fr-BE"/>
                    </w:rPr>
                    <w:t>1,2</w:t>
                  </w:r>
                </w:p>
                <w:p w14:paraId="4DDB89B9" w14:textId="77777777" w:rsidR="00A53A2A" w:rsidRPr="00927455" w:rsidRDefault="00A53A2A" w:rsidP="002757C3">
                  <w:pPr>
                    <w:jc w:val="center"/>
                    <w:rPr>
                      <w:b/>
                      <w:i/>
                      <w:szCs w:val="16"/>
                      <w:lang w:val="fr-BE"/>
                    </w:rPr>
                  </w:pPr>
                  <w:r w:rsidRPr="00927455">
                    <w:rPr>
                      <w:b/>
                      <w:i/>
                      <w:szCs w:val="16"/>
                      <w:lang w:val="fr-BE"/>
                    </w:rPr>
                    <w:t>OU</w:t>
                  </w:r>
                </w:p>
                <w:p w14:paraId="7A3F53EC" w14:textId="0345048D" w:rsidR="00A53A2A" w:rsidRPr="00927455" w:rsidRDefault="00A53A2A" w:rsidP="002757C3">
                  <w:pPr>
                    <w:jc w:val="center"/>
                    <w:rPr>
                      <w:szCs w:val="16"/>
                      <w:lang w:val="fr-BE"/>
                    </w:rPr>
                  </w:pPr>
                  <w:r w:rsidRPr="00927455">
                    <w:rPr>
                      <w:szCs w:val="16"/>
                      <w:lang w:val="fr-BE"/>
                    </w:rPr>
                    <w:t>Sprinklage</w:t>
                  </w:r>
                  <w:r w:rsidR="00643F28" w:rsidRPr="00927455">
                    <w:rPr>
                      <w:szCs w:val="16"/>
                      <w:vertAlign w:val="superscript"/>
                      <w:lang w:val="fr-BE"/>
                    </w:rPr>
                    <w:t>1</w:t>
                  </w:r>
                </w:p>
                <w:p w14:paraId="6A837D24" w14:textId="77777777" w:rsidR="00A53A2A" w:rsidRPr="00927455" w:rsidRDefault="00A53A2A" w:rsidP="002757C3">
                  <w:pPr>
                    <w:jc w:val="center"/>
                    <w:rPr>
                      <w:b/>
                      <w:i/>
                      <w:szCs w:val="16"/>
                      <w:lang w:val="fr-BE"/>
                    </w:rPr>
                  </w:pPr>
                  <w:r w:rsidRPr="00927455">
                    <w:rPr>
                      <w:b/>
                      <w:i/>
                      <w:szCs w:val="16"/>
                      <w:lang w:val="fr-BE"/>
                    </w:rPr>
                    <w:t>OU</w:t>
                  </w:r>
                </w:p>
                <w:p w14:paraId="5164CA62" w14:textId="77777777" w:rsidR="00A53A2A" w:rsidRPr="00927455" w:rsidRDefault="00A53A2A" w:rsidP="002757C3">
                  <w:pPr>
                    <w:jc w:val="center"/>
                    <w:rPr>
                      <w:szCs w:val="16"/>
                      <w:lang w:val="fr-BE"/>
                    </w:rPr>
                  </w:pPr>
                  <w:r w:rsidRPr="00927455">
                    <w:rPr>
                      <w:szCs w:val="16"/>
                      <w:lang w:val="fr-BE"/>
                    </w:rPr>
                    <w:t>Ouvert</w:t>
                  </w:r>
                </w:p>
              </w:tc>
              <w:tc>
                <w:tcPr>
                  <w:tcW w:w="1273" w:type="dxa"/>
                  <w:tcBorders>
                    <w:top w:val="single" w:sz="4" w:space="0" w:color="auto"/>
                    <w:bottom w:val="single" w:sz="4" w:space="0" w:color="auto"/>
                  </w:tcBorders>
                  <w:shd w:val="pct30" w:color="auto" w:fill="auto"/>
                  <w:vAlign w:val="center"/>
                </w:tcPr>
                <w:p w14:paraId="22B4F88E" w14:textId="28C3AAAB" w:rsidR="00A53A2A" w:rsidRPr="00927455" w:rsidRDefault="00A53A2A" w:rsidP="002757C3">
                  <w:pPr>
                    <w:jc w:val="center"/>
                    <w:rPr>
                      <w:szCs w:val="16"/>
                      <w:lang w:val="fr-BE"/>
                    </w:rPr>
                  </w:pPr>
                  <w:r w:rsidRPr="00927455">
                    <w:rPr>
                      <w:szCs w:val="16"/>
                      <w:lang w:val="fr-BE"/>
                    </w:rPr>
                    <w:t>EFC</w:t>
                  </w:r>
                  <w:r w:rsidR="00643F28" w:rsidRPr="00927455">
                    <w:rPr>
                      <w:szCs w:val="16"/>
                      <w:vertAlign w:val="superscript"/>
                      <w:lang w:val="fr-BE"/>
                    </w:rPr>
                    <w:t>1</w:t>
                  </w:r>
                </w:p>
                <w:p w14:paraId="13B02918" w14:textId="77777777" w:rsidR="00A53A2A" w:rsidRPr="00927455" w:rsidRDefault="00A53A2A" w:rsidP="002757C3">
                  <w:pPr>
                    <w:jc w:val="center"/>
                    <w:rPr>
                      <w:b/>
                      <w:i/>
                      <w:szCs w:val="16"/>
                      <w:lang w:val="fr-BE"/>
                    </w:rPr>
                  </w:pPr>
                  <w:r w:rsidRPr="00927455">
                    <w:rPr>
                      <w:b/>
                      <w:i/>
                      <w:szCs w:val="16"/>
                      <w:lang w:val="fr-BE"/>
                    </w:rPr>
                    <w:t>OU</w:t>
                  </w:r>
                </w:p>
                <w:p w14:paraId="68253876" w14:textId="7C74D2B0" w:rsidR="00A53A2A" w:rsidRPr="00927455" w:rsidRDefault="00A53A2A" w:rsidP="002757C3">
                  <w:pPr>
                    <w:jc w:val="center"/>
                    <w:rPr>
                      <w:szCs w:val="16"/>
                      <w:lang w:val="fr-BE"/>
                    </w:rPr>
                  </w:pPr>
                  <w:r w:rsidRPr="00927455">
                    <w:rPr>
                      <w:szCs w:val="16"/>
                      <w:lang w:val="fr-BE"/>
                    </w:rPr>
                    <w:t>Sprinklage</w:t>
                  </w:r>
                  <w:r w:rsidR="00643F28" w:rsidRPr="00927455">
                    <w:rPr>
                      <w:szCs w:val="16"/>
                      <w:vertAlign w:val="superscript"/>
                      <w:lang w:val="fr-BE"/>
                    </w:rPr>
                    <w:t>1</w:t>
                  </w:r>
                </w:p>
                <w:p w14:paraId="76F3F04A" w14:textId="77777777" w:rsidR="00A53A2A" w:rsidRPr="00927455" w:rsidRDefault="00A53A2A" w:rsidP="002757C3">
                  <w:pPr>
                    <w:jc w:val="center"/>
                    <w:rPr>
                      <w:b/>
                      <w:i/>
                      <w:szCs w:val="16"/>
                      <w:lang w:val="fr-BE"/>
                    </w:rPr>
                  </w:pPr>
                  <w:r w:rsidRPr="00927455">
                    <w:rPr>
                      <w:b/>
                      <w:i/>
                      <w:szCs w:val="16"/>
                      <w:lang w:val="fr-BE"/>
                    </w:rPr>
                    <w:t>OU</w:t>
                  </w:r>
                </w:p>
                <w:p w14:paraId="07563688" w14:textId="77777777" w:rsidR="00A53A2A" w:rsidRPr="00927455" w:rsidRDefault="00A53A2A" w:rsidP="002757C3">
                  <w:pPr>
                    <w:jc w:val="center"/>
                    <w:rPr>
                      <w:szCs w:val="16"/>
                      <w:lang w:val="fr-BE"/>
                    </w:rPr>
                  </w:pPr>
                  <w:r w:rsidRPr="00927455">
                    <w:rPr>
                      <w:szCs w:val="16"/>
                      <w:lang w:val="fr-BE"/>
                    </w:rPr>
                    <w:t>Ouvert</w:t>
                  </w:r>
                </w:p>
              </w:tc>
              <w:tc>
                <w:tcPr>
                  <w:tcW w:w="1273" w:type="dxa"/>
                  <w:tcBorders>
                    <w:top w:val="single" w:sz="4" w:space="0" w:color="auto"/>
                    <w:bottom w:val="single" w:sz="4" w:space="0" w:color="auto"/>
                  </w:tcBorders>
                  <w:shd w:val="pct45" w:color="auto" w:fill="auto"/>
                  <w:vAlign w:val="center"/>
                </w:tcPr>
                <w:p w14:paraId="1176A566" w14:textId="7F57309A" w:rsidR="00A53A2A" w:rsidRPr="00927455" w:rsidRDefault="00A53A2A" w:rsidP="002757C3">
                  <w:pPr>
                    <w:jc w:val="center"/>
                    <w:rPr>
                      <w:szCs w:val="16"/>
                    </w:rPr>
                  </w:pPr>
                  <w:r w:rsidRPr="00927455">
                    <w:rPr>
                      <w:szCs w:val="16"/>
                    </w:rPr>
                    <w:t>EFC</w:t>
                  </w:r>
                  <w:r w:rsidR="00643F28" w:rsidRPr="00927455">
                    <w:rPr>
                      <w:szCs w:val="16"/>
                      <w:vertAlign w:val="superscript"/>
                    </w:rPr>
                    <w:t>1</w:t>
                  </w:r>
                </w:p>
                <w:p w14:paraId="0FB3F10E" w14:textId="77777777" w:rsidR="00A53A2A" w:rsidRPr="00927455" w:rsidRDefault="00A53A2A" w:rsidP="002757C3">
                  <w:pPr>
                    <w:jc w:val="center"/>
                    <w:rPr>
                      <w:szCs w:val="16"/>
                    </w:rPr>
                  </w:pPr>
                  <w:r w:rsidRPr="00927455">
                    <w:rPr>
                      <w:szCs w:val="16"/>
                    </w:rPr>
                    <w:t>&amp;</w:t>
                  </w:r>
                </w:p>
                <w:p w14:paraId="05336601" w14:textId="4EF086EB" w:rsidR="00A53A2A" w:rsidRPr="00927455" w:rsidRDefault="00A53A2A" w:rsidP="002757C3">
                  <w:pPr>
                    <w:jc w:val="center"/>
                    <w:rPr>
                      <w:szCs w:val="16"/>
                    </w:rPr>
                  </w:pPr>
                  <w:r w:rsidRPr="00927455">
                    <w:rPr>
                      <w:szCs w:val="16"/>
                    </w:rPr>
                    <w:t>Sprinklage</w:t>
                  </w:r>
                  <w:r w:rsidR="00643F28" w:rsidRPr="00927455">
                    <w:rPr>
                      <w:szCs w:val="16"/>
                      <w:vertAlign w:val="superscript"/>
                    </w:rPr>
                    <w:t>1</w:t>
                  </w:r>
                </w:p>
                <w:p w14:paraId="1FDCE585" w14:textId="77777777" w:rsidR="00A53A2A" w:rsidRPr="00927455" w:rsidRDefault="00A53A2A" w:rsidP="002757C3">
                  <w:pPr>
                    <w:jc w:val="center"/>
                    <w:rPr>
                      <w:b/>
                      <w:i/>
                      <w:szCs w:val="16"/>
                    </w:rPr>
                  </w:pPr>
                  <w:r w:rsidRPr="00927455">
                    <w:rPr>
                      <w:b/>
                      <w:i/>
                      <w:szCs w:val="16"/>
                    </w:rPr>
                    <w:t>OU</w:t>
                  </w:r>
                </w:p>
                <w:p w14:paraId="785DD8C9" w14:textId="77777777" w:rsidR="00A53A2A" w:rsidRPr="00927455" w:rsidRDefault="00A53A2A" w:rsidP="002757C3">
                  <w:pPr>
                    <w:jc w:val="center"/>
                    <w:rPr>
                      <w:szCs w:val="16"/>
                    </w:rPr>
                  </w:pPr>
                  <w:proofErr w:type="spellStart"/>
                  <w:r w:rsidRPr="00927455">
                    <w:rPr>
                      <w:szCs w:val="16"/>
                    </w:rPr>
                    <w:t>Ouvert</w:t>
                  </w:r>
                  <w:proofErr w:type="spellEnd"/>
                </w:p>
              </w:tc>
              <w:tc>
                <w:tcPr>
                  <w:tcW w:w="1273" w:type="dxa"/>
                  <w:shd w:val="pct45" w:color="auto" w:fill="auto"/>
                  <w:vAlign w:val="center"/>
                </w:tcPr>
                <w:p w14:paraId="43527D12" w14:textId="043BA5E0" w:rsidR="00A53A2A" w:rsidRPr="00927455" w:rsidRDefault="00A53A2A" w:rsidP="002757C3">
                  <w:pPr>
                    <w:jc w:val="center"/>
                    <w:rPr>
                      <w:szCs w:val="16"/>
                    </w:rPr>
                  </w:pPr>
                  <w:r w:rsidRPr="00927455">
                    <w:rPr>
                      <w:szCs w:val="16"/>
                    </w:rPr>
                    <w:t>EFC</w:t>
                  </w:r>
                  <w:r w:rsidR="00643F28" w:rsidRPr="00927455">
                    <w:rPr>
                      <w:szCs w:val="16"/>
                      <w:vertAlign w:val="superscript"/>
                    </w:rPr>
                    <w:t>1</w:t>
                  </w:r>
                </w:p>
                <w:p w14:paraId="4E9504AA" w14:textId="77777777" w:rsidR="00A53A2A" w:rsidRPr="00927455" w:rsidRDefault="00A53A2A" w:rsidP="002757C3">
                  <w:pPr>
                    <w:jc w:val="center"/>
                    <w:rPr>
                      <w:szCs w:val="16"/>
                    </w:rPr>
                  </w:pPr>
                  <w:r w:rsidRPr="00927455">
                    <w:rPr>
                      <w:szCs w:val="16"/>
                    </w:rPr>
                    <w:t>&amp;</w:t>
                  </w:r>
                </w:p>
                <w:p w14:paraId="45E0C187" w14:textId="5657E010" w:rsidR="00A53A2A" w:rsidRPr="00927455" w:rsidRDefault="00A53A2A" w:rsidP="002757C3">
                  <w:pPr>
                    <w:jc w:val="center"/>
                    <w:rPr>
                      <w:szCs w:val="16"/>
                    </w:rPr>
                  </w:pPr>
                  <w:r w:rsidRPr="00927455">
                    <w:rPr>
                      <w:szCs w:val="16"/>
                    </w:rPr>
                    <w:t>Sprinklage</w:t>
                  </w:r>
                  <w:r w:rsidR="00643F28" w:rsidRPr="00927455">
                    <w:rPr>
                      <w:szCs w:val="16"/>
                      <w:vertAlign w:val="superscript"/>
                    </w:rPr>
                    <w:t>1</w:t>
                  </w:r>
                </w:p>
                <w:p w14:paraId="5A6D34BA" w14:textId="77777777" w:rsidR="00A53A2A" w:rsidRPr="00927455" w:rsidRDefault="00A53A2A" w:rsidP="002757C3">
                  <w:pPr>
                    <w:jc w:val="center"/>
                    <w:rPr>
                      <w:b/>
                      <w:i/>
                      <w:szCs w:val="16"/>
                    </w:rPr>
                  </w:pPr>
                  <w:r w:rsidRPr="00927455">
                    <w:rPr>
                      <w:b/>
                      <w:i/>
                      <w:szCs w:val="16"/>
                    </w:rPr>
                    <w:t>OU</w:t>
                  </w:r>
                </w:p>
                <w:p w14:paraId="2A8CB7DC" w14:textId="77777777" w:rsidR="00A53A2A" w:rsidRPr="00927455" w:rsidRDefault="00A53A2A" w:rsidP="002757C3">
                  <w:pPr>
                    <w:jc w:val="center"/>
                    <w:rPr>
                      <w:szCs w:val="16"/>
                    </w:rPr>
                  </w:pPr>
                  <w:proofErr w:type="spellStart"/>
                  <w:r w:rsidRPr="00927455">
                    <w:rPr>
                      <w:szCs w:val="16"/>
                    </w:rPr>
                    <w:t>Ouvert</w:t>
                  </w:r>
                  <w:proofErr w:type="spellEnd"/>
                </w:p>
              </w:tc>
            </w:tr>
            <w:tr w:rsidR="00A53A2A" w:rsidRPr="00927455" w14:paraId="67C116DF" w14:textId="77777777" w:rsidTr="002757C3">
              <w:tc>
                <w:tcPr>
                  <w:tcW w:w="502" w:type="dxa"/>
                  <w:vMerge/>
                  <w:tcBorders>
                    <w:top w:val="single" w:sz="4" w:space="0" w:color="auto"/>
                    <w:bottom w:val="single" w:sz="4" w:space="0" w:color="auto"/>
                  </w:tcBorders>
                  <w:vAlign w:val="center"/>
                </w:tcPr>
                <w:p w14:paraId="1BE1ACB9" w14:textId="77777777" w:rsidR="00A53A2A" w:rsidRPr="00927455" w:rsidRDefault="00A53A2A" w:rsidP="002757C3">
                  <w:pPr>
                    <w:jc w:val="center"/>
                    <w:rPr>
                      <w:szCs w:val="16"/>
                    </w:rPr>
                  </w:pPr>
                </w:p>
              </w:tc>
              <w:tc>
                <w:tcPr>
                  <w:tcW w:w="842" w:type="dxa"/>
                  <w:gridSpan w:val="2"/>
                  <w:tcBorders>
                    <w:top w:val="single" w:sz="4" w:space="0" w:color="auto"/>
                    <w:bottom w:val="single" w:sz="4" w:space="0" w:color="auto"/>
                  </w:tcBorders>
                  <w:vAlign w:val="center"/>
                </w:tcPr>
                <w:p w14:paraId="3BABEE61" w14:textId="77777777" w:rsidR="00A53A2A" w:rsidRPr="00927455" w:rsidRDefault="00A53A2A" w:rsidP="002757C3">
                  <w:pPr>
                    <w:jc w:val="center"/>
                    <w:rPr>
                      <w:szCs w:val="16"/>
                    </w:rPr>
                  </w:pPr>
                  <w:r w:rsidRPr="00927455">
                    <w:rPr>
                      <w:szCs w:val="16"/>
                    </w:rPr>
                    <w:t>7 m</w:t>
                  </w:r>
                </w:p>
                <w:p w14:paraId="4DE4C96B" w14:textId="77777777" w:rsidR="00A53A2A" w:rsidRPr="00927455" w:rsidRDefault="00A53A2A" w:rsidP="002757C3">
                  <w:pPr>
                    <w:jc w:val="center"/>
                    <w:rPr>
                      <w:szCs w:val="16"/>
                    </w:rPr>
                  </w:pPr>
                  <w:r w:rsidRPr="00927455">
                    <w:rPr>
                      <w:szCs w:val="16"/>
                    </w:rPr>
                    <w:t>&lt; p ≤</w:t>
                  </w:r>
                </w:p>
                <w:p w14:paraId="5D0FE0F7" w14:textId="77777777" w:rsidR="00A53A2A" w:rsidRPr="00927455" w:rsidRDefault="00A53A2A" w:rsidP="002757C3">
                  <w:pPr>
                    <w:jc w:val="center"/>
                    <w:rPr>
                      <w:szCs w:val="16"/>
                    </w:rPr>
                  </w:pPr>
                  <w:r w:rsidRPr="00927455">
                    <w:rPr>
                      <w:szCs w:val="16"/>
                    </w:rPr>
                    <w:t>14 m</w:t>
                  </w:r>
                </w:p>
              </w:tc>
              <w:tc>
                <w:tcPr>
                  <w:tcW w:w="703" w:type="dxa"/>
                  <w:vMerge/>
                  <w:vAlign w:val="center"/>
                </w:tcPr>
                <w:p w14:paraId="45364E6E" w14:textId="77777777" w:rsidR="00A53A2A" w:rsidRPr="00927455" w:rsidRDefault="00A53A2A" w:rsidP="002757C3">
                  <w:pPr>
                    <w:jc w:val="center"/>
                    <w:rPr>
                      <w:szCs w:val="16"/>
                    </w:rPr>
                  </w:pPr>
                </w:p>
              </w:tc>
              <w:tc>
                <w:tcPr>
                  <w:tcW w:w="1613" w:type="dxa"/>
                  <w:tcBorders>
                    <w:top w:val="single" w:sz="4" w:space="0" w:color="auto"/>
                    <w:bottom w:val="single" w:sz="4" w:space="0" w:color="auto"/>
                  </w:tcBorders>
                  <w:shd w:val="pct20" w:color="auto" w:fill="auto"/>
                  <w:vAlign w:val="center"/>
                </w:tcPr>
                <w:p w14:paraId="4F6B9E9D" w14:textId="72E1557F" w:rsidR="00A53A2A" w:rsidRPr="00927455" w:rsidRDefault="00A53A2A" w:rsidP="002757C3">
                  <w:pPr>
                    <w:jc w:val="center"/>
                    <w:rPr>
                      <w:szCs w:val="16"/>
                    </w:rPr>
                  </w:pPr>
                  <w:r w:rsidRPr="00927455">
                    <w:rPr>
                      <w:szCs w:val="16"/>
                    </w:rPr>
                    <w:t>EFC</w:t>
                  </w:r>
                  <w:r w:rsidR="00860CE1" w:rsidRPr="00927455">
                    <w:rPr>
                      <w:szCs w:val="16"/>
                      <w:vertAlign w:val="superscript"/>
                    </w:rPr>
                    <w:t>1,2</w:t>
                  </w:r>
                </w:p>
                <w:p w14:paraId="6EB0BFE7" w14:textId="77777777" w:rsidR="00A53A2A" w:rsidRPr="00927455" w:rsidRDefault="00A53A2A" w:rsidP="002757C3">
                  <w:pPr>
                    <w:jc w:val="center"/>
                    <w:rPr>
                      <w:b/>
                      <w:i/>
                      <w:szCs w:val="16"/>
                    </w:rPr>
                  </w:pPr>
                  <w:r w:rsidRPr="00927455">
                    <w:rPr>
                      <w:b/>
                      <w:i/>
                      <w:szCs w:val="16"/>
                    </w:rPr>
                    <w:t>OU</w:t>
                  </w:r>
                </w:p>
                <w:p w14:paraId="0DBEFD14" w14:textId="2BC9CFB3" w:rsidR="00A53A2A" w:rsidRPr="00927455" w:rsidRDefault="00A53A2A" w:rsidP="002757C3">
                  <w:pPr>
                    <w:jc w:val="center"/>
                    <w:rPr>
                      <w:szCs w:val="16"/>
                      <w:vertAlign w:val="superscript"/>
                    </w:rPr>
                  </w:pPr>
                  <w:r w:rsidRPr="00927455">
                    <w:rPr>
                      <w:szCs w:val="16"/>
                    </w:rPr>
                    <w:t>Sprinklage</w:t>
                  </w:r>
                  <w:r w:rsidR="00672752" w:rsidRPr="00927455">
                    <w:rPr>
                      <w:szCs w:val="16"/>
                      <w:vertAlign w:val="superscript"/>
                    </w:rPr>
                    <w:t>1</w:t>
                  </w:r>
                </w:p>
              </w:tc>
              <w:tc>
                <w:tcPr>
                  <w:tcW w:w="1273" w:type="dxa"/>
                  <w:tcBorders>
                    <w:top w:val="single" w:sz="4" w:space="0" w:color="auto"/>
                    <w:bottom w:val="single" w:sz="4" w:space="0" w:color="auto"/>
                  </w:tcBorders>
                  <w:shd w:val="pct30" w:color="auto" w:fill="auto"/>
                  <w:vAlign w:val="center"/>
                </w:tcPr>
                <w:p w14:paraId="72FF9AFD" w14:textId="21BE55DC" w:rsidR="00A53A2A" w:rsidRPr="00927455" w:rsidRDefault="00A53A2A" w:rsidP="002757C3">
                  <w:pPr>
                    <w:jc w:val="center"/>
                    <w:rPr>
                      <w:szCs w:val="16"/>
                    </w:rPr>
                  </w:pPr>
                  <w:r w:rsidRPr="00927455">
                    <w:rPr>
                      <w:szCs w:val="16"/>
                    </w:rPr>
                    <w:t>EFC</w:t>
                  </w:r>
                  <w:r w:rsidR="00860CE1" w:rsidRPr="00927455">
                    <w:rPr>
                      <w:szCs w:val="16"/>
                      <w:vertAlign w:val="superscript"/>
                    </w:rPr>
                    <w:t>1</w:t>
                  </w:r>
                </w:p>
                <w:p w14:paraId="52E9DAFD" w14:textId="77777777" w:rsidR="00A53A2A" w:rsidRPr="00927455" w:rsidRDefault="00A53A2A" w:rsidP="002757C3">
                  <w:pPr>
                    <w:jc w:val="center"/>
                    <w:rPr>
                      <w:b/>
                      <w:i/>
                      <w:szCs w:val="16"/>
                    </w:rPr>
                  </w:pPr>
                  <w:r w:rsidRPr="00927455">
                    <w:rPr>
                      <w:b/>
                      <w:i/>
                      <w:szCs w:val="16"/>
                    </w:rPr>
                    <w:t>OU</w:t>
                  </w:r>
                </w:p>
                <w:p w14:paraId="7082F825" w14:textId="1DF099AA" w:rsidR="00A53A2A" w:rsidRPr="00927455" w:rsidRDefault="00A53A2A" w:rsidP="002757C3">
                  <w:pPr>
                    <w:jc w:val="center"/>
                    <w:rPr>
                      <w:szCs w:val="16"/>
                    </w:rPr>
                  </w:pPr>
                  <w:r w:rsidRPr="00927455">
                    <w:rPr>
                      <w:szCs w:val="16"/>
                    </w:rPr>
                    <w:t>Sprinklage</w:t>
                  </w:r>
                  <w:r w:rsidR="00860CE1" w:rsidRPr="00927455">
                    <w:rPr>
                      <w:szCs w:val="16"/>
                      <w:vertAlign w:val="superscript"/>
                    </w:rPr>
                    <w:t>1</w:t>
                  </w:r>
                </w:p>
              </w:tc>
              <w:tc>
                <w:tcPr>
                  <w:tcW w:w="1273" w:type="dxa"/>
                  <w:vMerge w:val="restart"/>
                  <w:tcBorders>
                    <w:top w:val="single" w:sz="4" w:space="0" w:color="auto"/>
                  </w:tcBorders>
                  <w:shd w:val="pct45" w:color="auto" w:fill="auto"/>
                  <w:vAlign w:val="center"/>
                </w:tcPr>
                <w:p w14:paraId="6B769448" w14:textId="1E33F9BF" w:rsidR="00A53A2A" w:rsidRPr="00927455" w:rsidRDefault="00A53A2A" w:rsidP="002757C3">
                  <w:pPr>
                    <w:jc w:val="center"/>
                    <w:rPr>
                      <w:szCs w:val="16"/>
                    </w:rPr>
                  </w:pPr>
                  <w:r w:rsidRPr="00927455">
                    <w:rPr>
                      <w:szCs w:val="16"/>
                    </w:rPr>
                    <w:t>EFC</w:t>
                  </w:r>
                  <w:r w:rsidR="00643F28" w:rsidRPr="00927455">
                    <w:rPr>
                      <w:szCs w:val="16"/>
                      <w:vertAlign w:val="superscript"/>
                    </w:rPr>
                    <w:t>1</w:t>
                  </w:r>
                </w:p>
                <w:p w14:paraId="3F237D46" w14:textId="77777777" w:rsidR="00A53A2A" w:rsidRPr="00927455" w:rsidRDefault="00A53A2A" w:rsidP="002757C3">
                  <w:pPr>
                    <w:jc w:val="center"/>
                    <w:rPr>
                      <w:szCs w:val="16"/>
                    </w:rPr>
                  </w:pPr>
                  <w:r w:rsidRPr="00927455">
                    <w:rPr>
                      <w:szCs w:val="16"/>
                    </w:rPr>
                    <w:t>&amp;</w:t>
                  </w:r>
                </w:p>
                <w:p w14:paraId="4F89CEA8" w14:textId="4B00E370" w:rsidR="00A53A2A" w:rsidRPr="00927455" w:rsidRDefault="00A53A2A" w:rsidP="002757C3">
                  <w:pPr>
                    <w:jc w:val="center"/>
                    <w:rPr>
                      <w:szCs w:val="16"/>
                    </w:rPr>
                  </w:pPr>
                  <w:r w:rsidRPr="00927455">
                    <w:rPr>
                      <w:szCs w:val="16"/>
                    </w:rPr>
                    <w:t>Sprinklage</w:t>
                  </w:r>
                  <w:r w:rsidR="00643F28" w:rsidRPr="00927455">
                    <w:rPr>
                      <w:szCs w:val="16"/>
                      <w:vertAlign w:val="superscript"/>
                    </w:rPr>
                    <w:t>1</w:t>
                  </w:r>
                </w:p>
              </w:tc>
              <w:tc>
                <w:tcPr>
                  <w:tcW w:w="1273" w:type="dxa"/>
                  <w:vMerge w:val="restart"/>
                  <w:tcBorders>
                    <w:top w:val="single" w:sz="4" w:space="0" w:color="auto"/>
                  </w:tcBorders>
                  <w:shd w:val="pct45" w:color="auto" w:fill="auto"/>
                  <w:vAlign w:val="center"/>
                </w:tcPr>
                <w:p w14:paraId="74C9CFE8" w14:textId="7C220B5D" w:rsidR="00A53A2A" w:rsidRPr="00927455" w:rsidRDefault="00A53A2A" w:rsidP="002757C3">
                  <w:pPr>
                    <w:jc w:val="center"/>
                    <w:rPr>
                      <w:szCs w:val="16"/>
                    </w:rPr>
                  </w:pPr>
                  <w:r w:rsidRPr="00927455">
                    <w:rPr>
                      <w:szCs w:val="16"/>
                    </w:rPr>
                    <w:t>EFC</w:t>
                  </w:r>
                  <w:r w:rsidR="00643F28" w:rsidRPr="00927455">
                    <w:rPr>
                      <w:szCs w:val="16"/>
                      <w:vertAlign w:val="superscript"/>
                    </w:rPr>
                    <w:t>1</w:t>
                  </w:r>
                </w:p>
                <w:p w14:paraId="7D39DF0E" w14:textId="77777777" w:rsidR="00A53A2A" w:rsidRPr="00927455" w:rsidRDefault="00A53A2A" w:rsidP="002757C3">
                  <w:pPr>
                    <w:jc w:val="center"/>
                    <w:rPr>
                      <w:szCs w:val="16"/>
                    </w:rPr>
                  </w:pPr>
                  <w:r w:rsidRPr="00927455">
                    <w:rPr>
                      <w:szCs w:val="16"/>
                    </w:rPr>
                    <w:t>&amp;</w:t>
                  </w:r>
                </w:p>
                <w:p w14:paraId="302F0BF5" w14:textId="411ADA28" w:rsidR="00A53A2A" w:rsidRPr="00927455" w:rsidRDefault="00A53A2A" w:rsidP="002757C3">
                  <w:pPr>
                    <w:jc w:val="center"/>
                    <w:rPr>
                      <w:szCs w:val="16"/>
                    </w:rPr>
                  </w:pPr>
                  <w:r w:rsidRPr="00927455">
                    <w:rPr>
                      <w:szCs w:val="16"/>
                    </w:rPr>
                    <w:t>Sprinklage</w:t>
                  </w:r>
                  <w:r w:rsidR="00643F28" w:rsidRPr="00927455">
                    <w:rPr>
                      <w:szCs w:val="16"/>
                      <w:vertAlign w:val="superscript"/>
                    </w:rPr>
                    <w:t>1</w:t>
                  </w:r>
                </w:p>
              </w:tc>
              <w:tc>
                <w:tcPr>
                  <w:tcW w:w="1273" w:type="dxa"/>
                  <w:vMerge w:val="restart"/>
                  <w:tcBorders>
                    <w:top w:val="single" w:sz="4" w:space="0" w:color="auto"/>
                  </w:tcBorders>
                  <w:shd w:val="pct45" w:color="auto" w:fill="auto"/>
                  <w:vAlign w:val="center"/>
                </w:tcPr>
                <w:p w14:paraId="17EA70D3" w14:textId="3E30159C" w:rsidR="00A53A2A" w:rsidRPr="00927455" w:rsidRDefault="00A53A2A" w:rsidP="002757C3">
                  <w:pPr>
                    <w:jc w:val="center"/>
                    <w:rPr>
                      <w:szCs w:val="16"/>
                    </w:rPr>
                  </w:pPr>
                  <w:r w:rsidRPr="00927455">
                    <w:rPr>
                      <w:szCs w:val="16"/>
                    </w:rPr>
                    <w:t>EFC</w:t>
                  </w:r>
                  <w:r w:rsidR="00643F28" w:rsidRPr="00927455">
                    <w:rPr>
                      <w:szCs w:val="16"/>
                      <w:vertAlign w:val="superscript"/>
                    </w:rPr>
                    <w:t>1</w:t>
                  </w:r>
                </w:p>
                <w:p w14:paraId="17F718AF" w14:textId="77777777" w:rsidR="00A53A2A" w:rsidRPr="00927455" w:rsidRDefault="00A53A2A" w:rsidP="002757C3">
                  <w:pPr>
                    <w:jc w:val="center"/>
                    <w:rPr>
                      <w:szCs w:val="16"/>
                    </w:rPr>
                  </w:pPr>
                  <w:r w:rsidRPr="00927455">
                    <w:rPr>
                      <w:szCs w:val="16"/>
                    </w:rPr>
                    <w:t>&amp;</w:t>
                  </w:r>
                </w:p>
                <w:p w14:paraId="7D7AB6BB" w14:textId="55B9DCC9" w:rsidR="00A53A2A" w:rsidRPr="00927455" w:rsidRDefault="00A53A2A" w:rsidP="002757C3">
                  <w:pPr>
                    <w:jc w:val="center"/>
                    <w:rPr>
                      <w:szCs w:val="16"/>
                    </w:rPr>
                  </w:pPr>
                  <w:r w:rsidRPr="00927455">
                    <w:rPr>
                      <w:szCs w:val="16"/>
                    </w:rPr>
                    <w:t>Sprinklage</w:t>
                  </w:r>
                  <w:r w:rsidR="00643F28" w:rsidRPr="00927455">
                    <w:rPr>
                      <w:szCs w:val="16"/>
                      <w:vertAlign w:val="superscript"/>
                    </w:rPr>
                    <w:t>1</w:t>
                  </w:r>
                </w:p>
              </w:tc>
            </w:tr>
            <w:tr w:rsidR="00A53A2A" w:rsidRPr="00927455" w14:paraId="312A9919" w14:textId="77777777" w:rsidTr="002757C3">
              <w:tc>
                <w:tcPr>
                  <w:tcW w:w="502" w:type="dxa"/>
                  <w:vMerge/>
                  <w:tcBorders>
                    <w:top w:val="single" w:sz="4" w:space="0" w:color="auto"/>
                    <w:bottom w:val="single" w:sz="4" w:space="0" w:color="auto"/>
                  </w:tcBorders>
                  <w:vAlign w:val="center"/>
                </w:tcPr>
                <w:p w14:paraId="75975B6D" w14:textId="77777777" w:rsidR="00A53A2A" w:rsidRPr="00927455" w:rsidRDefault="00A53A2A" w:rsidP="002757C3">
                  <w:pPr>
                    <w:jc w:val="center"/>
                    <w:rPr>
                      <w:szCs w:val="16"/>
                    </w:rPr>
                  </w:pPr>
                </w:p>
              </w:tc>
              <w:tc>
                <w:tcPr>
                  <w:tcW w:w="842" w:type="dxa"/>
                  <w:gridSpan w:val="2"/>
                  <w:tcBorders>
                    <w:top w:val="single" w:sz="4" w:space="0" w:color="auto"/>
                    <w:bottom w:val="single" w:sz="4" w:space="0" w:color="auto"/>
                  </w:tcBorders>
                  <w:vAlign w:val="center"/>
                </w:tcPr>
                <w:p w14:paraId="4A9B4C73" w14:textId="77777777" w:rsidR="00A53A2A" w:rsidRPr="00927455" w:rsidRDefault="00A53A2A" w:rsidP="002757C3">
                  <w:pPr>
                    <w:jc w:val="center"/>
                    <w:rPr>
                      <w:szCs w:val="16"/>
                    </w:rPr>
                  </w:pPr>
                  <w:r w:rsidRPr="00927455">
                    <w:rPr>
                      <w:szCs w:val="16"/>
                    </w:rPr>
                    <w:t>14 m</w:t>
                  </w:r>
                </w:p>
                <w:p w14:paraId="42D0A853" w14:textId="77777777" w:rsidR="00A53A2A" w:rsidRPr="00927455" w:rsidRDefault="00A53A2A" w:rsidP="002757C3">
                  <w:pPr>
                    <w:jc w:val="center"/>
                    <w:rPr>
                      <w:szCs w:val="16"/>
                    </w:rPr>
                  </w:pPr>
                  <w:r w:rsidRPr="00927455">
                    <w:rPr>
                      <w:szCs w:val="16"/>
                    </w:rPr>
                    <w:t>&lt; p ≤</w:t>
                  </w:r>
                </w:p>
                <w:p w14:paraId="59D65C1B" w14:textId="77777777" w:rsidR="00A53A2A" w:rsidRPr="00927455" w:rsidRDefault="00A53A2A" w:rsidP="002757C3">
                  <w:pPr>
                    <w:jc w:val="center"/>
                    <w:rPr>
                      <w:szCs w:val="16"/>
                    </w:rPr>
                  </w:pPr>
                  <w:r w:rsidRPr="00927455">
                    <w:rPr>
                      <w:szCs w:val="16"/>
                    </w:rPr>
                    <w:t>21 m</w:t>
                  </w:r>
                </w:p>
              </w:tc>
              <w:tc>
                <w:tcPr>
                  <w:tcW w:w="703" w:type="dxa"/>
                  <w:vMerge/>
                  <w:vAlign w:val="center"/>
                </w:tcPr>
                <w:p w14:paraId="0F985D7D" w14:textId="77777777" w:rsidR="00A53A2A" w:rsidRPr="00927455" w:rsidRDefault="00A53A2A" w:rsidP="002757C3">
                  <w:pPr>
                    <w:jc w:val="center"/>
                    <w:rPr>
                      <w:szCs w:val="16"/>
                    </w:rPr>
                  </w:pPr>
                </w:p>
              </w:tc>
              <w:tc>
                <w:tcPr>
                  <w:tcW w:w="1613" w:type="dxa"/>
                  <w:tcBorders>
                    <w:top w:val="single" w:sz="4" w:space="0" w:color="auto"/>
                    <w:bottom w:val="single" w:sz="4" w:space="0" w:color="auto"/>
                  </w:tcBorders>
                  <w:shd w:val="pct30" w:color="auto" w:fill="auto"/>
                  <w:vAlign w:val="center"/>
                </w:tcPr>
                <w:p w14:paraId="63474A8B" w14:textId="13FEDFF6" w:rsidR="00A53A2A" w:rsidRPr="00927455" w:rsidRDefault="00A53A2A" w:rsidP="002757C3">
                  <w:pPr>
                    <w:jc w:val="center"/>
                    <w:rPr>
                      <w:szCs w:val="16"/>
                      <w:vertAlign w:val="superscript"/>
                    </w:rPr>
                  </w:pPr>
                  <w:r w:rsidRPr="00927455">
                    <w:rPr>
                      <w:szCs w:val="16"/>
                    </w:rPr>
                    <w:t>EFC</w:t>
                  </w:r>
                  <w:r w:rsidR="00860CE1" w:rsidRPr="00927455">
                    <w:rPr>
                      <w:szCs w:val="16"/>
                      <w:vertAlign w:val="superscript"/>
                    </w:rPr>
                    <w:t>1</w:t>
                  </w:r>
                </w:p>
                <w:p w14:paraId="410390EF" w14:textId="77777777" w:rsidR="00A53A2A" w:rsidRPr="00927455" w:rsidRDefault="00A53A2A" w:rsidP="002757C3">
                  <w:pPr>
                    <w:jc w:val="center"/>
                    <w:rPr>
                      <w:b/>
                      <w:i/>
                      <w:szCs w:val="16"/>
                    </w:rPr>
                  </w:pPr>
                  <w:r w:rsidRPr="00927455">
                    <w:rPr>
                      <w:b/>
                      <w:i/>
                      <w:szCs w:val="16"/>
                    </w:rPr>
                    <w:t>OU</w:t>
                  </w:r>
                </w:p>
                <w:p w14:paraId="40DC03E1" w14:textId="66BFC81B" w:rsidR="00A53A2A" w:rsidRPr="00927455" w:rsidRDefault="00A53A2A" w:rsidP="002757C3">
                  <w:pPr>
                    <w:jc w:val="center"/>
                    <w:rPr>
                      <w:szCs w:val="16"/>
                      <w:vertAlign w:val="superscript"/>
                    </w:rPr>
                  </w:pPr>
                  <w:r w:rsidRPr="00927455">
                    <w:rPr>
                      <w:szCs w:val="16"/>
                    </w:rPr>
                    <w:t>Sprinklage</w:t>
                  </w:r>
                  <w:r w:rsidR="00860CE1" w:rsidRPr="00927455">
                    <w:rPr>
                      <w:szCs w:val="16"/>
                      <w:vertAlign w:val="superscript"/>
                    </w:rPr>
                    <w:t>1</w:t>
                  </w:r>
                </w:p>
              </w:tc>
              <w:tc>
                <w:tcPr>
                  <w:tcW w:w="1273" w:type="dxa"/>
                  <w:vMerge w:val="restart"/>
                  <w:tcBorders>
                    <w:top w:val="single" w:sz="4" w:space="0" w:color="auto"/>
                  </w:tcBorders>
                  <w:shd w:val="pct45" w:color="auto" w:fill="auto"/>
                  <w:vAlign w:val="center"/>
                </w:tcPr>
                <w:p w14:paraId="538DAD86" w14:textId="150CA5A1" w:rsidR="00A53A2A" w:rsidRPr="00927455" w:rsidRDefault="00A53A2A" w:rsidP="002757C3">
                  <w:pPr>
                    <w:jc w:val="center"/>
                    <w:rPr>
                      <w:szCs w:val="16"/>
                      <w:vertAlign w:val="superscript"/>
                    </w:rPr>
                  </w:pPr>
                  <w:r w:rsidRPr="00927455">
                    <w:rPr>
                      <w:szCs w:val="16"/>
                    </w:rPr>
                    <w:t>EFC</w:t>
                  </w:r>
                  <w:r w:rsidR="00860CE1" w:rsidRPr="00927455">
                    <w:rPr>
                      <w:szCs w:val="16"/>
                      <w:vertAlign w:val="superscript"/>
                    </w:rPr>
                    <w:t>1</w:t>
                  </w:r>
                </w:p>
                <w:p w14:paraId="7D46BEE6" w14:textId="77777777" w:rsidR="00A53A2A" w:rsidRPr="00927455" w:rsidRDefault="00A53A2A" w:rsidP="002757C3">
                  <w:pPr>
                    <w:jc w:val="center"/>
                    <w:rPr>
                      <w:szCs w:val="16"/>
                    </w:rPr>
                  </w:pPr>
                  <w:r w:rsidRPr="00927455">
                    <w:rPr>
                      <w:szCs w:val="16"/>
                    </w:rPr>
                    <w:t>&amp;</w:t>
                  </w:r>
                </w:p>
                <w:p w14:paraId="1E1679DD" w14:textId="666CB0B6" w:rsidR="00A53A2A" w:rsidRPr="00927455" w:rsidRDefault="00A53A2A" w:rsidP="002757C3">
                  <w:pPr>
                    <w:jc w:val="center"/>
                    <w:rPr>
                      <w:szCs w:val="16"/>
                      <w:vertAlign w:val="superscript"/>
                    </w:rPr>
                  </w:pPr>
                  <w:r w:rsidRPr="00927455">
                    <w:rPr>
                      <w:szCs w:val="16"/>
                    </w:rPr>
                    <w:t>Sprinklage</w:t>
                  </w:r>
                  <w:r w:rsidR="00860CE1" w:rsidRPr="00927455">
                    <w:rPr>
                      <w:szCs w:val="16"/>
                      <w:vertAlign w:val="superscript"/>
                    </w:rPr>
                    <w:t>1</w:t>
                  </w:r>
                </w:p>
              </w:tc>
              <w:tc>
                <w:tcPr>
                  <w:tcW w:w="1273" w:type="dxa"/>
                  <w:vMerge/>
                  <w:shd w:val="pct45" w:color="auto" w:fill="auto"/>
                  <w:vAlign w:val="center"/>
                </w:tcPr>
                <w:p w14:paraId="5F4DD3F2" w14:textId="77777777" w:rsidR="00A53A2A" w:rsidRPr="00927455" w:rsidRDefault="00A53A2A" w:rsidP="002757C3">
                  <w:pPr>
                    <w:jc w:val="center"/>
                    <w:rPr>
                      <w:szCs w:val="16"/>
                    </w:rPr>
                  </w:pPr>
                </w:p>
              </w:tc>
              <w:tc>
                <w:tcPr>
                  <w:tcW w:w="1273" w:type="dxa"/>
                  <w:vMerge/>
                  <w:shd w:val="pct45" w:color="auto" w:fill="auto"/>
                  <w:vAlign w:val="center"/>
                </w:tcPr>
                <w:p w14:paraId="47C8E1C0" w14:textId="77777777" w:rsidR="00A53A2A" w:rsidRPr="00927455" w:rsidRDefault="00A53A2A" w:rsidP="002757C3">
                  <w:pPr>
                    <w:jc w:val="center"/>
                    <w:rPr>
                      <w:szCs w:val="16"/>
                    </w:rPr>
                  </w:pPr>
                </w:p>
              </w:tc>
              <w:tc>
                <w:tcPr>
                  <w:tcW w:w="1273" w:type="dxa"/>
                  <w:vMerge/>
                  <w:shd w:val="pct45" w:color="auto" w:fill="auto"/>
                  <w:vAlign w:val="center"/>
                </w:tcPr>
                <w:p w14:paraId="00895FBD" w14:textId="77777777" w:rsidR="00A53A2A" w:rsidRPr="00927455" w:rsidRDefault="00A53A2A" w:rsidP="002757C3">
                  <w:pPr>
                    <w:jc w:val="center"/>
                    <w:rPr>
                      <w:szCs w:val="16"/>
                    </w:rPr>
                  </w:pPr>
                </w:p>
              </w:tc>
            </w:tr>
            <w:tr w:rsidR="00A53A2A" w:rsidRPr="00927455" w14:paraId="53A07CDE" w14:textId="77777777" w:rsidTr="002757C3">
              <w:tc>
                <w:tcPr>
                  <w:tcW w:w="502" w:type="dxa"/>
                  <w:vMerge/>
                  <w:tcBorders>
                    <w:top w:val="single" w:sz="4" w:space="0" w:color="auto"/>
                  </w:tcBorders>
                  <w:vAlign w:val="center"/>
                </w:tcPr>
                <w:p w14:paraId="4A4019D7" w14:textId="77777777" w:rsidR="00A53A2A" w:rsidRPr="00927455" w:rsidRDefault="00A53A2A" w:rsidP="002757C3">
                  <w:pPr>
                    <w:jc w:val="center"/>
                    <w:rPr>
                      <w:szCs w:val="16"/>
                    </w:rPr>
                  </w:pPr>
                </w:p>
              </w:tc>
              <w:tc>
                <w:tcPr>
                  <w:tcW w:w="842" w:type="dxa"/>
                  <w:gridSpan w:val="2"/>
                  <w:tcBorders>
                    <w:top w:val="single" w:sz="4" w:space="0" w:color="auto"/>
                  </w:tcBorders>
                  <w:vAlign w:val="center"/>
                </w:tcPr>
                <w:p w14:paraId="182C3692" w14:textId="77777777" w:rsidR="00A53A2A" w:rsidRPr="00927455" w:rsidRDefault="00A53A2A" w:rsidP="002757C3">
                  <w:pPr>
                    <w:jc w:val="center"/>
                    <w:rPr>
                      <w:szCs w:val="16"/>
                    </w:rPr>
                  </w:pPr>
                  <w:r w:rsidRPr="00927455">
                    <w:rPr>
                      <w:szCs w:val="16"/>
                    </w:rPr>
                    <w:t>&gt; 21 m</w:t>
                  </w:r>
                </w:p>
              </w:tc>
              <w:tc>
                <w:tcPr>
                  <w:tcW w:w="703" w:type="dxa"/>
                  <w:vMerge/>
                  <w:vAlign w:val="center"/>
                </w:tcPr>
                <w:p w14:paraId="73363895" w14:textId="77777777" w:rsidR="00A53A2A" w:rsidRPr="00927455" w:rsidRDefault="00A53A2A" w:rsidP="002757C3">
                  <w:pPr>
                    <w:jc w:val="center"/>
                    <w:rPr>
                      <w:szCs w:val="16"/>
                    </w:rPr>
                  </w:pPr>
                </w:p>
              </w:tc>
              <w:tc>
                <w:tcPr>
                  <w:tcW w:w="1613" w:type="dxa"/>
                  <w:tcBorders>
                    <w:top w:val="single" w:sz="4" w:space="0" w:color="auto"/>
                  </w:tcBorders>
                  <w:shd w:val="pct45" w:color="auto" w:fill="auto"/>
                  <w:vAlign w:val="center"/>
                </w:tcPr>
                <w:p w14:paraId="02259927" w14:textId="33E28B74" w:rsidR="00A53A2A" w:rsidRPr="00927455" w:rsidRDefault="00A53A2A" w:rsidP="002757C3">
                  <w:pPr>
                    <w:jc w:val="center"/>
                    <w:rPr>
                      <w:szCs w:val="16"/>
                      <w:vertAlign w:val="superscript"/>
                    </w:rPr>
                  </w:pPr>
                  <w:r w:rsidRPr="00927455">
                    <w:rPr>
                      <w:szCs w:val="16"/>
                    </w:rPr>
                    <w:t>EFC</w:t>
                  </w:r>
                  <w:r w:rsidR="00860CE1" w:rsidRPr="00927455">
                    <w:rPr>
                      <w:szCs w:val="16"/>
                      <w:vertAlign w:val="superscript"/>
                    </w:rPr>
                    <w:t>1</w:t>
                  </w:r>
                </w:p>
                <w:p w14:paraId="77712BBB" w14:textId="77777777" w:rsidR="00A53A2A" w:rsidRPr="00927455" w:rsidRDefault="00A53A2A" w:rsidP="002757C3">
                  <w:pPr>
                    <w:jc w:val="center"/>
                    <w:rPr>
                      <w:szCs w:val="16"/>
                    </w:rPr>
                  </w:pPr>
                  <w:r w:rsidRPr="00927455">
                    <w:rPr>
                      <w:szCs w:val="16"/>
                    </w:rPr>
                    <w:t>&amp;</w:t>
                  </w:r>
                </w:p>
                <w:p w14:paraId="4BA7987A" w14:textId="213AC5B7" w:rsidR="00A53A2A" w:rsidRPr="00927455" w:rsidRDefault="00A53A2A" w:rsidP="002757C3">
                  <w:pPr>
                    <w:jc w:val="center"/>
                    <w:rPr>
                      <w:szCs w:val="16"/>
                      <w:vertAlign w:val="superscript"/>
                    </w:rPr>
                  </w:pPr>
                  <w:r w:rsidRPr="00927455">
                    <w:rPr>
                      <w:szCs w:val="16"/>
                    </w:rPr>
                    <w:t>Sprinklage</w:t>
                  </w:r>
                  <w:r w:rsidR="00860CE1" w:rsidRPr="00927455">
                    <w:rPr>
                      <w:szCs w:val="16"/>
                      <w:vertAlign w:val="superscript"/>
                    </w:rPr>
                    <w:t>1</w:t>
                  </w:r>
                </w:p>
              </w:tc>
              <w:tc>
                <w:tcPr>
                  <w:tcW w:w="1273" w:type="dxa"/>
                  <w:vMerge/>
                  <w:shd w:val="pct45" w:color="auto" w:fill="auto"/>
                  <w:vAlign w:val="center"/>
                </w:tcPr>
                <w:p w14:paraId="77914E51" w14:textId="77777777" w:rsidR="00A53A2A" w:rsidRPr="00927455" w:rsidRDefault="00A53A2A" w:rsidP="002757C3">
                  <w:pPr>
                    <w:jc w:val="center"/>
                    <w:rPr>
                      <w:szCs w:val="16"/>
                    </w:rPr>
                  </w:pPr>
                </w:p>
              </w:tc>
              <w:tc>
                <w:tcPr>
                  <w:tcW w:w="1273" w:type="dxa"/>
                  <w:vMerge/>
                  <w:shd w:val="pct45" w:color="auto" w:fill="auto"/>
                  <w:vAlign w:val="center"/>
                </w:tcPr>
                <w:p w14:paraId="1C767D01" w14:textId="77777777" w:rsidR="00A53A2A" w:rsidRPr="00927455" w:rsidRDefault="00A53A2A" w:rsidP="002757C3">
                  <w:pPr>
                    <w:rPr>
                      <w:szCs w:val="16"/>
                    </w:rPr>
                  </w:pPr>
                </w:p>
              </w:tc>
              <w:tc>
                <w:tcPr>
                  <w:tcW w:w="1273" w:type="dxa"/>
                  <w:vMerge/>
                  <w:shd w:val="pct45" w:color="auto" w:fill="auto"/>
                  <w:vAlign w:val="center"/>
                </w:tcPr>
                <w:p w14:paraId="08A64158" w14:textId="77777777" w:rsidR="00A53A2A" w:rsidRPr="00927455" w:rsidRDefault="00A53A2A" w:rsidP="002757C3">
                  <w:pPr>
                    <w:jc w:val="center"/>
                    <w:rPr>
                      <w:szCs w:val="16"/>
                    </w:rPr>
                  </w:pPr>
                </w:p>
              </w:tc>
              <w:tc>
                <w:tcPr>
                  <w:tcW w:w="1273" w:type="dxa"/>
                  <w:vMerge/>
                  <w:shd w:val="pct45" w:color="auto" w:fill="auto"/>
                  <w:vAlign w:val="center"/>
                </w:tcPr>
                <w:p w14:paraId="6D25865D" w14:textId="77777777" w:rsidR="00A53A2A" w:rsidRPr="00927455" w:rsidRDefault="00A53A2A" w:rsidP="002757C3">
                  <w:pPr>
                    <w:jc w:val="center"/>
                    <w:rPr>
                      <w:szCs w:val="16"/>
                    </w:rPr>
                  </w:pPr>
                </w:p>
              </w:tc>
            </w:tr>
          </w:tbl>
          <w:p w14:paraId="4EE33DD2" w14:textId="77777777" w:rsidR="00A53A2A" w:rsidRPr="00927455" w:rsidRDefault="00A53A2A" w:rsidP="002757C3">
            <w:pPr>
              <w:pStyle w:val="Paragraphedeliste"/>
              <w:widowControl w:val="0"/>
              <w:tabs>
                <w:tab w:val="left" w:pos="-549"/>
                <w:tab w:val="left" w:pos="1080"/>
              </w:tabs>
              <w:ind w:left="360" w:hanging="360"/>
              <w:jc w:val="both"/>
              <w:rPr>
                <w:rFonts w:cs="Times New Roman"/>
                <w:lang w:eastAsia="nl-NL"/>
              </w:rPr>
            </w:pPr>
          </w:p>
        </w:tc>
      </w:tr>
    </w:tbl>
    <w:tbl>
      <w:tblPr>
        <w:tblStyle w:val="Grilledutableau"/>
        <w:tblW w:w="0" w:type="auto"/>
        <w:tblLook w:val="04A0" w:firstRow="1" w:lastRow="0" w:firstColumn="1" w:lastColumn="0" w:noHBand="0" w:noVBand="1"/>
      </w:tblPr>
      <w:tblGrid>
        <w:gridCol w:w="4524"/>
      </w:tblGrid>
      <w:tr w:rsidR="007522B5" w:rsidRPr="00927455" w14:paraId="621E36D2" w14:textId="77777777" w:rsidTr="004F667F">
        <w:tc>
          <w:tcPr>
            <w:tcW w:w="4524" w:type="dxa"/>
          </w:tcPr>
          <w:p w14:paraId="0DBE8C6F" w14:textId="77777777" w:rsidR="007522B5" w:rsidRPr="00927455" w:rsidRDefault="007522B5" w:rsidP="003774D1">
            <w:pPr>
              <w:rPr>
                <w:lang w:val="fr-BE"/>
              </w:rPr>
            </w:pPr>
          </w:p>
        </w:tc>
      </w:tr>
      <w:tr w:rsidR="007522B5" w:rsidRPr="00754BD6" w14:paraId="00CD22BF" w14:textId="77777777" w:rsidTr="004F667F">
        <w:tc>
          <w:tcPr>
            <w:tcW w:w="4524" w:type="dxa"/>
          </w:tcPr>
          <w:p w14:paraId="0CD031D5" w14:textId="3CD90362" w:rsidR="007522B5" w:rsidRPr="00927455" w:rsidRDefault="007522B5" w:rsidP="00DD7F4D">
            <w:pPr>
              <w:rPr>
                <w:lang w:val="fr-BE"/>
              </w:rPr>
            </w:pPr>
            <w:r w:rsidRPr="00927455">
              <w:rPr>
                <w:lang w:val="fr-BE"/>
              </w:rPr>
              <w:t>(*)</w:t>
            </w:r>
            <w:r w:rsidRPr="00927455">
              <w:rPr>
                <w:lang w:val="fr-BE"/>
              </w:rPr>
              <w:tab/>
              <w:t>Pour les parkings sans ascenseur voiture, cette limite est relevée à 625 m² à condition qu’aucun point du parking ne se trouve à une distance supérieure à 45 m de l’entrée du parking destinée à l’intervention du service d’incendie (</w:t>
            </w:r>
            <w:proofErr w:type="spellStart"/>
            <w:r w:rsidRPr="00927455">
              <w:rPr>
                <w:lang w:val="fr-BE"/>
              </w:rPr>
              <w:t>cfr</w:t>
            </w:r>
            <w:proofErr w:type="spellEnd"/>
            <w:r w:rsidRPr="00927455">
              <w:rPr>
                <w:lang w:val="fr-BE"/>
              </w:rPr>
              <w:t>. point 7.2 de l’annexe 1).</w:t>
            </w:r>
          </w:p>
          <w:p w14:paraId="6C639965" w14:textId="4400ACE1" w:rsidR="007522B5" w:rsidRPr="00927455" w:rsidRDefault="007522B5" w:rsidP="00DD7F4D">
            <w:pPr>
              <w:rPr>
                <w:lang w:val="fr-BE"/>
              </w:rPr>
            </w:pPr>
          </w:p>
          <w:p w14:paraId="2B5A355C" w14:textId="263DDA70" w:rsidR="007522B5" w:rsidRPr="00927455" w:rsidRDefault="007522B5" w:rsidP="00DD7F4D">
            <w:pPr>
              <w:rPr>
                <w:lang w:val="fr-BE"/>
              </w:rPr>
            </w:pPr>
            <w:r w:rsidRPr="00927455">
              <w:rPr>
                <w:lang w:val="fr-BE"/>
              </w:rPr>
              <w:lastRenderedPageBreak/>
              <w:t>EFC</w:t>
            </w:r>
            <w:r w:rsidRPr="00927455">
              <w:rPr>
                <w:vertAlign w:val="superscript"/>
                <w:lang w:val="fr-BE"/>
              </w:rPr>
              <w:t>#</w:t>
            </w:r>
            <w:r w:rsidRPr="00927455">
              <w:rPr>
                <w:lang w:val="fr-BE"/>
              </w:rPr>
              <w:t xml:space="preserve"> = EFC de type #</w:t>
            </w:r>
          </w:p>
          <w:p w14:paraId="152A18AE" w14:textId="69A3BF8A" w:rsidR="007522B5" w:rsidRPr="00927455" w:rsidRDefault="007522B5" w:rsidP="00DD7F4D">
            <w:pPr>
              <w:rPr>
                <w:lang w:val="fr-BE"/>
              </w:rPr>
            </w:pPr>
            <w:r w:rsidRPr="00927455">
              <w:rPr>
                <w:lang w:val="fr-BE"/>
              </w:rPr>
              <w:t>Sprinklage</w:t>
            </w:r>
            <w:r w:rsidRPr="00927455">
              <w:rPr>
                <w:vertAlign w:val="superscript"/>
                <w:lang w:val="fr-BE"/>
              </w:rPr>
              <w:t>#</w:t>
            </w:r>
            <w:r w:rsidRPr="00927455">
              <w:rPr>
                <w:lang w:val="fr-BE"/>
              </w:rPr>
              <w:t xml:space="preserve"> = Sprinklage de type #</w:t>
            </w:r>
          </w:p>
          <w:p w14:paraId="2849F825" w14:textId="77777777" w:rsidR="007522B5" w:rsidRPr="00927455" w:rsidRDefault="007522B5" w:rsidP="00DD7F4D">
            <w:pPr>
              <w:rPr>
                <w:lang w:val="fr-BE"/>
              </w:rPr>
            </w:pPr>
          </w:p>
          <w:p w14:paraId="38C16F58" w14:textId="77777777" w:rsidR="007522B5" w:rsidRPr="00927455" w:rsidRDefault="007522B5" w:rsidP="00DD7F4D">
            <w:pPr>
              <w:rPr>
                <w:lang w:val="fr-BE"/>
              </w:rPr>
            </w:pPr>
            <w:r w:rsidRPr="00927455">
              <w:rPr>
                <w:lang w:val="fr-BE"/>
              </w:rPr>
              <w:t>Tous les niveaux de parking sous-sol, à l’exception des niveaux ouverts, doivent être du même type de protection. Et tous les niveaux de parking hors-sol, à l’exception des niveaux ouverts, doivent être du même type de protection. Mais le type de protection des niveaux hors-sol peut être différent de celui des niveaux sous-sol.</w:t>
            </w:r>
          </w:p>
          <w:p w14:paraId="6FD95CE1" w14:textId="77777777" w:rsidR="007522B5" w:rsidRPr="00927455" w:rsidRDefault="007522B5" w:rsidP="00DD7F4D">
            <w:pPr>
              <w:rPr>
                <w:lang w:val="fr-BE"/>
              </w:rPr>
            </w:pPr>
          </w:p>
        </w:tc>
      </w:tr>
      <w:tr w:rsidR="007522B5" w:rsidRPr="00754BD6" w14:paraId="569AD221" w14:textId="77777777" w:rsidTr="002757C3">
        <w:tc>
          <w:tcPr>
            <w:tcW w:w="4524" w:type="dxa"/>
          </w:tcPr>
          <w:p w14:paraId="70FE7341" w14:textId="77777777" w:rsidR="007522B5" w:rsidRPr="00927455" w:rsidRDefault="007522B5" w:rsidP="004A7BE9">
            <w:pPr>
              <w:rPr>
                <w:b/>
                <w:lang w:val="fr-BE"/>
              </w:rPr>
            </w:pPr>
            <w:r w:rsidRPr="00927455">
              <w:rPr>
                <w:b/>
                <w:lang w:val="fr-BE"/>
              </w:rPr>
              <w:lastRenderedPageBreak/>
              <w:t>3.3.2</w:t>
            </w:r>
            <w:r w:rsidRPr="00927455">
              <w:rPr>
                <w:b/>
                <w:lang w:val="fr-BE"/>
              </w:rPr>
              <w:tab/>
              <w:t>Installation de détection incendie et d’alarme</w:t>
            </w:r>
          </w:p>
          <w:p w14:paraId="6C986BDD" w14:textId="77777777" w:rsidR="007522B5" w:rsidRPr="00927455" w:rsidRDefault="007522B5" w:rsidP="004A7BE9">
            <w:pPr>
              <w:rPr>
                <w:lang w:val="fr-BE"/>
              </w:rPr>
            </w:pPr>
            <w:r w:rsidRPr="00927455">
              <w:rPr>
                <w:lang w:val="fr-BE"/>
              </w:rPr>
              <w:tab/>
              <w:t>Les niveaux de parking sont équipés d’une installation de détection automatique des incendies et d’alarme qui surveille l’ensemble du parking (y compris les locaux inclus).</w:t>
            </w:r>
          </w:p>
          <w:p w14:paraId="2E6EE2D0" w14:textId="77777777" w:rsidR="007522B5" w:rsidRPr="00927455" w:rsidRDefault="007522B5" w:rsidP="004A7BE9">
            <w:pPr>
              <w:rPr>
                <w:lang w:val="fr-BE"/>
              </w:rPr>
            </w:pPr>
          </w:p>
          <w:p w14:paraId="6F002432" w14:textId="77777777" w:rsidR="007522B5" w:rsidRPr="00927455" w:rsidRDefault="007522B5" w:rsidP="004A7BE9">
            <w:pPr>
              <w:rPr>
                <w:lang w:val="fr-BE"/>
              </w:rPr>
            </w:pPr>
            <w:r w:rsidRPr="00927455">
              <w:rPr>
                <w:lang w:val="fr-BE"/>
              </w:rPr>
              <w:t>Cette exigence n’est pas d’application :</w:t>
            </w:r>
          </w:p>
          <w:p w14:paraId="73797BCF" w14:textId="77777777" w:rsidR="007522B5" w:rsidRPr="00927455" w:rsidRDefault="007522B5" w:rsidP="004A7BE9">
            <w:pPr>
              <w:rPr>
                <w:lang w:val="fr-BE"/>
              </w:rPr>
            </w:pPr>
            <w:r w:rsidRPr="00927455">
              <w:rPr>
                <w:lang w:val="fr-BE"/>
              </w:rPr>
              <w:t>a)</w:t>
            </w:r>
            <w:r w:rsidRPr="00927455">
              <w:rPr>
                <w:lang w:val="fr-BE"/>
              </w:rPr>
              <w:tab/>
              <w:t>aux parkings ayant une superficie totale inférieure ou égale à la limite mentionnée au point 3.3.1 au-dessus de laquelle l’un des types de protection doit être mis en œuvre à chaque niveau de parking ;</w:t>
            </w:r>
          </w:p>
          <w:p w14:paraId="168FB8E6" w14:textId="77777777" w:rsidR="007522B5" w:rsidRPr="00927455" w:rsidRDefault="007522B5" w:rsidP="004A7BE9">
            <w:pPr>
              <w:rPr>
                <w:lang w:val="fr-BE"/>
              </w:rPr>
            </w:pPr>
            <w:r w:rsidRPr="00927455">
              <w:rPr>
                <w:lang w:val="fr-BE"/>
              </w:rPr>
              <w:t>b)</w:t>
            </w:r>
            <w:r w:rsidRPr="00927455">
              <w:rPr>
                <w:lang w:val="fr-BE"/>
              </w:rPr>
              <w:tab/>
              <w:t>aux parkings exclusivement de type "Baie de ventilation" ou "Ouvert", à condition :</w:t>
            </w:r>
          </w:p>
          <w:p w14:paraId="22B51D68" w14:textId="77777777" w:rsidR="007522B5" w:rsidRPr="00927455" w:rsidRDefault="007522B5" w:rsidP="004A7BE9">
            <w:pPr>
              <w:rPr>
                <w:lang w:val="fr-BE"/>
              </w:rPr>
            </w:pPr>
            <w:r w:rsidRPr="00927455">
              <w:rPr>
                <w:lang w:val="fr-BE"/>
              </w:rPr>
              <w:t>-</w:t>
            </w:r>
            <w:r w:rsidRPr="00927455">
              <w:rPr>
                <w:lang w:val="fr-BE"/>
              </w:rPr>
              <w:tab/>
              <w:t>qu’il n’y ait pas de sous-compartimentage ;</w:t>
            </w:r>
          </w:p>
          <w:p w14:paraId="1935EE0F" w14:textId="0085F974" w:rsidR="007522B5" w:rsidRPr="00927455" w:rsidRDefault="007522B5" w:rsidP="004A7BE9">
            <w:pPr>
              <w:rPr>
                <w:lang w:val="fr-BE"/>
              </w:rPr>
            </w:pPr>
            <w:r w:rsidRPr="00927455">
              <w:rPr>
                <w:lang w:val="fr-BE"/>
              </w:rPr>
              <w:t>-</w:t>
            </w:r>
            <w:r w:rsidRPr="00927455">
              <w:rPr>
                <w:lang w:val="fr-BE"/>
              </w:rPr>
              <w:tab/>
              <w:t>qu’outre des portes à fermeture automatique en cas d’incendie, il n’y ait pas d’autres équipement dont l’asservissement à la détection incendie soit requis ;et qu’il ne comporte pas d’ascenseur voiture.</w:t>
            </w:r>
          </w:p>
          <w:p w14:paraId="44FA6FAB" w14:textId="77777777" w:rsidR="007522B5" w:rsidRPr="00927455" w:rsidRDefault="007522B5" w:rsidP="002757C3">
            <w:pPr>
              <w:rPr>
                <w:lang w:val="fr-BE"/>
              </w:rPr>
            </w:pPr>
          </w:p>
        </w:tc>
      </w:tr>
      <w:tr w:rsidR="007522B5" w:rsidRPr="00754BD6" w14:paraId="77C9A232" w14:textId="77777777" w:rsidTr="002757C3">
        <w:tc>
          <w:tcPr>
            <w:tcW w:w="4524" w:type="dxa"/>
          </w:tcPr>
          <w:p w14:paraId="726809F9" w14:textId="77777777" w:rsidR="007522B5" w:rsidRPr="00927455" w:rsidRDefault="007522B5" w:rsidP="004A7BE9">
            <w:pPr>
              <w:rPr>
                <w:lang w:val="fr-BE"/>
              </w:rPr>
            </w:pPr>
            <w:r w:rsidRPr="00927455">
              <w:rPr>
                <w:lang w:val="fr-BE"/>
              </w:rPr>
              <w:t>3.3.2.1</w:t>
            </w:r>
            <w:r w:rsidRPr="00927455">
              <w:rPr>
                <w:lang w:val="fr-BE"/>
              </w:rPr>
              <w:tab/>
              <w:t xml:space="preserve">Exécution de l’installation de détection incendie </w:t>
            </w:r>
          </w:p>
          <w:p w14:paraId="1C538DF2" w14:textId="6947D796" w:rsidR="007522B5" w:rsidRPr="00927455" w:rsidRDefault="007522B5" w:rsidP="004A7BE9">
            <w:pPr>
              <w:rPr>
                <w:lang w:val="fr-BE"/>
              </w:rPr>
            </w:pPr>
            <w:r w:rsidRPr="00927455">
              <w:rPr>
                <w:lang w:val="fr-BE"/>
              </w:rPr>
              <w:tab/>
              <w:t>L’installation de détection automatique des incendies est conçue et réalisée suivant la norme NBN S 21-100-1. Les détecteurs sont choisis en fonction des risques présents et de façon à déceler rapidement un incendie.</w:t>
            </w:r>
          </w:p>
          <w:p w14:paraId="4C793363" w14:textId="77777777" w:rsidR="007522B5" w:rsidRPr="00927455" w:rsidRDefault="007522B5" w:rsidP="004A7BE9">
            <w:pPr>
              <w:rPr>
                <w:lang w:val="fr-BE"/>
              </w:rPr>
            </w:pPr>
          </w:p>
          <w:p w14:paraId="60B538D3" w14:textId="77777777" w:rsidR="007522B5" w:rsidRPr="00927455" w:rsidRDefault="007522B5" w:rsidP="004A7BE9">
            <w:pPr>
              <w:rPr>
                <w:lang w:val="fr-BE"/>
              </w:rPr>
            </w:pPr>
            <w:r w:rsidRPr="00927455">
              <w:rPr>
                <w:lang w:val="fr-BE"/>
              </w:rPr>
              <w:t>Pour les niveaux de parking équipé d’un sprinklage, cette installation peut assurer la fonction de détection automatique d’incendie dans les zones qu’elle couvre, à condition :</w:t>
            </w:r>
          </w:p>
          <w:p w14:paraId="2351EB05" w14:textId="77777777" w:rsidR="007522B5" w:rsidRPr="00927455" w:rsidRDefault="007522B5" w:rsidP="004A7BE9">
            <w:pPr>
              <w:rPr>
                <w:lang w:val="fr-BE"/>
              </w:rPr>
            </w:pPr>
            <w:r w:rsidRPr="00927455">
              <w:rPr>
                <w:lang w:val="fr-BE"/>
              </w:rPr>
              <w:t>-</w:t>
            </w:r>
            <w:r w:rsidRPr="00927455">
              <w:rPr>
                <w:lang w:val="fr-BE"/>
              </w:rPr>
              <w:tab/>
              <w:t xml:space="preserve">que les </w:t>
            </w:r>
            <w:proofErr w:type="spellStart"/>
            <w:r w:rsidRPr="00927455">
              <w:rPr>
                <w:lang w:val="fr-BE"/>
              </w:rPr>
              <w:t>sprinkleurs</w:t>
            </w:r>
            <w:proofErr w:type="spellEnd"/>
            <w:r w:rsidRPr="00927455">
              <w:rPr>
                <w:lang w:val="fr-BE"/>
              </w:rPr>
              <w:t xml:space="preserve"> aient une température nominale de fonctionnement </w:t>
            </w:r>
            <w:r w:rsidRPr="00927455">
              <w:rPr>
                <w:lang w:val="fr-BE"/>
              </w:rPr>
              <w:lastRenderedPageBreak/>
              <w:t xml:space="preserve">de 68°C au maximum et soient de type quick </w:t>
            </w:r>
            <w:proofErr w:type="spellStart"/>
            <w:r w:rsidRPr="00927455">
              <w:rPr>
                <w:lang w:val="fr-BE"/>
              </w:rPr>
              <w:t>response</w:t>
            </w:r>
            <w:proofErr w:type="spellEnd"/>
            <w:r w:rsidRPr="00927455">
              <w:rPr>
                <w:lang w:val="fr-BE"/>
              </w:rPr>
              <w:t xml:space="preserve"> ;</w:t>
            </w:r>
          </w:p>
          <w:p w14:paraId="18B1D5AB" w14:textId="77777777" w:rsidR="007522B5" w:rsidRPr="00927455" w:rsidRDefault="007522B5" w:rsidP="004A7BE9">
            <w:pPr>
              <w:rPr>
                <w:lang w:val="fr-BE"/>
              </w:rPr>
            </w:pPr>
            <w:r w:rsidRPr="00927455">
              <w:rPr>
                <w:lang w:val="fr-BE"/>
              </w:rPr>
              <w:t>-</w:t>
            </w:r>
            <w:r w:rsidRPr="00927455">
              <w:rPr>
                <w:lang w:val="fr-BE"/>
              </w:rPr>
              <w:tab/>
              <w:t>que le réseau de canalisations de l’installation de sprinklage soit équipé d’indicateurs de passage d’eau et/ou de pressostats qui subdivise le réseau en zone de détection ;</w:t>
            </w:r>
          </w:p>
          <w:p w14:paraId="795EB318" w14:textId="543A249C" w:rsidR="007522B5" w:rsidRPr="00927455" w:rsidRDefault="007522B5" w:rsidP="004A7BE9">
            <w:pPr>
              <w:rPr>
                <w:lang w:val="fr-BE"/>
              </w:rPr>
            </w:pPr>
            <w:r w:rsidRPr="00927455">
              <w:rPr>
                <w:lang w:val="fr-BE"/>
              </w:rPr>
              <w:t>-</w:t>
            </w:r>
            <w:r w:rsidRPr="00927455">
              <w:rPr>
                <w:lang w:val="fr-BE"/>
              </w:rPr>
              <w:tab/>
              <w:t>que ces zones de détection respectent les prescriptions correspondantes de la norme NBN S 21-100-1 ;</w:t>
            </w:r>
          </w:p>
          <w:p w14:paraId="4109A5D7" w14:textId="77777777" w:rsidR="007522B5" w:rsidRPr="00927455" w:rsidRDefault="007522B5" w:rsidP="004A7BE9">
            <w:pPr>
              <w:rPr>
                <w:lang w:val="fr-BE"/>
              </w:rPr>
            </w:pPr>
            <w:r w:rsidRPr="00927455">
              <w:rPr>
                <w:lang w:val="fr-BE"/>
              </w:rPr>
              <w:t>-</w:t>
            </w:r>
            <w:r w:rsidRPr="00927455">
              <w:rPr>
                <w:lang w:val="fr-BE"/>
              </w:rPr>
              <w:tab/>
              <w:t>que, pour les niveaux de parking de type "EFC &amp; Sprinklage", chaque zone de détection ne comprenne pas plus d’une zone EFC ;</w:t>
            </w:r>
          </w:p>
          <w:p w14:paraId="2A2C0857" w14:textId="77777777" w:rsidR="007522B5" w:rsidRPr="00927455" w:rsidRDefault="007522B5" w:rsidP="004A7BE9">
            <w:pPr>
              <w:rPr>
                <w:lang w:val="fr-BE"/>
              </w:rPr>
            </w:pPr>
            <w:r w:rsidRPr="00927455">
              <w:rPr>
                <w:lang w:val="fr-BE"/>
              </w:rPr>
              <w:t>-</w:t>
            </w:r>
            <w:r w:rsidRPr="00927455">
              <w:rPr>
                <w:lang w:val="fr-BE"/>
              </w:rPr>
              <w:tab/>
              <w:t>que chaque subdivision du réseau soit munie d’une vanne d’essai ;</w:t>
            </w:r>
          </w:p>
          <w:p w14:paraId="7648C645" w14:textId="77777777" w:rsidR="007522B5" w:rsidRPr="00927455" w:rsidRDefault="007522B5" w:rsidP="004A7BE9">
            <w:pPr>
              <w:rPr>
                <w:lang w:val="fr-BE"/>
              </w:rPr>
            </w:pPr>
            <w:r w:rsidRPr="00927455">
              <w:rPr>
                <w:lang w:val="fr-BE"/>
              </w:rPr>
              <w:t>-</w:t>
            </w:r>
            <w:r w:rsidRPr="00927455">
              <w:rPr>
                <w:lang w:val="fr-BE"/>
              </w:rPr>
              <w:tab/>
              <w:t>et que cette installation soit complétée par des détecteurs de fumée placés à proximité de chaque porte à fermeture automatique en cas d’incendie.</w:t>
            </w:r>
          </w:p>
          <w:p w14:paraId="60EB4F02" w14:textId="77777777" w:rsidR="007522B5" w:rsidRPr="00927455" w:rsidRDefault="007522B5" w:rsidP="004A7BE9">
            <w:pPr>
              <w:rPr>
                <w:lang w:val="fr-BE"/>
              </w:rPr>
            </w:pPr>
          </w:p>
          <w:p w14:paraId="3E42E900" w14:textId="77777777" w:rsidR="007522B5" w:rsidRPr="00927455" w:rsidRDefault="007522B5" w:rsidP="004A7BE9">
            <w:pPr>
              <w:rPr>
                <w:lang w:val="fr-BE"/>
              </w:rPr>
            </w:pPr>
            <w:r w:rsidRPr="00927455">
              <w:rPr>
                <w:lang w:val="fr-BE"/>
              </w:rPr>
              <w:t>L’installation de détection incendie signale automatiquement un incendie et sa localisation.</w:t>
            </w:r>
          </w:p>
          <w:p w14:paraId="27F186B5" w14:textId="77777777" w:rsidR="007522B5" w:rsidRPr="00927455" w:rsidRDefault="007522B5" w:rsidP="002757C3">
            <w:pPr>
              <w:rPr>
                <w:lang w:val="fr-BE"/>
              </w:rPr>
            </w:pPr>
          </w:p>
        </w:tc>
      </w:tr>
      <w:tr w:rsidR="007522B5" w:rsidRPr="00754BD6" w14:paraId="3CF71ED6" w14:textId="77777777" w:rsidTr="002757C3">
        <w:tc>
          <w:tcPr>
            <w:tcW w:w="4524" w:type="dxa"/>
          </w:tcPr>
          <w:p w14:paraId="05458BDE" w14:textId="77777777" w:rsidR="007522B5" w:rsidRPr="00927455" w:rsidRDefault="007522B5" w:rsidP="004A7BE9">
            <w:pPr>
              <w:rPr>
                <w:lang w:val="fr-BE"/>
              </w:rPr>
            </w:pPr>
            <w:r w:rsidRPr="00927455">
              <w:rPr>
                <w:lang w:val="fr-BE"/>
              </w:rPr>
              <w:lastRenderedPageBreak/>
              <w:t xml:space="preserve">3.3.2.2 Fonctionnement de l’installation d’alarme </w:t>
            </w:r>
          </w:p>
          <w:p w14:paraId="581389B5" w14:textId="77777777" w:rsidR="007522B5" w:rsidRPr="00927455" w:rsidRDefault="007522B5" w:rsidP="004A7BE9">
            <w:pPr>
              <w:rPr>
                <w:lang w:val="fr-BE"/>
              </w:rPr>
            </w:pPr>
            <w:r w:rsidRPr="00927455">
              <w:rPr>
                <w:lang w:val="fr-BE"/>
              </w:rPr>
              <w:tab/>
              <w:t>Tous les occupants du bâtiment sont avertis à temps qu’il y a un incendie dans le parking et qu’il faut procéder à l’évacuation.</w:t>
            </w:r>
          </w:p>
          <w:p w14:paraId="0096B83A" w14:textId="77777777" w:rsidR="007522B5" w:rsidRPr="00927455" w:rsidRDefault="007522B5" w:rsidP="004A7BE9">
            <w:pPr>
              <w:rPr>
                <w:lang w:val="fr-BE"/>
              </w:rPr>
            </w:pPr>
          </w:p>
          <w:p w14:paraId="312649E2" w14:textId="77777777" w:rsidR="007522B5" w:rsidRPr="00927455" w:rsidRDefault="007522B5" w:rsidP="004A7BE9">
            <w:pPr>
              <w:rPr>
                <w:lang w:val="fr-BE"/>
              </w:rPr>
            </w:pPr>
            <w:r w:rsidRPr="00927455">
              <w:rPr>
                <w:lang w:val="fr-BE"/>
              </w:rPr>
              <w:t>Lorsque le parking est placé sous la surveillance d’une ou plusieurs personnes compétentes, une alerte préalable est transmise à ces personnes qui prennent les mesures appropriées et avertissent le service d’incendie.</w:t>
            </w:r>
          </w:p>
          <w:p w14:paraId="24ED4184" w14:textId="77777777" w:rsidR="007522B5" w:rsidRPr="00927455" w:rsidRDefault="007522B5" w:rsidP="002757C3">
            <w:pPr>
              <w:rPr>
                <w:lang w:val="fr-BE"/>
              </w:rPr>
            </w:pPr>
          </w:p>
        </w:tc>
      </w:tr>
      <w:tr w:rsidR="007522B5" w:rsidRPr="00754BD6" w14:paraId="2A89EEA4" w14:textId="77777777" w:rsidTr="002757C3">
        <w:tc>
          <w:tcPr>
            <w:tcW w:w="4524" w:type="dxa"/>
          </w:tcPr>
          <w:p w14:paraId="653DFB59" w14:textId="77777777" w:rsidR="007522B5" w:rsidRPr="00927455" w:rsidRDefault="007522B5" w:rsidP="004A7BE9">
            <w:pPr>
              <w:rPr>
                <w:lang w:val="fr-BE"/>
              </w:rPr>
            </w:pPr>
            <w:r w:rsidRPr="00927455">
              <w:rPr>
                <w:lang w:val="fr-BE"/>
              </w:rPr>
              <w:t xml:space="preserve">3.3.3 </w:t>
            </w:r>
            <w:r w:rsidRPr="00927455">
              <w:rPr>
                <w:b/>
                <w:lang w:val="fr-BE"/>
              </w:rPr>
              <w:t>Installation EFC</w:t>
            </w:r>
          </w:p>
          <w:p w14:paraId="15E05F06" w14:textId="07096899" w:rsidR="007522B5" w:rsidRPr="00927455" w:rsidRDefault="007522B5" w:rsidP="004A7BE9">
            <w:pPr>
              <w:rPr>
                <w:lang w:val="fr-BE"/>
              </w:rPr>
            </w:pPr>
            <w:r w:rsidRPr="00927455">
              <w:rPr>
                <w:lang w:val="fr-BE"/>
              </w:rPr>
              <w:tab/>
              <w:t>Pour les niveaux de parking équipé d’une installation d’évacuation de fumées et de chaleur (EFC), cette installation doit couvrir les zones de stationnement des véhicules, les allées de circulation et les rampes. La couverture des locaux inclus et des box de parking n’est pas requise.</w:t>
            </w:r>
          </w:p>
          <w:p w14:paraId="5BAA2CEA" w14:textId="77777777" w:rsidR="007522B5" w:rsidRPr="00927455" w:rsidRDefault="007522B5" w:rsidP="002757C3">
            <w:pPr>
              <w:rPr>
                <w:lang w:val="fr-BE"/>
              </w:rPr>
            </w:pPr>
          </w:p>
        </w:tc>
      </w:tr>
      <w:tr w:rsidR="007522B5" w:rsidRPr="00754BD6" w14:paraId="0047FD99" w14:textId="77777777" w:rsidTr="002757C3">
        <w:tc>
          <w:tcPr>
            <w:tcW w:w="4524" w:type="dxa"/>
          </w:tcPr>
          <w:p w14:paraId="77BD45BD" w14:textId="77777777" w:rsidR="007522B5" w:rsidRPr="00927455" w:rsidRDefault="007522B5" w:rsidP="004A7BE9">
            <w:pPr>
              <w:rPr>
                <w:lang w:val="fr-BE"/>
              </w:rPr>
            </w:pPr>
            <w:r w:rsidRPr="00927455">
              <w:rPr>
                <w:lang w:val="fr-BE"/>
              </w:rPr>
              <w:t>3.3.3.1</w:t>
            </w:r>
            <w:r w:rsidRPr="00927455">
              <w:rPr>
                <w:lang w:val="fr-BE"/>
              </w:rPr>
              <w:tab/>
              <w:t>Exécution de l’installation EFC</w:t>
            </w:r>
          </w:p>
          <w:p w14:paraId="33295FF8" w14:textId="77777777" w:rsidR="007522B5" w:rsidRPr="00927455" w:rsidRDefault="007522B5" w:rsidP="004A7BE9">
            <w:pPr>
              <w:rPr>
                <w:lang w:val="fr-BE"/>
              </w:rPr>
            </w:pPr>
            <w:r w:rsidRPr="00927455">
              <w:rPr>
                <w:lang w:val="fr-BE"/>
              </w:rPr>
              <w:tab/>
              <w:t>l’installation EFC est conçue et réalisée :</w:t>
            </w:r>
          </w:p>
          <w:p w14:paraId="55536DC2" w14:textId="6CC740E8" w:rsidR="007522B5" w:rsidRPr="00927455" w:rsidRDefault="007522B5" w:rsidP="004A7BE9">
            <w:pPr>
              <w:rPr>
                <w:lang w:val="fr-BE"/>
              </w:rPr>
            </w:pPr>
            <w:r w:rsidRPr="00927455">
              <w:rPr>
                <w:lang w:val="fr-BE"/>
              </w:rPr>
              <w:t>-</w:t>
            </w:r>
            <w:r w:rsidRPr="00927455">
              <w:rPr>
                <w:lang w:val="fr-BE"/>
              </w:rPr>
              <w:tab/>
              <w:t>soit suivant la norme NBN S 21-208-2 pour une installation EFC de type 1 ou 2 ;</w:t>
            </w:r>
          </w:p>
          <w:p w14:paraId="7CA67BF2" w14:textId="78A60A2C" w:rsidR="007522B5" w:rsidRPr="00927455" w:rsidRDefault="007522B5" w:rsidP="004A7BE9">
            <w:pPr>
              <w:rPr>
                <w:lang w:val="fr-BE"/>
              </w:rPr>
            </w:pPr>
            <w:r w:rsidRPr="00927455">
              <w:rPr>
                <w:lang w:val="fr-BE"/>
              </w:rPr>
              <w:t>-</w:t>
            </w:r>
            <w:r w:rsidRPr="00927455">
              <w:rPr>
                <w:lang w:val="fr-BE"/>
              </w:rPr>
              <w:tab/>
              <w:t>soit suivant les dispositions du point 3.3.3.3 pour une installation EFC de type 3 ;</w:t>
            </w:r>
          </w:p>
          <w:p w14:paraId="19EDF644" w14:textId="77777777" w:rsidR="007522B5" w:rsidRPr="00927455" w:rsidRDefault="007522B5" w:rsidP="004A7BE9">
            <w:pPr>
              <w:rPr>
                <w:lang w:val="fr-BE"/>
              </w:rPr>
            </w:pPr>
          </w:p>
          <w:p w14:paraId="590D5236" w14:textId="77777777" w:rsidR="007522B5" w:rsidRPr="00927455" w:rsidRDefault="007522B5" w:rsidP="004A7BE9">
            <w:pPr>
              <w:rPr>
                <w:lang w:val="fr-BE"/>
              </w:rPr>
            </w:pPr>
            <w:r w:rsidRPr="00927455">
              <w:rPr>
                <w:lang w:val="fr-BE"/>
              </w:rPr>
              <w:t>L’extraction des fumées du sous-compartiment sinistré ne peut pas s’effectuer via un autre sous-compartiment, excepté pour le désenfumage des rampes sans zones de stationnement de véhicules. L’amenée d’air du sous-compartiment sinistré peut par contre s’effectuer via un autre sous-compartiment.</w:t>
            </w:r>
          </w:p>
          <w:p w14:paraId="6F17D4B4" w14:textId="77777777" w:rsidR="007522B5" w:rsidRPr="00927455" w:rsidRDefault="007522B5" w:rsidP="002757C3">
            <w:pPr>
              <w:rPr>
                <w:lang w:val="fr-BE"/>
              </w:rPr>
            </w:pPr>
          </w:p>
        </w:tc>
      </w:tr>
      <w:tr w:rsidR="007522B5" w:rsidRPr="00754BD6" w14:paraId="2ED029E1" w14:textId="77777777" w:rsidTr="002757C3">
        <w:tc>
          <w:tcPr>
            <w:tcW w:w="4524" w:type="dxa"/>
          </w:tcPr>
          <w:p w14:paraId="1696B72B" w14:textId="77777777" w:rsidR="007522B5" w:rsidRPr="00927455" w:rsidRDefault="007522B5" w:rsidP="004A7BE9">
            <w:pPr>
              <w:rPr>
                <w:lang w:val="fr-BE"/>
              </w:rPr>
            </w:pPr>
            <w:r w:rsidRPr="00927455">
              <w:rPr>
                <w:lang w:val="fr-BE"/>
              </w:rPr>
              <w:lastRenderedPageBreak/>
              <w:t>3.3.3.1.1</w:t>
            </w:r>
            <w:r w:rsidRPr="00927455">
              <w:rPr>
                <w:lang w:val="fr-BE"/>
              </w:rPr>
              <w:tab/>
              <w:t>Disposition dérogatoire - Source autonome de courant.</w:t>
            </w:r>
          </w:p>
          <w:p w14:paraId="2EFD9D1A" w14:textId="77777777" w:rsidR="007522B5" w:rsidRPr="00927455" w:rsidRDefault="007522B5" w:rsidP="004A7BE9">
            <w:pPr>
              <w:rPr>
                <w:lang w:val="fr-BE"/>
              </w:rPr>
            </w:pPr>
            <w:r w:rsidRPr="00927455">
              <w:rPr>
                <w:lang w:val="fr-BE"/>
              </w:rPr>
              <w:tab/>
              <w:t>Par dérogation à la norme NBN S 21-208-2 et au point 6.5.3 des annexes 2/1, 3/1 et 4/1, l’installation EFC ne doit pas être alimentée par une source autonome de courant pour les parkings ayant une superficie totale inférieure ou égale à 2500 m².</w:t>
            </w:r>
          </w:p>
          <w:p w14:paraId="5280B5ED" w14:textId="77777777" w:rsidR="007522B5" w:rsidRPr="00927455" w:rsidRDefault="007522B5" w:rsidP="002757C3">
            <w:pPr>
              <w:rPr>
                <w:lang w:val="fr-BE"/>
              </w:rPr>
            </w:pPr>
          </w:p>
        </w:tc>
      </w:tr>
      <w:tr w:rsidR="007522B5" w:rsidRPr="00754BD6" w14:paraId="1603941E" w14:textId="77777777" w:rsidTr="002757C3">
        <w:tc>
          <w:tcPr>
            <w:tcW w:w="4524" w:type="dxa"/>
          </w:tcPr>
          <w:p w14:paraId="326B0B83" w14:textId="77777777" w:rsidR="007522B5" w:rsidRPr="00927455" w:rsidRDefault="007522B5" w:rsidP="004A7BE9">
            <w:pPr>
              <w:rPr>
                <w:lang w:val="fr-BE"/>
              </w:rPr>
            </w:pPr>
            <w:r w:rsidRPr="00927455">
              <w:rPr>
                <w:lang w:val="fr-BE"/>
              </w:rPr>
              <w:t>3.3.3.1.2</w:t>
            </w:r>
            <w:r w:rsidRPr="00927455">
              <w:rPr>
                <w:lang w:val="fr-BE"/>
              </w:rPr>
              <w:tab/>
              <w:t>Disposition dérogatoire – Clapets résistants au feu</w:t>
            </w:r>
          </w:p>
          <w:p w14:paraId="24AB0CE5" w14:textId="77777777" w:rsidR="007522B5" w:rsidRPr="00927455" w:rsidRDefault="007522B5" w:rsidP="004A7BE9">
            <w:pPr>
              <w:rPr>
                <w:lang w:val="fr-BE"/>
              </w:rPr>
            </w:pPr>
          </w:p>
          <w:p w14:paraId="4FA579D4" w14:textId="57319842" w:rsidR="007522B5" w:rsidRPr="00927455" w:rsidRDefault="007522B5" w:rsidP="004A7BE9">
            <w:pPr>
              <w:rPr>
                <w:lang w:val="fr-BE"/>
              </w:rPr>
            </w:pPr>
            <w:r w:rsidRPr="00927455">
              <w:rPr>
                <w:lang w:val="fr-BE"/>
              </w:rPr>
              <w:t>Par dérogation au point 6.7.4 des annexes 2/1, 3/1 et 4/1, lorsqu’un système d’extraction dessert plusieurs sous-compartiments, les clapets et registres de fumées situées aux limites de sous-compartiment peuvent être de classe E600 60 (</w:t>
            </w:r>
            <w:proofErr w:type="spellStart"/>
            <w:r w:rsidRPr="00927455">
              <w:rPr>
                <w:lang w:val="fr-BE"/>
              </w:rPr>
              <w:t>ve</w:t>
            </w:r>
            <w:proofErr w:type="spellEnd"/>
            <w:r w:rsidRPr="00927455">
              <w:rPr>
                <w:lang w:val="fr-BE"/>
              </w:rPr>
              <w:t xml:space="preserve"> ho i</w:t>
            </w:r>
            <w:r w:rsidRPr="00927455">
              <w:rPr>
                <w:lang w:val="fr-FR"/>
              </w:rPr>
              <w:sym w:font="Symbol" w:char="F0AB"/>
            </w:r>
            <w:r w:rsidRPr="00927455">
              <w:rPr>
                <w:lang w:val="fr-BE"/>
              </w:rPr>
              <w:t>o) MA single suivant la norme NBN EN 12101-8.</w:t>
            </w:r>
          </w:p>
          <w:p w14:paraId="1A3FA0AC" w14:textId="77777777" w:rsidR="007522B5" w:rsidRPr="00927455" w:rsidRDefault="007522B5" w:rsidP="002757C3">
            <w:pPr>
              <w:rPr>
                <w:lang w:val="fr-BE"/>
              </w:rPr>
            </w:pPr>
          </w:p>
        </w:tc>
      </w:tr>
      <w:tr w:rsidR="007522B5" w:rsidRPr="00754BD6" w14:paraId="79BCE286" w14:textId="77777777" w:rsidTr="002757C3">
        <w:tc>
          <w:tcPr>
            <w:tcW w:w="4524" w:type="dxa"/>
          </w:tcPr>
          <w:p w14:paraId="144E586F" w14:textId="04CFA62D" w:rsidR="007522B5" w:rsidRPr="00927455" w:rsidRDefault="007522B5" w:rsidP="004A7BE9">
            <w:pPr>
              <w:rPr>
                <w:lang w:val="fr-BE"/>
              </w:rPr>
            </w:pPr>
            <w:r w:rsidRPr="00927455">
              <w:rPr>
                <w:lang w:val="fr-BE"/>
              </w:rPr>
              <w:t>3.3.3.2</w:t>
            </w:r>
            <w:r w:rsidRPr="00927455">
              <w:rPr>
                <w:lang w:val="fr-BE"/>
              </w:rPr>
              <w:tab/>
              <w:t>Installation EFC de type 2</w:t>
            </w:r>
          </w:p>
          <w:p w14:paraId="4C3E9EDA" w14:textId="77777777" w:rsidR="007522B5" w:rsidRPr="00927455" w:rsidRDefault="007522B5" w:rsidP="004A7BE9">
            <w:pPr>
              <w:rPr>
                <w:lang w:val="fr-BE"/>
              </w:rPr>
            </w:pPr>
          </w:p>
          <w:p w14:paraId="1CA3616F" w14:textId="4E0FB925" w:rsidR="007522B5" w:rsidRPr="00927455" w:rsidRDefault="007522B5" w:rsidP="004A7BE9">
            <w:pPr>
              <w:rPr>
                <w:lang w:val="fr-BE"/>
              </w:rPr>
            </w:pPr>
            <w:r w:rsidRPr="00927455">
              <w:rPr>
                <w:lang w:val="fr-BE"/>
              </w:rPr>
              <w:t>Pour un sous-compartiment de type "EFC" :</w:t>
            </w:r>
          </w:p>
          <w:p w14:paraId="42DDA143" w14:textId="77777777" w:rsidR="007522B5" w:rsidRPr="00927455" w:rsidRDefault="007522B5" w:rsidP="004A7BE9">
            <w:pPr>
              <w:rPr>
                <w:lang w:val="fr-BE"/>
              </w:rPr>
            </w:pPr>
            <w:r w:rsidRPr="00927455">
              <w:rPr>
                <w:lang w:val="fr-BE"/>
              </w:rPr>
              <w:t>a)</w:t>
            </w:r>
            <w:r w:rsidRPr="00927455">
              <w:rPr>
                <w:lang w:val="fr-BE"/>
              </w:rPr>
              <w:tab/>
              <w:t>d’une superficie inférieure ou égale à 2500 m² et hors-sol ;</w:t>
            </w:r>
          </w:p>
          <w:p w14:paraId="4B805B2F" w14:textId="77777777" w:rsidR="007522B5" w:rsidRPr="00927455" w:rsidRDefault="007522B5" w:rsidP="004A7BE9">
            <w:pPr>
              <w:rPr>
                <w:lang w:val="fr-BE"/>
              </w:rPr>
            </w:pPr>
            <w:r w:rsidRPr="00927455">
              <w:rPr>
                <w:lang w:val="fr-BE"/>
              </w:rPr>
              <w:t>b)</w:t>
            </w:r>
            <w:r w:rsidRPr="00927455">
              <w:rPr>
                <w:lang w:val="fr-BE"/>
              </w:rPr>
              <w:tab/>
              <w:t>d’une superficie inférieure ou égale à 2500 m² et d’une profondeur inférieure ou égale à 7 m ;</w:t>
            </w:r>
          </w:p>
          <w:p w14:paraId="1636FDBB" w14:textId="77777777" w:rsidR="007522B5" w:rsidRPr="00927455" w:rsidRDefault="007522B5" w:rsidP="004A7BE9">
            <w:pPr>
              <w:rPr>
                <w:lang w:val="fr-BE"/>
              </w:rPr>
            </w:pPr>
            <w:r w:rsidRPr="00927455">
              <w:rPr>
                <w:lang w:val="fr-BE"/>
              </w:rPr>
              <w:t>c)</w:t>
            </w:r>
            <w:r w:rsidRPr="00927455">
              <w:rPr>
                <w:lang w:val="fr-BE"/>
              </w:rPr>
              <w:tab/>
              <w:t>d’une superficie inférieure ou égale à 1250 m² et d’une profondeur inférieure ou égale à 14 m ;</w:t>
            </w:r>
          </w:p>
          <w:p w14:paraId="56B0B8BD" w14:textId="77777777" w:rsidR="007522B5" w:rsidRPr="00927455" w:rsidRDefault="007522B5" w:rsidP="004A7BE9">
            <w:pPr>
              <w:rPr>
                <w:lang w:val="fr-BE"/>
              </w:rPr>
            </w:pPr>
            <w:r w:rsidRPr="00927455">
              <w:rPr>
                <w:lang w:val="fr-BE"/>
              </w:rPr>
              <w:t>et à condition que la superficie totale du parking soit inférieure ou égale à 10 000 m² ;</w:t>
            </w:r>
          </w:p>
          <w:p w14:paraId="54AC0147" w14:textId="77777777" w:rsidR="007522B5" w:rsidRPr="00927455" w:rsidRDefault="007522B5" w:rsidP="004A7BE9">
            <w:pPr>
              <w:rPr>
                <w:lang w:val="fr-BE"/>
              </w:rPr>
            </w:pPr>
            <w:r w:rsidRPr="00927455">
              <w:rPr>
                <w:lang w:val="fr-BE"/>
              </w:rPr>
              <w:t>les dérogations suivantes à l’annexe A de la norme NBN S 21-208-2 sont accordées :</w:t>
            </w:r>
          </w:p>
          <w:p w14:paraId="65B9D9BB" w14:textId="77777777" w:rsidR="007522B5" w:rsidRPr="00927455" w:rsidRDefault="007522B5" w:rsidP="004A7BE9">
            <w:pPr>
              <w:rPr>
                <w:lang w:val="fr-BE"/>
              </w:rPr>
            </w:pPr>
            <w:r w:rsidRPr="00927455">
              <w:rPr>
                <w:lang w:val="fr-BE"/>
              </w:rPr>
              <w:t>-</w:t>
            </w:r>
            <w:r w:rsidRPr="00927455">
              <w:rPr>
                <w:lang w:val="fr-BE"/>
              </w:rPr>
              <w:tab/>
              <w:t>le sous-compartiment est divisé en zone EFC d’une superficie inférieure ou égale à 1250 m² ;</w:t>
            </w:r>
          </w:p>
          <w:p w14:paraId="25E2CC14" w14:textId="77777777" w:rsidR="007522B5" w:rsidRPr="00927455" w:rsidRDefault="007522B5" w:rsidP="004A7BE9">
            <w:pPr>
              <w:rPr>
                <w:lang w:val="fr-BE"/>
              </w:rPr>
            </w:pPr>
            <w:r w:rsidRPr="00927455">
              <w:rPr>
                <w:lang w:val="fr-BE"/>
              </w:rPr>
              <w:t>-</w:t>
            </w:r>
            <w:r w:rsidRPr="00927455">
              <w:rPr>
                <w:lang w:val="fr-BE"/>
              </w:rPr>
              <w:tab/>
              <w:t xml:space="preserve">la largeur </w:t>
            </w:r>
            <w:proofErr w:type="spellStart"/>
            <w:r w:rsidRPr="00927455">
              <w:rPr>
                <w:lang w:val="fr-BE"/>
              </w:rPr>
              <w:t>w</w:t>
            </w:r>
            <w:r w:rsidRPr="00927455">
              <w:rPr>
                <w:vertAlign w:val="subscript"/>
                <w:lang w:val="fr-BE"/>
              </w:rPr>
              <w:t>ref</w:t>
            </w:r>
            <w:proofErr w:type="spellEnd"/>
            <w:r w:rsidRPr="00927455">
              <w:rPr>
                <w:lang w:val="fr-BE"/>
              </w:rPr>
              <w:t xml:space="preserve"> du sous-compartiment peut être supérieure à 20 m. Dans ce cas les vitesses requises à prendre en compte </w:t>
            </w:r>
            <w:r w:rsidRPr="00927455">
              <w:rPr>
                <w:lang w:val="fr-BE"/>
              </w:rPr>
              <w:lastRenderedPageBreak/>
              <w:t>sont celles exprimées au tableau A.1 pour une largeur w entre 12 et 20 m ;</w:t>
            </w:r>
          </w:p>
          <w:p w14:paraId="08BBD963" w14:textId="77777777" w:rsidR="007522B5" w:rsidRPr="00927455" w:rsidRDefault="007522B5" w:rsidP="004A7BE9">
            <w:pPr>
              <w:rPr>
                <w:lang w:val="fr-BE"/>
              </w:rPr>
            </w:pPr>
            <w:r w:rsidRPr="00927455">
              <w:rPr>
                <w:lang w:val="fr-BE"/>
              </w:rPr>
              <w:t>-</w:t>
            </w:r>
            <w:r w:rsidRPr="00927455">
              <w:rPr>
                <w:lang w:val="fr-BE"/>
              </w:rPr>
              <w:tab/>
              <w:t>le débit de dimensionnement Q</w:t>
            </w:r>
            <w:r w:rsidRPr="00927455">
              <w:rPr>
                <w:vertAlign w:val="subscript"/>
                <w:lang w:val="fr-BE"/>
              </w:rPr>
              <w:t>d</w:t>
            </w:r>
            <w:r w:rsidRPr="00927455">
              <w:rPr>
                <w:lang w:val="fr-BE"/>
              </w:rPr>
              <w:t xml:space="preserve"> est la valeur la plus grande entre les débits </w:t>
            </w:r>
            <w:proofErr w:type="spellStart"/>
            <w:r w:rsidRPr="00927455">
              <w:rPr>
                <w:lang w:val="fr-BE"/>
              </w:rPr>
              <w:t>Q</w:t>
            </w:r>
            <w:r w:rsidRPr="00927455">
              <w:rPr>
                <w:vertAlign w:val="subscript"/>
                <w:lang w:val="fr-BE"/>
              </w:rPr>
              <w:t>min</w:t>
            </w:r>
            <w:proofErr w:type="spellEnd"/>
            <w:r w:rsidRPr="00927455">
              <w:rPr>
                <w:lang w:val="fr-BE"/>
              </w:rPr>
              <w:t xml:space="preserve"> et Q</w:t>
            </w:r>
            <w:r w:rsidRPr="00927455">
              <w:rPr>
                <w:vertAlign w:val="subscript"/>
                <w:lang w:val="fr-BE"/>
              </w:rPr>
              <w:t>in</w:t>
            </w:r>
            <w:r w:rsidRPr="00927455">
              <w:rPr>
                <w:lang w:val="fr-BE"/>
              </w:rPr>
              <w:t>.</w:t>
            </w:r>
          </w:p>
          <w:p w14:paraId="298F4E55" w14:textId="77777777" w:rsidR="007522B5" w:rsidRPr="00927455" w:rsidRDefault="007522B5" w:rsidP="004A7BE9">
            <w:pPr>
              <w:rPr>
                <w:lang w:val="fr-BE"/>
              </w:rPr>
            </w:pPr>
          </w:p>
        </w:tc>
      </w:tr>
      <w:tr w:rsidR="007522B5" w:rsidRPr="00927455" w14:paraId="7C6F507A" w14:textId="77777777" w:rsidTr="002757C3">
        <w:tc>
          <w:tcPr>
            <w:tcW w:w="4524" w:type="dxa"/>
          </w:tcPr>
          <w:p w14:paraId="4AF0BF5C" w14:textId="61B21931" w:rsidR="007522B5" w:rsidRPr="00927455" w:rsidRDefault="007522B5" w:rsidP="004A7BE9">
            <w:pPr>
              <w:rPr>
                <w:lang w:val="fr-BE"/>
              </w:rPr>
            </w:pPr>
            <w:r w:rsidRPr="00927455">
              <w:rPr>
                <w:lang w:val="fr-BE"/>
              </w:rPr>
              <w:lastRenderedPageBreak/>
              <w:t>3.3.3.3</w:t>
            </w:r>
            <w:r w:rsidRPr="00927455">
              <w:rPr>
                <w:lang w:val="fr-BE"/>
              </w:rPr>
              <w:tab/>
              <w:t>Installation EFC de type 3</w:t>
            </w:r>
          </w:p>
          <w:p w14:paraId="10EA0285" w14:textId="77777777" w:rsidR="007522B5" w:rsidRPr="00927455" w:rsidRDefault="007522B5" w:rsidP="004A7BE9"/>
        </w:tc>
      </w:tr>
      <w:tr w:rsidR="007522B5" w:rsidRPr="00754BD6" w14:paraId="1F729152" w14:textId="77777777" w:rsidTr="002757C3">
        <w:tc>
          <w:tcPr>
            <w:tcW w:w="4524" w:type="dxa"/>
          </w:tcPr>
          <w:p w14:paraId="26306FF8" w14:textId="605C57EF" w:rsidR="007522B5" w:rsidRPr="00927455" w:rsidRDefault="007522B5" w:rsidP="00161B09">
            <w:pPr>
              <w:rPr>
                <w:lang w:val="fr-BE"/>
              </w:rPr>
            </w:pPr>
            <w:r w:rsidRPr="00927455">
              <w:rPr>
                <w:lang w:val="fr-BE"/>
              </w:rPr>
              <w:t>Le principe est de permettre au service d’incendie de réaliser une ventilation horizontale sans utilisation de leurs propres ventilateurs afin de dégager une voie d’intervention relativement libre de fumées depuis l’entrée du parking jusqu’à proximité du foyer.</w:t>
            </w:r>
          </w:p>
          <w:p w14:paraId="2B4438F7" w14:textId="77777777" w:rsidR="007522B5" w:rsidRPr="00927455" w:rsidRDefault="007522B5" w:rsidP="00161B09">
            <w:pPr>
              <w:rPr>
                <w:lang w:val="fr-BE"/>
              </w:rPr>
            </w:pPr>
          </w:p>
          <w:p w14:paraId="2F254F10" w14:textId="77777777" w:rsidR="007522B5" w:rsidRPr="00927455" w:rsidRDefault="007522B5" w:rsidP="001E2CC5">
            <w:pPr>
              <w:rPr>
                <w:lang w:val="fr-BE"/>
              </w:rPr>
            </w:pPr>
            <w:r w:rsidRPr="00927455">
              <w:rPr>
                <w:lang w:val="fr-BE"/>
              </w:rPr>
              <w:t>La présente solution-type simplifiée n’est applicable qu’à un sous-compartiment de type "EFC" :</w:t>
            </w:r>
          </w:p>
          <w:p w14:paraId="4556E756" w14:textId="77777777" w:rsidR="007522B5" w:rsidRPr="00927455" w:rsidRDefault="007522B5" w:rsidP="001E2CC5">
            <w:pPr>
              <w:rPr>
                <w:lang w:val="fr-BE"/>
              </w:rPr>
            </w:pPr>
            <w:r w:rsidRPr="00927455">
              <w:rPr>
                <w:lang w:val="fr-BE"/>
              </w:rPr>
              <w:t>a)</w:t>
            </w:r>
            <w:r w:rsidRPr="00927455">
              <w:rPr>
                <w:lang w:val="fr-BE"/>
              </w:rPr>
              <w:tab/>
              <w:t>d’une superficie inférieure ou égale à 1250 m² et hors-sol ;</w:t>
            </w:r>
          </w:p>
          <w:p w14:paraId="31F5B5DF" w14:textId="77777777" w:rsidR="007522B5" w:rsidRPr="00927455" w:rsidRDefault="007522B5" w:rsidP="001E2CC5">
            <w:pPr>
              <w:rPr>
                <w:lang w:val="fr-BE"/>
              </w:rPr>
            </w:pPr>
            <w:r w:rsidRPr="00927455">
              <w:rPr>
                <w:lang w:val="fr-BE"/>
              </w:rPr>
              <w:t>b)</w:t>
            </w:r>
            <w:r w:rsidRPr="00927455">
              <w:rPr>
                <w:lang w:val="fr-BE"/>
              </w:rPr>
              <w:tab/>
              <w:t>d’une superficie inférieure ou égale à 1250 m² et d’une profondeur inférieure ou égale à 7 m ;</w:t>
            </w:r>
          </w:p>
          <w:p w14:paraId="3A4EE781" w14:textId="77777777" w:rsidR="007522B5" w:rsidRPr="00927455" w:rsidRDefault="007522B5" w:rsidP="001E2CC5">
            <w:pPr>
              <w:rPr>
                <w:lang w:val="fr-BE"/>
              </w:rPr>
            </w:pPr>
            <w:r w:rsidRPr="00927455">
              <w:rPr>
                <w:lang w:val="fr-BE"/>
              </w:rPr>
              <w:t>dont la distance d est supérieure ou égale à 0,6 D (voir planche 7.5) ;</w:t>
            </w:r>
          </w:p>
          <w:p w14:paraId="00142240" w14:textId="77777777" w:rsidR="007522B5" w:rsidRPr="00927455" w:rsidRDefault="007522B5" w:rsidP="001E2CC5">
            <w:pPr>
              <w:rPr>
                <w:lang w:val="fr-BE"/>
              </w:rPr>
            </w:pPr>
            <w:r w:rsidRPr="00927455">
              <w:rPr>
                <w:lang w:val="fr-BE"/>
              </w:rPr>
              <w:t>et à condition que la superficie totale du parking soit inférieure ou égale à 60 000 m².</w:t>
            </w:r>
          </w:p>
        </w:tc>
      </w:tr>
      <w:tr w:rsidR="007522B5" w:rsidRPr="00754BD6" w14:paraId="2D3FC72E" w14:textId="77777777" w:rsidTr="002757C3">
        <w:tc>
          <w:tcPr>
            <w:tcW w:w="4524" w:type="dxa"/>
          </w:tcPr>
          <w:p w14:paraId="21FE20DF" w14:textId="77777777" w:rsidR="007522B5" w:rsidRPr="00927455" w:rsidRDefault="007522B5" w:rsidP="004A7BE9">
            <w:pPr>
              <w:rPr>
                <w:lang w:val="fr-BE"/>
              </w:rPr>
            </w:pPr>
          </w:p>
        </w:tc>
      </w:tr>
    </w:tbl>
    <w:p w14:paraId="02C90416" w14:textId="77777777" w:rsidR="00A91430" w:rsidRPr="00927455" w:rsidRDefault="00A91430" w:rsidP="00A91430">
      <w:pPr>
        <w:keepNext/>
        <w:rPr>
          <w:lang w:val="fr-BE"/>
        </w:rPr>
      </w:pPr>
    </w:p>
    <w:p w14:paraId="74AE6155" w14:textId="77777777" w:rsidR="00A91430" w:rsidRPr="00927455" w:rsidRDefault="00A91430" w:rsidP="00A91430">
      <w:pPr>
        <w:keepNext/>
        <w:rPr>
          <w:lang w:val="fr-BE"/>
        </w:rPr>
      </w:pPr>
      <w:r w:rsidRPr="00927455">
        <w:rPr>
          <w:noProof/>
          <w:lang w:eastAsia="nl-BE"/>
        </w:rPr>
        <w:drawing>
          <wp:inline distT="0" distB="0" distL="0" distR="0" wp14:anchorId="14BBE015" wp14:editId="0690453F">
            <wp:extent cx="5534025" cy="2943225"/>
            <wp:effectExtent l="0" t="0" r="9525" b="9525"/>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4025" cy="2943225"/>
                    </a:xfrm>
                    <a:prstGeom prst="rect">
                      <a:avLst/>
                    </a:prstGeom>
                    <a:noFill/>
                    <a:ln>
                      <a:noFill/>
                    </a:ln>
                  </pic:spPr>
                </pic:pic>
              </a:graphicData>
            </a:graphic>
          </wp:inline>
        </w:drawing>
      </w:r>
    </w:p>
    <w:p w14:paraId="60D8F390" w14:textId="77777777" w:rsidR="00A91430" w:rsidRPr="00927455" w:rsidRDefault="00A91430" w:rsidP="00A91430">
      <w:pPr>
        <w:keepNext/>
        <w:rPr>
          <w:lang w:val="fr-BE"/>
        </w:rPr>
      </w:pPr>
    </w:p>
    <w:tbl>
      <w:tblPr>
        <w:tblStyle w:val="Grilledutableau"/>
        <w:tblW w:w="0" w:type="auto"/>
        <w:tblLook w:val="04A0" w:firstRow="1" w:lastRow="0" w:firstColumn="1" w:lastColumn="0" w:noHBand="0" w:noVBand="1"/>
      </w:tblPr>
      <w:tblGrid>
        <w:gridCol w:w="4538"/>
        <w:gridCol w:w="4524"/>
      </w:tblGrid>
      <w:tr w:rsidR="007D3CA6" w:rsidRPr="00754BD6" w14:paraId="7A63F9EE" w14:textId="77777777" w:rsidTr="007D3CA6">
        <w:tc>
          <w:tcPr>
            <w:tcW w:w="4538" w:type="dxa"/>
          </w:tcPr>
          <w:p w14:paraId="1904C40B" w14:textId="77777777" w:rsidR="007D3CA6" w:rsidRPr="00927455" w:rsidRDefault="007D3CA6" w:rsidP="00120A34"/>
        </w:tc>
        <w:tc>
          <w:tcPr>
            <w:tcW w:w="4524" w:type="dxa"/>
          </w:tcPr>
          <w:p w14:paraId="66E1AAD7" w14:textId="77777777" w:rsidR="007D3CA6" w:rsidRPr="00927455" w:rsidRDefault="007D3CA6" w:rsidP="00120A34">
            <w:pPr>
              <w:rPr>
                <w:lang w:val="fr-BE"/>
              </w:rPr>
            </w:pPr>
            <w:r w:rsidRPr="00927455">
              <w:rPr>
                <w:lang w:val="fr-BE"/>
              </w:rPr>
              <w:t>Planche 7.5 - Positions relatives des entrées et sorties d’air (schémas de principe)</w:t>
            </w:r>
          </w:p>
        </w:tc>
      </w:tr>
      <w:tr w:rsidR="004A7BE9" w:rsidRPr="00754BD6" w14:paraId="6741FA3F" w14:textId="77777777" w:rsidTr="004F667F">
        <w:tc>
          <w:tcPr>
            <w:tcW w:w="4538" w:type="dxa"/>
          </w:tcPr>
          <w:p w14:paraId="3665EF35" w14:textId="4628BABA" w:rsidR="004A7BE9" w:rsidRPr="007522B5" w:rsidRDefault="004A7BE9" w:rsidP="00A91430">
            <w:pPr>
              <w:rPr>
                <w:lang w:val="fr-BE"/>
              </w:rPr>
            </w:pPr>
          </w:p>
        </w:tc>
        <w:tc>
          <w:tcPr>
            <w:tcW w:w="4524" w:type="dxa"/>
          </w:tcPr>
          <w:p w14:paraId="7F9683F0" w14:textId="77777777" w:rsidR="005E25DA" w:rsidRPr="00927455" w:rsidRDefault="005E25DA" w:rsidP="005E25DA">
            <w:pPr>
              <w:rPr>
                <w:lang w:val="fr-BE"/>
              </w:rPr>
            </w:pPr>
            <w:r w:rsidRPr="00927455">
              <w:rPr>
                <w:lang w:val="fr-BE"/>
              </w:rPr>
              <w:t>où</w:t>
            </w:r>
          </w:p>
          <w:p w14:paraId="4C509D86" w14:textId="77777777" w:rsidR="005E25DA" w:rsidRPr="00927455" w:rsidRDefault="005E25DA" w:rsidP="005E25DA">
            <w:pPr>
              <w:rPr>
                <w:lang w:val="fr-BE"/>
              </w:rPr>
            </w:pPr>
          </w:p>
          <w:p w14:paraId="4BB809F3" w14:textId="77777777" w:rsidR="005E25DA" w:rsidRPr="00927455" w:rsidRDefault="005E25DA" w:rsidP="005E25DA">
            <w:pPr>
              <w:rPr>
                <w:lang w:val="fr-BE"/>
              </w:rPr>
            </w:pPr>
            <w:r w:rsidRPr="00927455">
              <w:rPr>
                <w:lang w:val="fr-BE"/>
              </w:rPr>
              <w:t>D</w:t>
            </w:r>
            <w:r w:rsidRPr="00927455">
              <w:rPr>
                <w:lang w:val="fr-BE"/>
              </w:rPr>
              <w:tab/>
              <w:t>désigne la distance horizontale la plus courte à parcourir à l’intérieur du sous-compartiment entre les points les plus éloignés du sous-compartiment ;</w:t>
            </w:r>
          </w:p>
          <w:p w14:paraId="6E629B2C" w14:textId="77777777" w:rsidR="005E25DA" w:rsidRPr="00927455" w:rsidRDefault="005E25DA" w:rsidP="005E25DA">
            <w:pPr>
              <w:rPr>
                <w:lang w:val="fr-BE"/>
              </w:rPr>
            </w:pPr>
            <w:r w:rsidRPr="00927455">
              <w:rPr>
                <w:lang w:val="fr-BE"/>
              </w:rPr>
              <w:t>d</w:t>
            </w:r>
            <w:r w:rsidRPr="00927455">
              <w:rPr>
                <w:lang w:val="fr-BE"/>
              </w:rPr>
              <w:tab/>
              <w:t>désigne la distance horizontale la plus courte à parcourir à l’intérieur du sous-compartiment entre le centre de la baie de sortie d’air et le bord latéral le plus proche de la baie d’entrée d’air ;</w:t>
            </w:r>
          </w:p>
          <w:p w14:paraId="57E7D667" w14:textId="77777777" w:rsidR="005E25DA" w:rsidRPr="00927455" w:rsidRDefault="005E25DA" w:rsidP="005E25DA">
            <w:pPr>
              <w:rPr>
                <w:lang w:val="fr-BE"/>
              </w:rPr>
            </w:pPr>
          </w:p>
          <w:p w14:paraId="12627C29" w14:textId="77777777" w:rsidR="004A7BE9" w:rsidRPr="00927455" w:rsidRDefault="005E25DA" w:rsidP="005E25DA">
            <w:pPr>
              <w:rPr>
                <w:lang w:val="fr-BE"/>
              </w:rPr>
            </w:pPr>
            <w:r w:rsidRPr="00927455">
              <w:rPr>
                <w:lang w:val="fr-BE"/>
              </w:rPr>
              <w:t>Chaque sous-compartiment forme une zone EFC.</w:t>
            </w:r>
          </w:p>
        </w:tc>
      </w:tr>
      <w:tr w:rsidR="004A7BE9" w:rsidRPr="00754BD6" w14:paraId="463964AA" w14:textId="77777777" w:rsidTr="004F667F">
        <w:tc>
          <w:tcPr>
            <w:tcW w:w="4538" w:type="dxa"/>
          </w:tcPr>
          <w:p w14:paraId="692A3C6B" w14:textId="23904352" w:rsidR="004A7BE9" w:rsidRPr="00927455" w:rsidRDefault="004A7BE9" w:rsidP="006776FC"/>
        </w:tc>
        <w:tc>
          <w:tcPr>
            <w:tcW w:w="4524" w:type="dxa"/>
          </w:tcPr>
          <w:p w14:paraId="145CC68A" w14:textId="0DF1D6A8" w:rsidR="004A7BE9" w:rsidRPr="00927455" w:rsidRDefault="004B0CA5" w:rsidP="00D90CA5">
            <w:pPr>
              <w:rPr>
                <w:lang w:val="fr-BE"/>
              </w:rPr>
            </w:pPr>
            <w:r w:rsidRPr="00927455">
              <w:rPr>
                <w:lang w:val="fr-BE"/>
              </w:rPr>
              <w:t>3.3.3.</w:t>
            </w:r>
            <w:r w:rsidR="00D90CA5" w:rsidRPr="00927455">
              <w:rPr>
                <w:lang w:val="fr-BE"/>
              </w:rPr>
              <w:t>3</w:t>
            </w:r>
            <w:r w:rsidRPr="00927455">
              <w:rPr>
                <w:lang w:val="fr-BE"/>
              </w:rPr>
              <w:t xml:space="preserve">.1 Exécution de l’installation EFC </w:t>
            </w:r>
            <w:r w:rsidR="00D90CA5" w:rsidRPr="00927455">
              <w:rPr>
                <w:lang w:val="fr-BE"/>
              </w:rPr>
              <w:t>de type 3</w:t>
            </w:r>
          </w:p>
        </w:tc>
      </w:tr>
      <w:tr w:rsidR="004A7BE9" w:rsidRPr="00754BD6" w14:paraId="7F2A32D2" w14:textId="77777777" w:rsidTr="004F667F">
        <w:tc>
          <w:tcPr>
            <w:tcW w:w="4538" w:type="dxa"/>
          </w:tcPr>
          <w:p w14:paraId="5DED79E2" w14:textId="77777777" w:rsidR="004B0CA5" w:rsidRPr="00927455" w:rsidRDefault="004B0CA5" w:rsidP="004B0CA5"/>
        </w:tc>
        <w:tc>
          <w:tcPr>
            <w:tcW w:w="4524" w:type="dxa"/>
          </w:tcPr>
          <w:p w14:paraId="7A69A897" w14:textId="77777777" w:rsidR="005E25DA" w:rsidRPr="00927455" w:rsidRDefault="005E25DA" w:rsidP="005E25DA">
            <w:pPr>
              <w:rPr>
                <w:lang w:val="fr-BE"/>
              </w:rPr>
            </w:pPr>
            <w:r w:rsidRPr="00927455">
              <w:rPr>
                <w:lang w:val="fr-BE"/>
              </w:rPr>
              <w:t>Le système d’extraction des fumées assure un débit de ventilation d’au moins 120.000 m³/h.</w:t>
            </w:r>
          </w:p>
          <w:p w14:paraId="4275B2B9" w14:textId="77777777" w:rsidR="005E25DA" w:rsidRPr="00927455" w:rsidRDefault="005E25DA" w:rsidP="005E25DA">
            <w:pPr>
              <w:rPr>
                <w:lang w:val="fr-BE"/>
              </w:rPr>
            </w:pPr>
          </w:p>
          <w:p w14:paraId="38564570" w14:textId="77777777" w:rsidR="005E25DA" w:rsidRPr="00927455" w:rsidRDefault="005E25DA" w:rsidP="005E25DA">
            <w:pPr>
              <w:rPr>
                <w:lang w:val="fr-BE"/>
              </w:rPr>
            </w:pPr>
            <w:r w:rsidRPr="00927455">
              <w:rPr>
                <w:lang w:val="fr-BE"/>
              </w:rPr>
              <w:t xml:space="preserve">Le système d’extraction des fumées peut servir également au contrôle de la concentration maximale réglementaire en gaz nocifs, requise en ventilation permanente (sans incendie). En cas de détection d’incendie, la commande d’activation du système d’extraction des </w:t>
            </w:r>
            <w:r w:rsidRPr="00927455">
              <w:rPr>
                <w:lang w:val="fr-BE"/>
              </w:rPr>
              <w:lastRenderedPageBreak/>
              <w:t>fumées doit être prioritaire sur la ventilation permanente.</w:t>
            </w:r>
          </w:p>
          <w:p w14:paraId="60B2B88C" w14:textId="77777777" w:rsidR="005E25DA" w:rsidRPr="00927455" w:rsidRDefault="005E25DA" w:rsidP="005E25DA">
            <w:pPr>
              <w:rPr>
                <w:lang w:val="fr-BE"/>
              </w:rPr>
            </w:pPr>
          </w:p>
          <w:p w14:paraId="435EAB0D" w14:textId="6CD186C8" w:rsidR="004A7BE9" w:rsidRPr="00927455" w:rsidRDefault="005E25DA" w:rsidP="005E25DA">
            <w:pPr>
              <w:rPr>
                <w:lang w:val="fr-BE"/>
              </w:rPr>
            </w:pPr>
            <w:r w:rsidRPr="00927455">
              <w:rPr>
                <w:lang w:val="fr-BE"/>
              </w:rPr>
              <w:t>Les extracteurs mécaniques de fumées doivent satisfaire à la norme NBN EN 12101</w:t>
            </w:r>
            <w:r w:rsidR="004A437B" w:rsidRPr="00927455">
              <w:rPr>
                <w:lang w:val="fr-BE"/>
              </w:rPr>
              <w:t>-</w:t>
            </w:r>
            <w:r w:rsidRPr="00927455">
              <w:rPr>
                <w:lang w:val="fr-BE"/>
              </w:rPr>
              <w:t>3. Leurs accessoires (clapets, registres de fumée, etc.) qui les protègent vis-à-vis de l’ambiance extérieure doivent satisfaire à la NBN EN 12101</w:t>
            </w:r>
            <w:r w:rsidR="004A437B" w:rsidRPr="00927455">
              <w:rPr>
                <w:lang w:val="fr-BE"/>
              </w:rPr>
              <w:t>-</w:t>
            </w:r>
            <w:r w:rsidRPr="00927455">
              <w:rPr>
                <w:lang w:val="fr-BE"/>
              </w:rPr>
              <w:t>2. Les extracteurs et leurs accessoires doivent également répondre aux exigences des classes requises définies au tableau ci-dessous :</w:t>
            </w:r>
          </w:p>
          <w:p w14:paraId="21D4E38C" w14:textId="77777777" w:rsidR="005E25DA" w:rsidRPr="00927455" w:rsidRDefault="005E25DA" w:rsidP="005E25DA">
            <w:pPr>
              <w:rPr>
                <w:lang w:val="fr-BE"/>
              </w:rPr>
            </w:pPr>
          </w:p>
        </w:tc>
      </w:tr>
      <w:tr w:rsidR="004A7BE9" w:rsidRPr="00754BD6" w14:paraId="5EBB4A85" w14:textId="77777777" w:rsidTr="004F667F">
        <w:tc>
          <w:tcPr>
            <w:tcW w:w="4538" w:type="dxa"/>
          </w:tcPr>
          <w:p w14:paraId="10EC8EA3" w14:textId="77777777" w:rsidR="004A7BE9" w:rsidRPr="00927455" w:rsidRDefault="004A7BE9" w:rsidP="004A7BE9">
            <w:pPr>
              <w:rPr>
                <w:lang w:val="fr-BE"/>
              </w:rPr>
            </w:pPr>
          </w:p>
        </w:tc>
        <w:tc>
          <w:tcPr>
            <w:tcW w:w="4524" w:type="dxa"/>
          </w:tcPr>
          <w:p w14:paraId="5E28CFDD" w14:textId="77777777" w:rsidR="004A7BE9" w:rsidRPr="00927455" w:rsidRDefault="004A7BE9" w:rsidP="004A7BE9">
            <w:pPr>
              <w:rPr>
                <w:lang w:val="fr-BE"/>
              </w:rPr>
            </w:pPr>
          </w:p>
        </w:tc>
      </w:tr>
      <w:tr w:rsidR="004A7BE9" w:rsidRPr="00927455" w14:paraId="1D17056F" w14:textId="77777777" w:rsidTr="004F667F">
        <w:tc>
          <w:tcPr>
            <w:tcW w:w="4538" w:type="dxa"/>
          </w:tcPr>
          <w:p w14:paraId="726B8193" w14:textId="77777777" w:rsidR="004A7BE9" w:rsidRPr="00927455" w:rsidRDefault="004A7BE9" w:rsidP="007522B5"/>
        </w:tc>
        <w:tc>
          <w:tcPr>
            <w:tcW w:w="4524" w:type="dxa"/>
          </w:tcPr>
          <w:p w14:paraId="2156E189" w14:textId="77777777" w:rsidR="004A7BE9" w:rsidRPr="00927455" w:rsidRDefault="004A7BE9" w:rsidP="004A7BE9"/>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3"/>
        <w:gridCol w:w="1843"/>
        <w:gridCol w:w="2471"/>
      </w:tblGrid>
      <w:tr w:rsidR="004B0CA5" w:rsidRPr="00927455" w14:paraId="3BEA6413" w14:textId="77777777" w:rsidTr="004B0CA5">
        <w:trPr>
          <w:cantSplit/>
          <w:trHeight w:val="459"/>
        </w:trPr>
        <w:tc>
          <w:tcPr>
            <w:tcW w:w="4753" w:type="dxa"/>
            <w:tcBorders>
              <w:bottom w:val="single" w:sz="12" w:space="0" w:color="auto"/>
            </w:tcBorders>
          </w:tcPr>
          <w:p w14:paraId="173843CD" w14:textId="77777777" w:rsidR="004B0CA5" w:rsidRPr="00927455" w:rsidRDefault="004B0CA5" w:rsidP="002757C3">
            <w:pPr>
              <w:keepNext/>
              <w:keepLines/>
              <w:spacing w:before="120" w:after="120"/>
              <w:rPr>
                <w:b/>
                <w:lang w:val="fr-BE"/>
              </w:rPr>
            </w:pPr>
            <w:r w:rsidRPr="00927455">
              <w:rPr>
                <w:b/>
                <w:lang w:val="fr-BE"/>
              </w:rPr>
              <w:t>Exigences de performance</w:t>
            </w:r>
          </w:p>
        </w:tc>
        <w:tc>
          <w:tcPr>
            <w:tcW w:w="1843" w:type="dxa"/>
            <w:tcBorders>
              <w:bottom w:val="single" w:sz="12" w:space="0" w:color="auto"/>
            </w:tcBorders>
          </w:tcPr>
          <w:p w14:paraId="648DC618" w14:textId="77777777" w:rsidR="004B0CA5" w:rsidRPr="00927455" w:rsidRDefault="004B0CA5" w:rsidP="002757C3">
            <w:pPr>
              <w:keepNext/>
              <w:keepLines/>
              <w:spacing w:before="120" w:after="120"/>
              <w:jc w:val="center"/>
              <w:rPr>
                <w:b/>
                <w:lang w:val="fr-BE"/>
              </w:rPr>
            </w:pPr>
            <w:r w:rsidRPr="00927455">
              <w:rPr>
                <w:b/>
                <w:lang w:val="fr-BE"/>
              </w:rPr>
              <w:t>Classes requises</w:t>
            </w:r>
          </w:p>
        </w:tc>
        <w:tc>
          <w:tcPr>
            <w:tcW w:w="2471" w:type="dxa"/>
            <w:tcBorders>
              <w:bottom w:val="single" w:sz="12" w:space="0" w:color="auto"/>
            </w:tcBorders>
          </w:tcPr>
          <w:p w14:paraId="2DF57085" w14:textId="77777777" w:rsidR="004B0CA5" w:rsidRPr="00927455" w:rsidRDefault="004B0CA5" w:rsidP="002757C3">
            <w:pPr>
              <w:keepNext/>
              <w:keepLines/>
              <w:spacing w:before="120" w:after="120"/>
              <w:jc w:val="center"/>
              <w:rPr>
                <w:b/>
                <w:lang w:val="fr-BE"/>
              </w:rPr>
            </w:pPr>
            <w:r w:rsidRPr="00927455">
              <w:rPr>
                <w:b/>
                <w:lang w:val="fr-BE"/>
              </w:rPr>
              <w:t>Normes de référence</w:t>
            </w:r>
          </w:p>
        </w:tc>
      </w:tr>
      <w:tr w:rsidR="004B0CA5" w:rsidRPr="00754BD6" w14:paraId="0DCC871D" w14:textId="77777777" w:rsidTr="004B0CA5">
        <w:trPr>
          <w:cantSplit/>
          <w:trHeight w:val="459"/>
        </w:trPr>
        <w:tc>
          <w:tcPr>
            <w:tcW w:w="4753" w:type="dxa"/>
            <w:tcBorders>
              <w:top w:val="single" w:sz="12" w:space="0" w:color="auto"/>
            </w:tcBorders>
          </w:tcPr>
          <w:p w14:paraId="2A0E0ADD" w14:textId="77777777" w:rsidR="004B0CA5" w:rsidRPr="00927455" w:rsidRDefault="004B0CA5" w:rsidP="002757C3">
            <w:pPr>
              <w:keepNext/>
              <w:keepLines/>
              <w:spacing w:before="120" w:after="120"/>
              <w:rPr>
                <w:lang w:val="fr-BE"/>
              </w:rPr>
            </w:pPr>
            <w:r w:rsidRPr="00927455">
              <w:rPr>
                <w:lang w:val="fr-BE"/>
              </w:rPr>
              <w:t>Résistance à la chaleur du ventilateur</w:t>
            </w:r>
          </w:p>
        </w:tc>
        <w:tc>
          <w:tcPr>
            <w:tcW w:w="1843" w:type="dxa"/>
            <w:tcBorders>
              <w:top w:val="single" w:sz="12" w:space="0" w:color="auto"/>
            </w:tcBorders>
          </w:tcPr>
          <w:p w14:paraId="77C39194" w14:textId="77777777" w:rsidR="004B0CA5" w:rsidRPr="00927455" w:rsidRDefault="004B0CA5" w:rsidP="002757C3">
            <w:pPr>
              <w:pStyle w:val="En-tte"/>
              <w:keepNext/>
              <w:keepLines/>
              <w:spacing w:before="120" w:after="120"/>
              <w:jc w:val="center"/>
              <w:rPr>
                <w:lang w:val="fr-BE"/>
              </w:rPr>
            </w:pPr>
            <w:r w:rsidRPr="00927455">
              <w:rPr>
                <w:lang w:val="fr-BE"/>
              </w:rPr>
              <w:t>F 300</w:t>
            </w:r>
          </w:p>
        </w:tc>
        <w:tc>
          <w:tcPr>
            <w:tcW w:w="2471" w:type="dxa"/>
            <w:tcBorders>
              <w:top w:val="single" w:sz="12" w:space="0" w:color="auto"/>
            </w:tcBorders>
          </w:tcPr>
          <w:p w14:paraId="24B4DE0B" w14:textId="77777777" w:rsidR="004B0CA5" w:rsidRPr="00927455" w:rsidRDefault="004B0CA5" w:rsidP="002757C3">
            <w:pPr>
              <w:pStyle w:val="En-tte"/>
              <w:keepNext/>
              <w:keepLines/>
              <w:spacing w:before="120" w:after="120"/>
              <w:jc w:val="center"/>
              <w:rPr>
                <w:lang w:val="fr-BE"/>
              </w:rPr>
            </w:pPr>
            <w:r w:rsidRPr="00927455">
              <w:rPr>
                <w:lang w:val="fr-BE"/>
              </w:rPr>
              <w:t>NBN EN 12101</w:t>
            </w:r>
            <w:r w:rsidRPr="00927455">
              <w:rPr>
                <w:lang w:val="fr-BE"/>
              </w:rPr>
              <w:noBreakHyphen/>
              <w:t>3</w:t>
            </w:r>
          </w:p>
          <w:p w14:paraId="49B70877" w14:textId="77777777" w:rsidR="004B0CA5" w:rsidRPr="00927455" w:rsidRDefault="004B0CA5" w:rsidP="002757C3">
            <w:pPr>
              <w:pStyle w:val="En-tte"/>
              <w:keepNext/>
              <w:keepLines/>
              <w:spacing w:before="120" w:after="120"/>
              <w:jc w:val="center"/>
              <w:rPr>
                <w:lang w:val="fr-BE"/>
              </w:rPr>
            </w:pPr>
            <w:r w:rsidRPr="00927455">
              <w:rPr>
                <w:lang w:val="fr-BE"/>
              </w:rPr>
              <w:t>(essai : Annexe C)</w:t>
            </w:r>
          </w:p>
        </w:tc>
      </w:tr>
      <w:tr w:rsidR="004B0CA5" w:rsidRPr="00754BD6" w14:paraId="65DB5D98" w14:textId="77777777" w:rsidTr="004B0CA5">
        <w:trPr>
          <w:cantSplit/>
          <w:trHeight w:val="459"/>
        </w:trPr>
        <w:tc>
          <w:tcPr>
            <w:tcW w:w="4753" w:type="dxa"/>
          </w:tcPr>
          <w:p w14:paraId="7A681AC1" w14:textId="77777777" w:rsidR="004B0CA5" w:rsidRPr="00927455" w:rsidRDefault="004B0CA5" w:rsidP="002757C3">
            <w:pPr>
              <w:keepNext/>
              <w:keepLines/>
              <w:spacing w:before="120" w:after="120"/>
              <w:rPr>
                <w:lang w:val="fr-BE"/>
              </w:rPr>
            </w:pPr>
            <w:r w:rsidRPr="00927455">
              <w:rPr>
                <w:lang w:val="fr-BE"/>
              </w:rPr>
              <w:t>Fonctionnement sous charge de neige des accessoires du ventilateur installés à l’extrémité d’un réseau et à l’extérieur, sauf dans le cas de bâtiments chauffés et d’accessoires non isolés thermiquement</w:t>
            </w:r>
          </w:p>
        </w:tc>
        <w:tc>
          <w:tcPr>
            <w:tcW w:w="1843" w:type="dxa"/>
          </w:tcPr>
          <w:p w14:paraId="06D7594D" w14:textId="77777777" w:rsidR="004B0CA5" w:rsidRPr="00927455" w:rsidRDefault="004B0CA5" w:rsidP="002757C3">
            <w:pPr>
              <w:pStyle w:val="En-tte"/>
              <w:keepNext/>
              <w:keepLines/>
              <w:spacing w:before="120" w:after="120"/>
              <w:jc w:val="center"/>
              <w:rPr>
                <w:lang w:val="fr-BE"/>
              </w:rPr>
            </w:pPr>
            <w:r w:rsidRPr="00927455">
              <w:rPr>
                <w:lang w:val="fr-BE"/>
              </w:rPr>
              <w:t>SL 125</w:t>
            </w:r>
          </w:p>
        </w:tc>
        <w:tc>
          <w:tcPr>
            <w:tcW w:w="2471" w:type="dxa"/>
          </w:tcPr>
          <w:p w14:paraId="0E8983C4" w14:textId="77777777" w:rsidR="004B0CA5" w:rsidRPr="00927455" w:rsidRDefault="004B0CA5" w:rsidP="002757C3">
            <w:pPr>
              <w:pStyle w:val="En-tte"/>
              <w:keepNext/>
              <w:keepLines/>
              <w:spacing w:before="120" w:after="120"/>
              <w:jc w:val="center"/>
              <w:rPr>
                <w:lang w:val="fr-BE"/>
              </w:rPr>
            </w:pPr>
            <w:r w:rsidRPr="00927455">
              <w:rPr>
                <w:lang w:val="fr-BE"/>
              </w:rPr>
              <w:t>NBN EN 12101</w:t>
            </w:r>
            <w:r w:rsidRPr="00927455">
              <w:rPr>
                <w:lang w:val="fr-BE"/>
              </w:rPr>
              <w:noBreakHyphen/>
              <w:t>3</w:t>
            </w:r>
          </w:p>
          <w:p w14:paraId="4C90B0CC" w14:textId="77777777" w:rsidR="004B0CA5" w:rsidRPr="00927455" w:rsidRDefault="004B0CA5" w:rsidP="002757C3">
            <w:pPr>
              <w:pStyle w:val="En-tte"/>
              <w:keepNext/>
              <w:keepLines/>
              <w:spacing w:before="120" w:after="120"/>
              <w:jc w:val="center"/>
              <w:rPr>
                <w:lang w:val="fr-BE"/>
              </w:rPr>
            </w:pPr>
            <w:r w:rsidRPr="00927455">
              <w:rPr>
                <w:lang w:val="fr-BE"/>
              </w:rPr>
              <w:t>(essai : Annexe E)</w:t>
            </w:r>
          </w:p>
        </w:tc>
      </w:tr>
      <w:tr w:rsidR="004B0CA5" w:rsidRPr="00754BD6" w14:paraId="2BEA48EA" w14:textId="77777777" w:rsidTr="004B0CA5">
        <w:trPr>
          <w:cantSplit/>
          <w:trHeight w:val="459"/>
        </w:trPr>
        <w:tc>
          <w:tcPr>
            <w:tcW w:w="4753" w:type="dxa"/>
          </w:tcPr>
          <w:p w14:paraId="2BA2881B" w14:textId="77777777" w:rsidR="004B0CA5" w:rsidRPr="00927455" w:rsidRDefault="004B0CA5" w:rsidP="002757C3">
            <w:pPr>
              <w:keepNext/>
              <w:keepLines/>
              <w:spacing w:before="120" w:after="120"/>
              <w:rPr>
                <w:lang w:val="fr-BE"/>
              </w:rPr>
            </w:pPr>
            <w:r w:rsidRPr="00927455">
              <w:rPr>
                <w:lang w:val="fr-BE"/>
              </w:rPr>
              <w:t>Fonctionnement des accessoires du ventilateur qui peuvent être exposés à basse température ambiante et qui ne fonctionnent pas sous l’effet de la différence de pression créée par le ventilateur</w:t>
            </w:r>
          </w:p>
        </w:tc>
        <w:tc>
          <w:tcPr>
            <w:tcW w:w="1843" w:type="dxa"/>
          </w:tcPr>
          <w:p w14:paraId="154C3F44" w14:textId="77777777" w:rsidR="004B0CA5" w:rsidRPr="00927455" w:rsidRDefault="004B0CA5" w:rsidP="002757C3">
            <w:pPr>
              <w:keepNext/>
              <w:keepLines/>
              <w:spacing w:before="120"/>
              <w:jc w:val="center"/>
              <w:rPr>
                <w:lang w:val="fr-BE"/>
              </w:rPr>
            </w:pPr>
            <w:r w:rsidRPr="00927455">
              <w:rPr>
                <w:lang w:val="fr-BE"/>
              </w:rPr>
              <w:t>T (-15)</w:t>
            </w:r>
          </w:p>
        </w:tc>
        <w:tc>
          <w:tcPr>
            <w:tcW w:w="2471" w:type="dxa"/>
          </w:tcPr>
          <w:p w14:paraId="2923C3CF" w14:textId="77777777" w:rsidR="004B0CA5" w:rsidRPr="00927455" w:rsidRDefault="004B0CA5" w:rsidP="002757C3">
            <w:pPr>
              <w:pStyle w:val="En-tte"/>
              <w:keepNext/>
              <w:keepLines/>
              <w:spacing w:before="120" w:after="120"/>
              <w:jc w:val="center"/>
              <w:rPr>
                <w:lang w:val="fr-BE"/>
              </w:rPr>
            </w:pPr>
            <w:r w:rsidRPr="00927455">
              <w:rPr>
                <w:lang w:val="fr-BE"/>
              </w:rPr>
              <w:t>NBN EN 12101</w:t>
            </w:r>
            <w:r w:rsidRPr="00927455">
              <w:rPr>
                <w:lang w:val="fr-BE"/>
              </w:rPr>
              <w:noBreakHyphen/>
              <w:t>2</w:t>
            </w:r>
          </w:p>
          <w:p w14:paraId="5C1BA733" w14:textId="77777777" w:rsidR="004B0CA5" w:rsidRPr="00927455" w:rsidRDefault="004B0CA5" w:rsidP="002757C3">
            <w:pPr>
              <w:keepNext/>
              <w:keepLines/>
              <w:spacing w:before="120" w:after="120"/>
              <w:jc w:val="center"/>
              <w:rPr>
                <w:lang w:val="fr-BE"/>
              </w:rPr>
            </w:pPr>
            <w:r w:rsidRPr="00927455">
              <w:rPr>
                <w:lang w:val="fr-BE"/>
              </w:rPr>
              <w:t>(essai : Annexe E)</w:t>
            </w:r>
          </w:p>
        </w:tc>
      </w:tr>
      <w:tr w:rsidR="004B0CA5" w:rsidRPr="00754BD6" w14:paraId="079550A5" w14:textId="77777777" w:rsidTr="004B0CA5">
        <w:trPr>
          <w:cantSplit/>
          <w:trHeight w:val="459"/>
        </w:trPr>
        <w:tc>
          <w:tcPr>
            <w:tcW w:w="4753" w:type="dxa"/>
          </w:tcPr>
          <w:p w14:paraId="55FBF660" w14:textId="77777777" w:rsidR="004B0CA5" w:rsidRPr="00927455" w:rsidRDefault="004B0CA5" w:rsidP="002757C3">
            <w:pPr>
              <w:keepNext/>
              <w:keepLines/>
              <w:spacing w:before="120" w:after="120"/>
              <w:rPr>
                <w:lang w:val="fr-BE"/>
              </w:rPr>
            </w:pPr>
            <w:r w:rsidRPr="00927455">
              <w:rPr>
                <w:lang w:val="fr-BE"/>
              </w:rPr>
              <w:t>Fiabilité des accessoires du ventilateur qui ne fonctionnent pas sous l’effet de la différence de pression créée par le ventilateur</w:t>
            </w:r>
          </w:p>
        </w:tc>
        <w:tc>
          <w:tcPr>
            <w:tcW w:w="1843" w:type="dxa"/>
          </w:tcPr>
          <w:p w14:paraId="3E2791A6" w14:textId="77777777" w:rsidR="004B0CA5" w:rsidRPr="00927455" w:rsidRDefault="004B0CA5" w:rsidP="002757C3">
            <w:pPr>
              <w:keepNext/>
              <w:keepLines/>
              <w:spacing w:before="120"/>
              <w:jc w:val="center"/>
              <w:rPr>
                <w:lang w:val="fr-BE"/>
              </w:rPr>
            </w:pPr>
            <w:r w:rsidRPr="00927455">
              <w:rPr>
                <w:lang w:val="fr-BE"/>
              </w:rPr>
              <w:t>Re 1000 (*)</w:t>
            </w:r>
          </w:p>
        </w:tc>
        <w:tc>
          <w:tcPr>
            <w:tcW w:w="2471" w:type="dxa"/>
          </w:tcPr>
          <w:p w14:paraId="0F0B5FCE" w14:textId="77777777" w:rsidR="004B0CA5" w:rsidRPr="00927455" w:rsidRDefault="004B0CA5" w:rsidP="002757C3">
            <w:pPr>
              <w:pStyle w:val="En-tte"/>
              <w:keepNext/>
              <w:keepLines/>
              <w:spacing w:before="120" w:after="120"/>
              <w:jc w:val="center"/>
              <w:rPr>
                <w:lang w:val="fr-BE"/>
              </w:rPr>
            </w:pPr>
            <w:r w:rsidRPr="00927455">
              <w:rPr>
                <w:lang w:val="fr-BE"/>
              </w:rPr>
              <w:t>NBN EN 12101</w:t>
            </w:r>
            <w:r w:rsidRPr="00927455">
              <w:rPr>
                <w:lang w:val="fr-BE"/>
              </w:rPr>
              <w:noBreakHyphen/>
              <w:t>2</w:t>
            </w:r>
          </w:p>
          <w:p w14:paraId="426714CA" w14:textId="77777777" w:rsidR="004B0CA5" w:rsidRPr="00927455" w:rsidRDefault="004B0CA5" w:rsidP="002757C3">
            <w:pPr>
              <w:keepNext/>
              <w:keepLines/>
              <w:spacing w:before="120" w:after="120"/>
              <w:jc w:val="center"/>
              <w:rPr>
                <w:lang w:val="fr-BE"/>
              </w:rPr>
            </w:pPr>
            <w:r w:rsidRPr="00927455">
              <w:rPr>
                <w:lang w:val="fr-BE"/>
              </w:rPr>
              <w:t>(essai : Annexe C)</w:t>
            </w:r>
          </w:p>
        </w:tc>
      </w:tr>
    </w:tbl>
    <w:tbl>
      <w:tblPr>
        <w:tblStyle w:val="Grilledutableau"/>
        <w:tblW w:w="0" w:type="auto"/>
        <w:tblLook w:val="04A0" w:firstRow="1" w:lastRow="0" w:firstColumn="1" w:lastColumn="0" w:noHBand="0" w:noVBand="1"/>
      </w:tblPr>
      <w:tblGrid>
        <w:gridCol w:w="4538"/>
        <w:gridCol w:w="4524"/>
      </w:tblGrid>
      <w:tr w:rsidR="004B0CA5" w:rsidRPr="00754BD6" w14:paraId="73AA016D" w14:textId="77777777" w:rsidTr="002757C3">
        <w:tc>
          <w:tcPr>
            <w:tcW w:w="9062" w:type="dxa"/>
            <w:gridSpan w:val="2"/>
          </w:tcPr>
          <w:p w14:paraId="06437375" w14:textId="77777777" w:rsidR="004B0CA5" w:rsidRPr="00927455" w:rsidRDefault="004B0CA5" w:rsidP="004A7BE9">
            <w:pPr>
              <w:rPr>
                <w:lang w:val="fr-BE"/>
              </w:rPr>
            </w:pPr>
            <w:r w:rsidRPr="00927455">
              <w:rPr>
                <w:lang w:val="fr-BE"/>
              </w:rPr>
              <w:t>(*)</w:t>
            </w:r>
            <w:r w:rsidR="00F7169B" w:rsidRPr="00927455">
              <w:rPr>
                <w:lang w:val="fr-BE"/>
              </w:rPr>
              <w:t xml:space="preserve"> </w:t>
            </w:r>
            <w:r w:rsidRPr="00927455">
              <w:rPr>
                <w:lang w:val="fr-BE"/>
              </w:rPr>
              <w:t>Si le dispositif d’évacuation est bi-fonction, 10 000 cycles en position normale de ventilation de confort doivent être effectués avant de procéder à l’essai permettant de déterminer sa classe de fiabilité.</w:t>
            </w:r>
          </w:p>
          <w:p w14:paraId="64B0F4BE" w14:textId="77777777" w:rsidR="002757C3" w:rsidRPr="00927455" w:rsidRDefault="002757C3" w:rsidP="004A7BE9">
            <w:pPr>
              <w:rPr>
                <w:lang w:val="fr-BE"/>
              </w:rPr>
            </w:pPr>
          </w:p>
        </w:tc>
      </w:tr>
      <w:tr w:rsidR="0071410A" w:rsidRPr="00754BD6" w14:paraId="0DD4F59E" w14:textId="77777777" w:rsidTr="004F667F">
        <w:tc>
          <w:tcPr>
            <w:tcW w:w="4538" w:type="dxa"/>
          </w:tcPr>
          <w:p w14:paraId="5E33DC0D" w14:textId="77777777" w:rsidR="002757C3" w:rsidRPr="00927455" w:rsidRDefault="002757C3" w:rsidP="004A7BE9"/>
        </w:tc>
        <w:tc>
          <w:tcPr>
            <w:tcW w:w="4524" w:type="dxa"/>
          </w:tcPr>
          <w:p w14:paraId="068DC262" w14:textId="77777777" w:rsidR="004A7BE9" w:rsidRPr="00927455" w:rsidRDefault="002757C3" w:rsidP="004A7BE9">
            <w:pPr>
              <w:rPr>
                <w:lang w:val="fr-BE"/>
              </w:rPr>
            </w:pPr>
            <w:r w:rsidRPr="00927455">
              <w:rPr>
                <w:lang w:val="fr-BE"/>
              </w:rPr>
              <w:t>Les conduits d’extraction, leurs accessoires et leurs supports doivent être en acier.</w:t>
            </w:r>
          </w:p>
          <w:p w14:paraId="0766CD0C" w14:textId="77777777" w:rsidR="002757C3" w:rsidRPr="00927455" w:rsidRDefault="002757C3" w:rsidP="004A7BE9">
            <w:pPr>
              <w:rPr>
                <w:lang w:val="fr-BE"/>
              </w:rPr>
            </w:pPr>
          </w:p>
        </w:tc>
      </w:tr>
      <w:tr w:rsidR="0071410A" w:rsidRPr="00927455" w14:paraId="608A3E25" w14:textId="77777777" w:rsidTr="004F667F">
        <w:tc>
          <w:tcPr>
            <w:tcW w:w="4538" w:type="dxa"/>
          </w:tcPr>
          <w:p w14:paraId="3D982199" w14:textId="77777777" w:rsidR="00A75E4D" w:rsidRPr="007522B5" w:rsidRDefault="00A75E4D" w:rsidP="004A7BE9">
            <w:pPr>
              <w:rPr>
                <w:lang w:val="fr-BE"/>
              </w:rPr>
            </w:pPr>
          </w:p>
        </w:tc>
        <w:tc>
          <w:tcPr>
            <w:tcW w:w="4524" w:type="dxa"/>
          </w:tcPr>
          <w:p w14:paraId="104DCF10" w14:textId="42154F77" w:rsidR="004A7BE9" w:rsidRPr="00927455" w:rsidRDefault="002757C3" w:rsidP="004A7BE9">
            <w:pPr>
              <w:rPr>
                <w:lang w:val="fr-BE"/>
              </w:rPr>
            </w:pPr>
            <w:r w:rsidRPr="00927455">
              <w:rPr>
                <w:lang w:val="fr-BE"/>
              </w:rPr>
              <w:t>3.3.3.</w:t>
            </w:r>
            <w:r w:rsidR="00D90CA5" w:rsidRPr="00927455">
              <w:rPr>
                <w:lang w:val="fr-BE"/>
              </w:rPr>
              <w:t>4</w:t>
            </w:r>
            <w:r w:rsidRPr="00927455">
              <w:rPr>
                <w:lang w:val="fr-BE"/>
              </w:rPr>
              <w:t xml:space="preserve"> Commande de l’installation EFC</w:t>
            </w:r>
          </w:p>
          <w:p w14:paraId="140D628C" w14:textId="77777777" w:rsidR="002757C3" w:rsidRPr="00927455" w:rsidRDefault="002757C3" w:rsidP="004A7BE9">
            <w:pPr>
              <w:rPr>
                <w:lang w:val="fr-BE"/>
              </w:rPr>
            </w:pPr>
          </w:p>
        </w:tc>
      </w:tr>
      <w:tr w:rsidR="0071410A" w:rsidRPr="00754BD6" w14:paraId="62041603" w14:textId="77777777" w:rsidTr="004F667F">
        <w:tc>
          <w:tcPr>
            <w:tcW w:w="4538" w:type="dxa"/>
          </w:tcPr>
          <w:p w14:paraId="54A18CB9" w14:textId="77777777" w:rsidR="00A75E4D" w:rsidRPr="00927455" w:rsidRDefault="00A75E4D" w:rsidP="002757C3"/>
        </w:tc>
        <w:tc>
          <w:tcPr>
            <w:tcW w:w="4524" w:type="dxa"/>
          </w:tcPr>
          <w:p w14:paraId="54A08958" w14:textId="77777777" w:rsidR="002757C3" w:rsidRPr="00927455" w:rsidRDefault="002757C3" w:rsidP="002757C3">
            <w:pPr>
              <w:rPr>
                <w:lang w:val="fr-BE"/>
              </w:rPr>
            </w:pPr>
            <w:r w:rsidRPr="00927455">
              <w:rPr>
                <w:lang w:val="fr-BE"/>
              </w:rPr>
              <w:t>L’installation EFC est commandée par l’installation de détection automatique des incendies prévue au point 3.3.2.</w:t>
            </w:r>
          </w:p>
          <w:p w14:paraId="2DC1E3A4" w14:textId="77777777" w:rsidR="002757C3" w:rsidRPr="00927455" w:rsidRDefault="002757C3" w:rsidP="002757C3">
            <w:pPr>
              <w:rPr>
                <w:lang w:val="fr-BE"/>
              </w:rPr>
            </w:pPr>
          </w:p>
          <w:p w14:paraId="0246C8EC" w14:textId="77777777" w:rsidR="004A7BE9" w:rsidRPr="00927455" w:rsidRDefault="002757C3" w:rsidP="002757C3">
            <w:pPr>
              <w:rPr>
                <w:lang w:val="fr-BE"/>
              </w:rPr>
            </w:pPr>
            <w:r w:rsidRPr="00927455">
              <w:rPr>
                <w:lang w:val="fr-BE"/>
              </w:rPr>
              <w:lastRenderedPageBreak/>
              <w:t>L’installation EFC doit également pouvoir être commandée manuellement.</w:t>
            </w:r>
          </w:p>
          <w:p w14:paraId="7096BE01" w14:textId="77777777" w:rsidR="002757C3" w:rsidRPr="00927455" w:rsidRDefault="002757C3" w:rsidP="002757C3">
            <w:pPr>
              <w:rPr>
                <w:lang w:val="fr-BE"/>
              </w:rPr>
            </w:pPr>
          </w:p>
        </w:tc>
      </w:tr>
      <w:tr w:rsidR="0071410A" w:rsidRPr="00754BD6" w14:paraId="20C8260F" w14:textId="77777777" w:rsidTr="004F667F">
        <w:tc>
          <w:tcPr>
            <w:tcW w:w="4538" w:type="dxa"/>
          </w:tcPr>
          <w:p w14:paraId="4FDC6ECD" w14:textId="77777777" w:rsidR="002757C3" w:rsidRPr="00927455" w:rsidRDefault="002757C3" w:rsidP="004A7BE9">
            <w:pPr>
              <w:rPr>
                <w:lang w:val="fr-BE"/>
              </w:rPr>
            </w:pPr>
          </w:p>
        </w:tc>
        <w:tc>
          <w:tcPr>
            <w:tcW w:w="4524" w:type="dxa"/>
          </w:tcPr>
          <w:p w14:paraId="56937BB9" w14:textId="0FADBBB3" w:rsidR="004A7BE9" w:rsidRPr="00927455" w:rsidRDefault="002757C3" w:rsidP="004A7BE9">
            <w:pPr>
              <w:rPr>
                <w:lang w:val="fr-BE"/>
              </w:rPr>
            </w:pPr>
            <w:r w:rsidRPr="00927455">
              <w:rPr>
                <w:lang w:val="fr-BE"/>
              </w:rPr>
              <w:t>3.3.3.</w:t>
            </w:r>
            <w:r w:rsidR="00D90CA5" w:rsidRPr="00927455">
              <w:rPr>
                <w:lang w:val="fr-BE"/>
              </w:rPr>
              <w:t>4</w:t>
            </w:r>
            <w:r w:rsidRPr="00927455">
              <w:rPr>
                <w:lang w:val="fr-BE"/>
              </w:rPr>
              <w:t>.1 Disposition dérogatoire - Norme NBN S 21-208-2</w:t>
            </w:r>
          </w:p>
          <w:p w14:paraId="72FE4C75" w14:textId="77777777" w:rsidR="002757C3" w:rsidRPr="00927455" w:rsidRDefault="002757C3" w:rsidP="004A7BE9">
            <w:pPr>
              <w:rPr>
                <w:lang w:val="fr-BE"/>
              </w:rPr>
            </w:pPr>
          </w:p>
        </w:tc>
      </w:tr>
      <w:tr w:rsidR="0071410A" w:rsidRPr="00754BD6" w14:paraId="7EDE45B0" w14:textId="77777777" w:rsidTr="004F667F">
        <w:tc>
          <w:tcPr>
            <w:tcW w:w="4538" w:type="dxa"/>
          </w:tcPr>
          <w:p w14:paraId="4E3A8E50" w14:textId="77777777" w:rsidR="002757C3" w:rsidRPr="00927455" w:rsidRDefault="002757C3" w:rsidP="002757C3"/>
        </w:tc>
        <w:tc>
          <w:tcPr>
            <w:tcW w:w="4524" w:type="dxa"/>
          </w:tcPr>
          <w:p w14:paraId="37727F43" w14:textId="5CEA503D" w:rsidR="002757C3" w:rsidRPr="00927455" w:rsidRDefault="002757C3" w:rsidP="002757C3">
            <w:pPr>
              <w:rPr>
                <w:lang w:val="fr-BE"/>
              </w:rPr>
            </w:pPr>
            <w:r w:rsidRPr="00927455">
              <w:rPr>
                <w:lang w:val="fr-BE"/>
              </w:rPr>
              <w:t>Par dérogation à la norme NBN S 21</w:t>
            </w:r>
            <w:r w:rsidR="004A437B" w:rsidRPr="00927455">
              <w:rPr>
                <w:lang w:val="fr-BE"/>
              </w:rPr>
              <w:t>-</w:t>
            </w:r>
            <w:r w:rsidRPr="00927455">
              <w:rPr>
                <w:lang w:val="fr-BE"/>
              </w:rPr>
              <w:t>208</w:t>
            </w:r>
            <w:r w:rsidR="004A437B" w:rsidRPr="00927455">
              <w:rPr>
                <w:lang w:val="fr-BE"/>
              </w:rPr>
              <w:t>-</w:t>
            </w:r>
            <w:r w:rsidRPr="00927455">
              <w:rPr>
                <w:lang w:val="fr-BE"/>
              </w:rPr>
              <w:t>2, pour les niveaux de parking de type « EFC &amp; Sprinklage » :</w:t>
            </w:r>
          </w:p>
          <w:p w14:paraId="3E88EBE8" w14:textId="77777777" w:rsidR="002757C3" w:rsidRPr="00927455" w:rsidRDefault="002757C3" w:rsidP="002757C3">
            <w:pPr>
              <w:rPr>
                <w:lang w:val="fr-BE"/>
              </w:rPr>
            </w:pPr>
            <w:r w:rsidRPr="00927455">
              <w:rPr>
                <w:lang w:val="fr-BE"/>
              </w:rPr>
              <w:t>- la commande automatique de l’EFC peut être assurée par une installation de détection incendie dont la fonction de détection automatique d’incendie est assurée par l’installation de sprinklage dans les zones qu’elle couvre comme prévu au point 3.3.2.1 ;</w:t>
            </w:r>
          </w:p>
          <w:p w14:paraId="25CEF076" w14:textId="77777777" w:rsidR="004A7BE9" w:rsidRPr="00927455" w:rsidRDefault="002757C3" w:rsidP="002757C3">
            <w:pPr>
              <w:rPr>
                <w:lang w:val="fr-BE"/>
              </w:rPr>
            </w:pPr>
            <w:r w:rsidRPr="00927455">
              <w:rPr>
                <w:lang w:val="fr-BE"/>
              </w:rPr>
              <w:t>- l’activation du scénario incendie de l’EFC doit avoir lieu 3 minutes après réception du signal du dispositif d’alarme de débit d’eau de l’installation de sprinklage.</w:t>
            </w:r>
          </w:p>
          <w:p w14:paraId="0EEB95CB" w14:textId="77777777" w:rsidR="002757C3" w:rsidRPr="00927455" w:rsidRDefault="002757C3" w:rsidP="002757C3">
            <w:pPr>
              <w:rPr>
                <w:lang w:val="fr-BE"/>
              </w:rPr>
            </w:pPr>
          </w:p>
        </w:tc>
      </w:tr>
      <w:tr w:rsidR="0071410A" w:rsidRPr="00927455" w14:paraId="507AB5C3" w14:textId="77777777" w:rsidTr="004F667F">
        <w:tc>
          <w:tcPr>
            <w:tcW w:w="4538" w:type="dxa"/>
          </w:tcPr>
          <w:p w14:paraId="015A40BA" w14:textId="77777777" w:rsidR="002757C3" w:rsidRPr="00927455" w:rsidRDefault="002757C3" w:rsidP="004A7BE9">
            <w:pPr>
              <w:rPr>
                <w:b/>
                <w:lang w:val="fr-BE"/>
              </w:rPr>
            </w:pPr>
          </w:p>
        </w:tc>
        <w:tc>
          <w:tcPr>
            <w:tcW w:w="4524" w:type="dxa"/>
          </w:tcPr>
          <w:p w14:paraId="7E71C362" w14:textId="77777777" w:rsidR="004A7BE9" w:rsidRPr="00927455" w:rsidRDefault="002757C3" w:rsidP="004A7BE9">
            <w:pPr>
              <w:rPr>
                <w:b/>
                <w:lang w:val="fr-BE"/>
              </w:rPr>
            </w:pPr>
            <w:r w:rsidRPr="00927455">
              <w:rPr>
                <w:b/>
                <w:lang w:val="fr-BE"/>
              </w:rPr>
              <w:t xml:space="preserve">3.3.4 </w:t>
            </w:r>
            <w:r w:rsidR="00063AB0" w:rsidRPr="00927455">
              <w:rPr>
                <w:b/>
                <w:lang w:val="fr-BE"/>
              </w:rPr>
              <w:t>Installation de sprinklage</w:t>
            </w:r>
          </w:p>
          <w:p w14:paraId="6D61800F" w14:textId="77777777" w:rsidR="002757C3" w:rsidRPr="00927455" w:rsidRDefault="002757C3" w:rsidP="004A7BE9">
            <w:pPr>
              <w:rPr>
                <w:b/>
                <w:lang w:val="fr-BE"/>
              </w:rPr>
            </w:pPr>
          </w:p>
        </w:tc>
      </w:tr>
      <w:tr w:rsidR="0071410A" w:rsidRPr="00754BD6" w14:paraId="60265E54" w14:textId="77777777" w:rsidTr="004F667F">
        <w:tc>
          <w:tcPr>
            <w:tcW w:w="4538" w:type="dxa"/>
          </w:tcPr>
          <w:p w14:paraId="0A00984D" w14:textId="77777777" w:rsidR="00E04DA2" w:rsidRPr="00927455" w:rsidRDefault="00E04DA2" w:rsidP="004A7BE9"/>
        </w:tc>
        <w:tc>
          <w:tcPr>
            <w:tcW w:w="4524" w:type="dxa"/>
          </w:tcPr>
          <w:p w14:paraId="53DF80FD" w14:textId="77777777" w:rsidR="004A7BE9" w:rsidRPr="00927455" w:rsidRDefault="005B6457" w:rsidP="004A7BE9">
            <w:pPr>
              <w:rPr>
                <w:lang w:val="fr-BE"/>
              </w:rPr>
            </w:pPr>
            <w:r w:rsidRPr="00927455">
              <w:rPr>
                <w:lang w:val="fr-BE"/>
              </w:rPr>
              <w:t>Pour les niveaux de parking équipé d’une installation d’extinction automatique (sprinklage), cette installation doit couvrir les zones de stationnement des véhicules, les allées de circulation, les rampes et les locaux inclus, sauf ceux qui sont séparés par des parois et des portes résistantes au feu du reste du compartiment parking.</w:t>
            </w:r>
          </w:p>
          <w:p w14:paraId="40643A89" w14:textId="77777777" w:rsidR="005B6457" w:rsidRPr="00927455" w:rsidRDefault="005B6457" w:rsidP="004A7BE9">
            <w:pPr>
              <w:rPr>
                <w:lang w:val="fr-BE"/>
              </w:rPr>
            </w:pPr>
          </w:p>
        </w:tc>
      </w:tr>
      <w:tr w:rsidR="0071410A" w:rsidRPr="00927455" w14:paraId="7C7152FE" w14:textId="77777777" w:rsidTr="004F667F">
        <w:tc>
          <w:tcPr>
            <w:tcW w:w="4538" w:type="dxa"/>
          </w:tcPr>
          <w:p w14:paraId="2EA60569" w14:textId="77777777" w:rsidR="00E04DA2" w:rsidRPr="00927455" w:rsidRDefault="00E04DA2" w:rsidP="004A7BE9">
            <w:pPr>
              <w:rPr>
                <w:lang w:val="fr-BE"/>
              </w:rPr>
            </w:pPr>
          </w:p>
        </w:tc>
        <w:tc>
          <w:tcPr>
            <w:tcW w:w="4524" w:type="dxa"/>
          </w:tcPr>
          <w:p w14:paraId="322A6410" w14:textId="77777777" w:rsidR="00A75E4D" w:rsidRPr="00927455" w:rsidRDefault="005B6457" w:rsidP="004A7BE9">
            <w:pPr>
              <w:rPr>
                <w:lang w:val="fr-BE"/>
              </w:rPr>
            </w:pPr>
            <w:r w:rsidRPr="00927455">
              <w:rPr>
                <w:lang w:val="fr-BE"/>
              </w:rPr>
              <w:t>3.3.4.1</w:t>
            </w:r>
            <w:r w:rsidRPr="00927455">
              <w:rPr>
                <w:lang w:val="fr-BE"/>
              </w:rPr>
              <w:tab/>
              <w:t>Exécution de l’installation de sprinklage</w:t>
            </w:r>
          </w:p>
          <w:p w14:paraId="1F4D8844" w14:textId="77777777" w:rsidR="005B6457" w:rsidRPr="00927455" w:rsidRDefault="005B6457" w:rsidP="004A7BE9">
            <w:pPr>
              <w:rPr>
                <w:lang w:val="fr-BE"/>
              </w:rPr>
            </w:pPr>
          </w:p>
        </w:tc>
      </w:tr>
      <w:tr w:rsidR="0071410A" w:rsidRPr="00754BD6" w14:paraId="7B1B5C47" w14:textId="77777777" w:rsidTr="004F667F">
        <w:tc>
          <w:tcPr>
            <w:tcW w:w="4538" w:type="dxa"/>
          </w:tcPr>
          <w:p w14:paraId="1F60F71E" w14:textId="77777777" w:rsidR="00E04DA2" w:rsidRPr="00927455" w:rsidRDefault="00E04DA2" w:rsidP="00E04DA2">
            <w:pPr>
              <w:jc w:val="both"/>
            </w:pPr>
          </w:p>
        </w:tc>
        <w:tc>
          <w:tcPr>
            <w:tcW w:w="4524" w:type="dxa"/>
          </w:tcPr>
          <w:p w14:paraId="65F50AD2" w14:textId="77777777" w:rsidR="00E04DA2" w:rsidRPr="00927455" w:rsidRDefault="00E04DA2" w:rsidP="00E04DA2">
            <w:pPr>
              <w:rPr>
                <w:lang w:val="fr-BE"/>
              </w:rPr>
            </w:pPr>
            <w:r w:rsidRPr="00927455">
              <w:rPr>
                <w:lang w:val="fr-BE"/>
              </w:rPr>
              <w:t>L’installation de sprinklage est conçue et réalisée suivant la norme NBN EN 12845, la norme NFPA 13 ou toute autre règle de l’art présentant un niveau de sécurité équivalent. Ces normes et règles de l’art doivent être appliquées dans leur intégralité sans mélanger leurs spécifications entre elles.</w:t>
            </w:r>
          </w:p>
          <w:p w14:paraId="04ACFABA" w14:textId="77777777" w:rsidR="00E04DA2" w:rsidRPr="00927455" w:rsidRDefault="00E04DA2" w:rsidP="00E04DA2">
            <w:pPr>
              <w:rPr>
                <w:lang w:val="fr-BE"/>
              </w:rPr>
            </w:pPr>
          </w:p>
        </w:tc>
      </w:tr>
      <w:tr w:rsidR="0071410A" w:rsidRPr="00754BD6" w14:paraId="1AA50D57" w14:textId="77777777" w:rsidTr="004F667F">
        <w:tc>
          <w:tcPr>
            <w:tcW w:w="4538" w:type="dxa"/>
          </w:tcPr>
          <w:p w14:paraId="71B65A29" w14:textId="77777777" w:rsidR="00E04DA2" w:rsidRPr="00927455" w:rsidRDefault="00E04DA2" w:rsidP="00E04DA2">
            <w:pPr>
              <w:rPr>
                <w:lang w:val="fr-BE"/>
              </w:rPr>
            </w:pPr>
          </w:p>
        </w:tc>
        <w:tc>
          <w:tcPr>
            <w:tcW w:w="4524" w:type="dxa"/>
          </w:tcPr>
          <w:p w14:paraId="7BADCCFA" w14:textId="77777777" w:rsidR="00E04DA2" w:rsidRPr="00927455" w:rsidRDefault="00E04DA2" w:rsidP="00E04DA2">
            <w:pPr>
              <w:rPr>
                <w:lang w:val="fr-BE"/>
              </w:rPr>
            </w:pPr>
            <w:r w:rsidRPr="00927455">
              <w:rPr>
                <w:lang w:val="fr-BE"/>
              </w:rPr>
              <w:t>3.3.4.1.1 Disposition dérogatoire - Source autonome de courant.</w:t>
            </w:r>
          </w:p>
          <w:p w14:paraId="559D9D36" w14:textId="77777777" w:rsidR="00E04DA2" w:rsidRPr="00927455" w:rsidRDefault="00E04DA2" w:rsidP="00E04DA2">
            <w:pPr>
              <w:rPr>
                <w:lang w:val="fr-BE"/>
              </w:rPr>
            </w:pPr>
          </w:p>
        </w:tc>
      </w:tr>
      <w:tr w:rsidR="0071410A" w:rsidRPr="00754BD6" w14:paraId="65359BBE" w14:textId="77777777" w:rsidTr="004F667F">
        <w:tc>
          <w:tcPr>
            <w:tcW w:w="4538" w:type="dxa"/>
          </w:tcPr>
          <w:p w14:paraId="41E0D02F" w14:textId="77777777" w:rsidR="00E04DA2" w:rsidRPr="00927455" w:rsidRDefault="00E04DA2" w:rsidP="00E04DA2">
            <w:pPr>
              <w:jc w:val="both"/>
            </w:pPr>
          </w:p>
        </w:tc>
        <w:tc>
          <w:tcPr>
            <w:tcW w:w="4524" w:type="dxa"/>
          </w:tcPr>
          <w:p w14:paraId="689F7AFB" w14:textId="77777777" w:rsidR="00E04DA2" w:rsidRPr="00927455" w:rsidRDefault="00E04DA2" w:rsidP="00E04DA2">
            <w:pPr>
              <w:rPr>
                <w:lang w:val="fr-BE"/>
              </w:rPr>
            </w:pPr>
            <w:r w:rsidRPr="00927455">
              <w:rPr>
                <w:lang w:val="fr-BE"/>
              </w:rPr>
              <w:t>Par dérogation au point 6.5.3 des annexes 2/1, 3/1 et 4/1, les éventuelles pompes de l’installation de sprinklage ne doivent pas être alimentées par une source autonome de courant pour les parkings de type "Sprinklage" ayant une superficie totale inférieure ou égale à 2500 m².</w:t>
            </w:r>
          </w:p>
          <w:p w14:paraId="493DDC34" w14:textId="77777777" w:rsidR="00E04DA2" w:rsidRPr="00927455" w:rsidRDefault="00E04DA2" w:rsidP="00E04DA2">
            <w:pPr>
              <w:rPr>
                <w:lang w:val="fr-BE"/>
              </w:rPr>
            </w:pPr>
          </w:p>
        </w:tc>
      </w:tr>
      <w:tr w:rsidR="0071410A" w:rsidRPr="00754BD6" w14:paraId="530EB15F" w14:textId="77777777" w:rsidTr="004F667F">
        <w:tc>
          <w:tcPr>
            <w:tcW w:w="4538" w:type="dxa"/>
          </w:tcPr>
          <w:p w14:paraId="4DB10CA0" w14:textId="77777777" w:rsidR="00E04DA2" w:rsidRPr="00927455" w:rsidRDefault="00E04DA2" w:rsidP="00E04DA2"/>
        </w:tc>
        <w:tc>
          <w:tcPr>
            <w:tcW w:w="4524" w:type="dxa"/>
          </w:tcPr>
          <w:p w14:paraId="1C3E3510" w14:textId="6D12F8A8" w:rsidR="00E04DA2" w:rsidRPr="00927455" w:rsidRDefault="00E04DA2" w:rsidP="00E04DA2">
            <w:pPr>
              <w:rPr>
                <w:lang w:val="fr-BE"/>
              </w:rPr>
            </w:pPr>
            <w:r w:rsidRPr="00927455">
              <w:rPr>
                <w:lang w:val="fr-BE"/>
              </w:rPr>
              <w:t>3.3.4.</w:t>
            </w:r>
            <w:r w:rsidR="00C15326" w:rsidRPr="00927455">
              <w:rPr>
                <w:lang w:val="fr-BE"/>
              </w:rPr>
              <w:t>2</w:t>
            </w:r>
            <w:r w:rsidRPr="00927455">
              <w:rPr>
                <w:lang w:val="fr-BE"/>
              </w:rPr>
              <w:t xml:space="preserve"> </w:t>
            </w:r>
            <w:r w:rsidR="00672752" w:rsidRPr="00927455">
              <w:rPr>
                <w:lang w:val="fr-BE"/>
              </w:rPr>
              <w:t>Installation de sprinklage de type 2</w:t>
            </w:r>
          </w:p>
          <w:p w14:paraId="19865F9C" w14:textId="77777777" w:rsidR="00E04DA2" w:rsidRPr="00927455" w:rsidRDefault="00E04DA2" w:rsidP="00E04DA2">
            <w:pPr>
              <w:rPr>
                <w:lang w:val="fr-BE"/>
              </w:rPr>
            </w:pPr>
          </w:p>
        </w:tc>
      </w:tr>
      <w:tr w:rsidR="0071410A" w:rsidRPr="00754BD6" w14:paraId="01EB8A7F" w14:textId="77777777" w:rsidTr="004F667F">
        <w:tc>
          <w:tcPr>
            <w:tcW w:w="4538" w:type="dxa"/>
          </w:tcPr>
          <w:p w14:paraId="38B500EE" w14:textId="77777777" w:rsidR="00BE0FFB" w:rsidRPr="007522B5" w:rsidRDefault="00BE0FFB" w:rsidP="00BE0FFB">
            <w:pPr>
              <w:jc w:val="both"/>
              <w:rPr>
                <w:lang w:val="fr-BE"/>
              </w:rPr>
            </w:pPr>
          </w:p>
        </w:tc>
        <w:tc>
          <w:tcPr>
            <w:tcW w:w="4524" w:type="dxa"/>
          </w:tcPr>
          <w:p w14:paraId="12F1783D" w14:textId="77777777" w:rsidR="00BE0FFB" w:rsidRPr="00927455" w:rsidRDefault="00BE0FFB" w:rsidP="00BE0FFB">
            <w:pPr>
              <w:rPr>
                <w:lang w:val="fr-BE"/>
              </w:rPr>
            </w:pPr>
            <w:r w:rsidRPr="00927455">
              <w:rPr>
                <w:lang w:val="fr-BE"/>
              </w:rPr>
              <w:t>Pour un sous-compartiment de type « Sprinklage » :</w:t>
            </w:r>
          </w:p>
          <w:p w14:paraId="549E8477" w14:textId="77777777" w:rsidR="00BE0FFB" w:rsidRPr="00927455" w:rsidRDefault="00BE0FFB" w:rsidP="00BE0FFB">
            <w:pPr>
              <w:rPr>
                <w:lang w:val="fr-BE"/>
              </w:rPr>
            </w:pPr>
            <w:r w:rsidRPr="00927455">
              <w:rPr>
                <w:lang w:val="fr-BE"/>
              </w:rPr>
              <w:t>a)</w:t>
            </w:r>
            <w:r w:rsidRPr="00927455">
              <w:rPr>
                <w:lang w:val="fr-BE"/>
              </w:rPr>
              <w:tab/>
              <w:t>d’une superficie inférieure ou égale à 1250 m² et hors-sol ;</w:t>
            </w:r>
          </w:p>
          <w:p w14:paraId="604CADEF" w14:textId="77777777" w:rsidR="00BE0FFB" w:rsidRPr="00927455" w:rsidRDefault="00BE0FFB" w:rsidP="00BE0FFB">
            <w:pPr>
              <w:rPr>
                <w:lang w:val="fr-BE"/>
              </w:rPr>
            </w:pPr>
            <w:r w:rsidRPr="00927455">
              <w:rPr>
                <w:lang w:val="fr-BE"/>
              </w:rPr>
              <w:t>b)</w:t>
            </w:r>
            <w:r w:rsidRPr="00927455">
              <w:rPr>
                <w:lang w:val="fr-BE"/>
              </w:rPr>
              <w:tab/>
              <w:t>d’une superficie inférieure ou égale à 1250 m² et d’une profondeur inférieure ou égale à 7 m ;</w:t>
            </w:r>
          </w:p>
          <w:p w14:paraId="78B98875" w14:textId="77777777" w:rsidR="00BE0FFB" w:rsidRPr="00927455" w:rsidRDefault="00BE0FFB" w:rsidP="00BE0FFB">
            <w:pPr>
              <w:rPr>
                <w:lang w:val="fr-BE"/>
              </w:rPr>
            </w:pPr>
            <w:r w:rsidRPr="00927455">
              <w:rPr>
                <w:lang w:val="fr-BE"/>
              </w:rPr>
              <w:t xml:space="preserve">et à condition que la superficie totale du parking soit </w:t>
            </w:r>
            <w:r w:rsidR="00F7169B" w:rsidRPr="00927455">
              <w:rPr>
                <w:lang w:val="fr-BE"/>
              </w:rPr>
              <w:t>inférieure ou égale à 10 000 m² </w:t>
            </w:r>
            <w:r w:rsidRPr="00927455">
              <w:rPr>
                <w:lang w:val="fr-BE"/>
              </w:rPr>
              <w:t>;</w:t>
            </w:r>
          </w:p>
          <w:p w14:paraId="00B4DA28" w14:textId="77777777" w:rsidR="00BE0FFB" w:rsidRPr="00927455" w:rsidRDefault="00BE0FFB" w:rsidP="00BE0FFB">
            <w:pPr>
              <w:rPr>
                <w:lang w:val="fr-BE"/>
              </w:rPr>
            </w:pPr>
            <w:r w:rsidRPr="00927455">
              <w:rPr>
                <w:lang w:val="fr-BE"/>
              </w:rPr>
              <w:t>les dérogations suivantes à la norme NBN EN 12845 ou NFPA 13 sont accordées :</w:t>
            </w:r>
          </w:p>
          <w:p w14:paraId="3521E881" w14:textId="77777777" w:rsidR="00BE0FFB" w:rsidRPr="00927455" w:rsidRDefault="00BE0FFB" w:rsidP="00BE0FFB">
            <w:pPr>
              <w:rPr>
                <w:lang w:val="fr-BE"/>
              </w:rPr>
            </w:pPr>
            <w:r w:rsidRPr="00927455">
              <w:rPr>
                <w:lang w:val="fr-BE"/>
              </w:rPr>
              <w:t>-</w:t>
            </w:r>
            <w:r w:rsidRPr="00927455">
              <w:rPr>
                <w:lang w:val="fr-BE"/>
              </w:rPr>
              <w:tab/>
              <w:t>pour la norme NBN EN 12845, la classe de risque est OH1 ;</w:t>
            </w:r>
          </w:p>
          <w:p w14:paraId="70E16AA3" w14:textId="77777777" w:rsidR="00BE0FFB" w:rsidRPr="00927455" w:rsidRDefault="00BE0FFB" w:rsidP="00BE0FFB">
            <w:pPr>
              <w:rPr>
                <w:lang w:val="fr-BE"/>
              </w:rPr>
            </w:pPr>
            <w:r w:rsidRPr="00927455">
              <w:rPr>
                <w:lang w:val="fr-BE"/>
              </w:rPr>
              <w:t>-</w:t>
            </w:r>
            <w:r w:rsidRPr="00927455">
              <w:rPr>
                <w:lang w:val="fr-BE"/>
              </w:rPr>
              <w:tab/>
              <w:t>pour la norme NFPA 13, la classe de risque est LH avec une densité de calcul d’au moins 4 mm/min ;</w:t>
            </w:r>
          </w:p>
          <w:p w14:paraId="12C4E963" w14:textId="77777777" w:rsidR="00BE0FFB" w:rsidRPr="00927455" w:rsidRDefault="00BE0FFB" w:rsidP="00BE0FFB">
            <w:pPr>
              <w:rPr>
                <w:lang w:val="fr-BE"/>
              </w:rPr>
            </w:pPr>
            <w:r w:rsidRPr="00927455">
              <w:rPr>
                <w:lang w:val="fr-BE"/>
              </w:rPr>
              <w:t>-</w:t>
            </w:r>
            <w:r w:rsidRPr="00927455">
              <w:rPr>
                <w:lang w:val="fr-BE"/>
              </w:rPr>
              <w:tab/>
              <w:t>la source d'eau doit avoir une capacité suffisante pour d'assurer durant 30 minutes les conditions de pression/débit requises pour le système.</w:t>
            </w:r>
          </w:p>
          <w:p w14:paraId="273A4811" w14:textId="77777777" w:rsidR="00BE0FFB" w:rsidRPr="00927455" w:rsidRDefault="00BE0FFB" w:rsidP="00BE0FFB">
            <w:pPr>
              <w:rPr>
                <w:lang w:val="fr-BE"/>
              </w:rPr>
            </w:pPr>
          </w:p>
        </w:tc>
      </w:tr>
      <w:tr w:rsidR="0071410A" w:rsidRPr="00927455" w14:paraId="1F1C128A" w14:textId="77777777" w:rsidTr="004F667F">
        <w:tc>
          <w:tcPr>
            <w:tcW w:w="4538" w:type="dxa"/>
          </w:tcPr>
          <w:p w14:paraId="09AE9129" w14:textId="77777777" w:rsidR="00BE0FFB" w:rsidRPr="00927455" w:rsidRDefault="00BE0FFB" w:rsidP="00BE0FFB">
            <w:pPr>
              <w:rPr>
                <w:b/>
                <w:lang w:val="fr-BE"/>
              </w:rPr>
            </w:pPr>
          </w:p>
        </w:tc>
        <w:tc>
          <w:tcPr>
            <w:tcW w:w="4524" w:type="dxa"/>
          </w:tcPr>
          <w:p w14:paraId="09037F28" w14:textId="77777777" w:rsidR="00BE0FFB" w:rsidRPr="00927455" w:rsidRDefault="00BE0FFB" w:rsidP="00BE0FFB">
            <w:pPr>
              <w:rPr>
                <w:b/>
                <w:lang w:val="fr-BE"/>
              </w:rPr>
            </w:pPr>
            <w:r w:rsidRPr="00927455">
              <w:rPr>
                <w:b/>
                <w:lang w:val="fr-BE"/>
              </w:rPr>
              <w:t>3.3.5 Sous-compartimentage</w:t>
            </w:r>
          </w:p>
          <w:p w14:paraId="6631C9EA" w14:textId="77777777" w:rsidR="00BE0FFB" w:rsidRPr="00927455" w:rsidRDefault="00BE0FFB" w:rsidP="00BE0FFB">
            <w:pPr>
              <w:rPr>
                <w:b/>
                <w:lang w:val="fr-BE"/>
              </w:rPr>
            </w:pPr>
          </w:p>
        </w:tc>
      </w:tr>
      <w:tr w:rsidR="0071410A" w:rsidRPr="00754BD6" w14:paraId="1F815DEA" w14:textId="77777777" w:rsidTr="004F667F">
        <w:tc>
          <w:tcPr>
            <w:tcW w:w="4538" w:type="dxa"/>
          </w:tcPr>
          <w:p w14:paraId="069484E9" w14:textId="77777777" w:rsidR="00693075" w:rsidRPr="00927455" w:rsidRDefault="00693075" w:rsidP="00693075"/>
        </w:tc>
        <w:tc>
          <w:tcPr>
            <w:tcW w:w="4524" w:type="dxa"/>
          </w:tcPr>
          <w:p w14:paraId="0ABB865C" w14:textId="1A6716C3" w:rsidR="00693075" w:rsidRPr="00927455" w:rsidRDefault="00693075" w:rsidP="00693075">
            <w:pPr>
              <w:rPr>
                <w:lang w:val="fr-BE"/>
              </w:rPr>
            </w:pPr>
            <w:r w:rsidRPr="00927455">
              <w:rPr>
                <w:lang w:val="fr-BE"/>
              </w:rPr>
              <w:t xml:space="preserve">Le principe est la subdivision automatique en cas d’incendie </w:t>
            </w:r>
            <w:r w:rsidR="007B2888" w:rsidRPr="00927455">
              <w:rPr>
                <w:lang w:val="fr-BE"/>
              </w:rPr>
              <w:t xml:space="preserve">des niveaux de parking </w:t>
            </w:r>
            <w:r w:rsidRPr="00927455">
              <w:rPr>
                <w:lang w:val="fr-BE"/>
              </w:rPr>
              <w:t>en plusieurs sous-compartiments afin de ralentir la propagation de l’incendie et de limiter la superficie sinistrée.</w:t>
            </w:r>
          </w:p>
          <w:p w14:paraId="571E353D" w14:textId="77777777" w:rsidR="00693075" w:rsidRPr="00927455" w:rsidRDefault="00693075" w:rsidP="00693075">
            <w:pPr>
              <w:rPr>
                <w:lang w:val="fr-BE"/>
              </w:rPr>
            </w:pPr>
          </w:p>
          <w:p w14:paraId="433CAD06" w14:textId="4CEE824F" w:rsidR="00196A6A" w:rsidRPr="00927455" w:rsidRDefault="00196A6A" w:rsidP="00196A6A">
            <w:pPr>
              <w:rPr>
                <w:lang w:val="fr-BE"/>
              </w:rPr>
            </w:pPr>
            <w:r w:rsidRPr="00927455">
              <w:rPr>
                <w:lang w:val="fr-BE"/>
              </w:rPr>
              <w:t xml:space="preserve">La superficie d’un sous-compartiment est limitée en fonction de sa profondeur afin de tenir compte de l'intervention </w:t>
            </w:r>
            <w:r w:rsidR="004A437B" w:rsidRPr="00927455">
              <w:rPr>
                <w:lang w:val="fr-BE"/>
              </w:rPr>
              <w:t xml:space="preserve">difficile </w:t>
            </w:r>
            <w:r w:rsidRPr="00927455">
              <w:rPr>
                <w:lang w:val="fr-BE"/>
              </w:rPr>
              <w:t>du service d'incendie dans les niveaux les plus profonds.</w:t>
            </w:r>
          </w:p>
          <w:p w14:paraId="09C69BDF" w14:textId="77777777" w:rsidR="00196A6A" w:rsidRPr="00927455" w:rsidRDefault="00196A6A" w:rsidP="00196A6A">
            <w:pPr>
              <w:rPr>
                <w:lang w:val="fr-BE"/>
              </w:rPr>
            </w:pPr>
          </w:p>
          <w:p w14:paraId="3CED3961" w14:textId="77777777" w:rsidR="00693075" w:rsidRPr="00927455" w:rsidRDefault="00693075" w:rsidP="00693075">
            <w:pPr>
              <w:rPr>
                <w:lang w:val="fr-BE"/>
              </w:rPr>
            </w:pPr>
            <w:r w:rsidRPr="00927455">
              <w:rPr>
                <w:lang w:val="fr-BE"/>
              </w:rPr>
              <w:t>Cette exigence n’est pas d’application :</w:t>
            </w:r>
          </w:p>
          <w:p w14:paraId="73BF1E5E" w14:textId="77777777" w:rsidR="00693075" w:rsidRPr="00927455" w:rsidRDefault="00693075" w:rsidP="00693075">
            <w:pPr>
              <w:rPr>
                <w:lang w:val="fr-BE"/>
              </w:rPr>
            </w:pPr>
            <w:r w:rsidRPr="00927455">
              <w:rPr>
                <w:lang w:val="fr-BE"/>
              </w:rPr>
              <w:t>a)</w:t>
            </w:r>
            <w:r w:rsidRPr="00927455">
              <w:rPr>
                <w:lang w:val="fr-BE"/>
              </w:rPr>
              <w:tab/>
              <w:t>aux parkings ayant une superficie totale inférieure ou égale à la limite reprise au point 3.3.1 au-dessus de laquelle l’un des types de protection doit être mis en œuvre à chaque niveau de parking ;</w:t>
            </w:r>
          </w:p>
          <w:p w14:paraId="05FCFE14" w14:textId="77777777" w:rsidR="00693075" w:rsidRPr="00927455" w:rsidRDefault="00693075" w:rsidP="00693075">
            <w:pPr>
              <w:rPr>
                <w:lang w:val="fr-BE"/>
              </w:rPr>
            </w:pPr>
            <w:r w:rsidRPr="00927455">
              <w:rPr>
                <w:lang w:val="fr-BE"/>
              </w:rPr>
              <w:t>b)</w:t>
            </w:r>
            <w:r w:rsidRPr="00927455">
              <w:rPr>
                <w:lang w:val="fr-BE"/>
              </w:rPr>
              <w:tab/>
              <w:t>aux parkings ayant une superficie totale inférieure ou égale à 2500 m² qui s’étendent en hauteur sur maximum deux niveaux ;</w:t>
            </w:r>
          </w:p>
          <w:p w14:paraId="55ABF78B" w14:textId="77777777" w:rsidR="00693075" w:rsidRPr="00927455" w:rsidRDefault="00693075" w:rsidP="00693075">
            <w:pPr>
              <w:rPr>
                <w:lang w:val="fr-BE"/>
              </w:rPr>
            </w:pPr>
            <w:r w:rsidRPr="00927455">
              <w:rPr>
                <w:lang w:val="fr-BE"/>
              </w:rPr>
              <w:t>c)</w:t>
            </w:r>
            <w:r w:rsidRPr="00927455">
              <w:rPr>
                <w:lang w:val="fr-BE"/>
              </w:rPr>
              <w:tab/>
              <w:t>aux parkings de type "EFC &amp; Sprinklage" ou "Ouvert".</w:t>
            </w:r>
          </w:p>
          <w:p w14:paraId="414464C4" w14:textId="77777777" w:rsidR="00693075" w:rsidRPr="00927455" w:rsidRDefault="00693075" w:rsidP="00693075">
            <w:pPr>
              <w:rPr>
                <w:lang w:val="fr-BE"/>
              </w:rPr>
            </w:pPr>
            <w:r w:rsidRPr="00927455">
              <w:rPr>
                <w:lang w:val="fr-BE"/>
              </w:rPr>
              <w:t xml:space="preserve"> </w:t>
            </w:r>
          </w:p>
          <w:p w14:paraId="77DA81CD" w14:textId="77777777" w:rsidR="00BE0FFB" w:rsidRPr="00927455" w:rsidRDefault="00693075" w:rsidP="00693075">
            <w:pPr>
              <w:rPr>
                <w:lang w:val="fr-BE"/>
              </w:rPr>
            </w:pPr>
            <w:r w:rsidRPr="00927455">
              <w:rPr>
                <w:lang w:val="fr-BE"/>
              </w:rPr>
              <w:t>Un niveau de parking peut former un seul sous-compartiment à condition de respecter les prescriptions ci-dessous.</w:t>
            </w:r>
          </w:p>
          <w:p w14:paraId="14B28412" w14:textId="77777777" w:rsidR="00693075" w:rsidRPr="00927455" w:rsidRDefault="00693075" w:rsidP="00693075">
            <w:pPr>
              <w:rPr>
                <w:lang w:val="fr-BE"/>
              </w:rPr>
            </w:pPr>
          </w:p>
        </w:tc>
      </w:tr>
      <w:tr w:rsidR="0071410A" w:rsidRPr="00927455" w14:paraId="5F522726" w14:textId="77777777" w:rsidTr="004F667F">
        <w:tc>
          <w:tcPr>
            <w:tcW w:w="4538" w:type="dxa"/>
          </w:tcPr>
          <w:p w14:paraId="40FC9666" w14:textId="653343F0" w:rsidR="00BE0FFB" w:rsidRPr="00927455" w:rsidRDefault="00BE0FFB" w:rsidP="00BE0FFB">
            <w:pPr>
              <w:rPr>
                <w:lang w:val="fr-BE"/>
              </w:rPr>
            </w:pPr>
          </w:p>
        </w:tc>
        <w:tc>
          <w:tcPr>
            <w:tcW w:w="4524" w:type="dxa"/>
          </w:tcPr>
          <w:p w14:paraId="3522B054" w14:textId="77777777" w:rsidR="00BE0FFB" w:rsidRPr="00927455" w:rsidRDefault="00693075" w:rsidP="00BE0FFB">
            <w:pPr>
              <w:rPr>
                <w:lang w:val="fr-BE"/>
              </w:rPr>
            </w:pPr>
            <w:r w:rsidRPr="00927455">
              <w:rPr>
                <w:lang w:val="fr-BE"/>
              </w:rPr>
              <w:t>3.3.5.1 Dimension des sous-compartiments</w:t>
            </w:r>
          </w:p>
          <w:p w14:paraId="0ED3683A" w14:textId="77777777" w:rsidR="00693075" w:rsidRPr="00927455" w:rsidRDefault="00693075" w:rsidP="00BE0FFB">
            <w:pPr>
              <w:rPr>
                <w:lang w:val="fr-BE"/>
              </w:rPr>
            </w:pPr>
          </w:p>
        </w:tc>
      </w:tr>
      <w:tr w:rsidR="0071410A" w:rsidRPr="00754BD6" w14:paraId="54F9E2B9" w14:textId="77777777" w:rsidTr="004F667F">
        <w:tc>
          <w:tcPr>
            <w:tcW w:w="4538" w:type="dxa"/>
          </w:tcPr>
          <w:p w14:paraId="593D6700" w14:textId="77777777" w:rsidR="00693075" w:rsidRPr="00927455" w:rsidRDefault="00693075" w:rsidP="00693075">
            <w:pPr>
              <w:jc w:val="both"/>
            </w:pPr>
          </w:p>
        </w:tc>
        <w:tc>
          <w:tcPr>
            <w:tcW w:w="4524" w:type="dxa"/>
          </w:tcPr>
          <w:p w14:paraId="38D4426E" w14:textId="35C879B8" w:rsidR="00F871F3" w:rsidRPr="00927455" w:rsidRDefault="00F871F3" w:rsidP="00693075">
            <w:pPr>
              <w:rPr>
                <w:lang w:val="fr-BE"/>
              </w:rPr>
            </w:pPr>
            <w:r w:rsidRPr="00927455">
              <w:rPr>
                <w:lang w:val="fr-BE"/>
              </w:rPr>
              <w:t>Le compartiment parking est subdivisé en sous-compartiments de telle manière que :</w:t>
            </w:r>
          </w:p>
          <w:p w14:paraId="3F79638B" w14:textId="705079A7" w:rsidR="00F871F3" w:rsidRPr="00927455" w:rsidRDefault="00F871F3" w:rsidP="00F871F3">
            <w:pPr>
              <w:rPr>
                <w:lang w:val="fr-BE"/>
              </w:rPr>
            </w:pPr>
            <w:r w:rsidRPr="00927455">
              <w:rPr>
                <w:lang w:val="fr-BE"/>
              </w:rPr>
              <w:t>- la superficie de chaque sous-compartiment</w:t>
            </w:r>
            <w:r w:rsidR="005717D3" w:rsidRPr="00927455">
              <w:rPr>
                <w:lang w:val="fr-BE"/>
              </w:rPr>
              <w:t xml:space="preserve"> soit inférieure ou égale à limite reprise au point 3.3.1 en fonction de la profondeur du niveau de parking et du type de protection mis en œuvre ;</w:t>
            </w:r>
          </w:p>
          <w:p w14:paraId="47C73A8D" w14:textId="334A2916" w:rsidR="00AD1FF0" w:rsidRPr="00927455" w:rsidRDefault="00AD1FF0" w:rsidP="00F871F3">
            <w:pPr>
              <w:rPr>
                <w:lang w:val="fr-BE"/>
              </w:rPr>
            </w:pPr>
            <w:r w:rsidRPr="00927455">
              <w:rPr>
                <w:lang w:val="fr-BE"/>
              </w:rPr>
              <w:t>- chaque sous-compartiment s’étende sur un seul niveau de parking ;</w:t>
            </w:r>
          </w:p>
          <w:p w14:paraId="7844EE89" w14:textId="3B92D4F3" w:rsidR="00693075" w:rsidRPr="00927455" w:rsidRDefault="00AD1FF0" w:rsidP="00693075">
            <w:pPr>
              <w:rPr>
                <w:lang w:val="fr-BE"/>
              </w:rPr>
            </w:pPr>
            <w:r w:rsidRPr="00927455">
              <w:rPr>
                <w:lang w:val="fr-BE"/>
              </w:rPr>
              <w:t xml:space="preserve">- la surface du plancher de chaque sous-compartiment soit continue ; </w:t>
            </w:r>
            <w:r w:rsidR="00693075" w:rsidRPr="00927455">
              <w:rPr>
                <w:lang w:val="fr-BE"/>
              </w:rPr>
              <w:t>la surface peut être horizontale ou en pente mais il ne peut pas y avoir de décrochages, tels que planchers en ciseau ou avec des demi-niveaux.</w:t>
            </w:r>
          </w:p>
          <w:p w14:paraId="078002D9" w14:textId="77777777" w:rsidR="00693075" w:rsidRPr="00927455" w:rsidRDefault="00693075" w:rsidP="00693075">
            <w:pPr>
              <w:rPr>
                <w:lang w:val="fr-BE"/>
              </w:rPr>
            </w:pPr>
          </w:p>
        </w:tc>
      </w:tr>
      <w:tr w:rsidR="0071410A" w:rsidRPr="00927455" w14:paraId="044EEF9B" w14:textId="77777777" w:rsidTr="004F667F">
        <w:tc>
          <w:tcPr>
            <w:tcW w:w="4538" w:type="dxa"/>
          </w:tcPr>
          <w:p w14:paraId="50B316A4" w14:textId="77777777" w:rsidR="00693075" w:rsidRPr="00927455" w:rsidRDefault="00693075" w:rsidP="00693075">
            <w:pPr>
              <w:rPr>
                <w:lang w:val="fr-BE"/>
              </w:rPr>
            </w:pPr>
          </w:p>
        </w:tc>
        <w:tc>
          <w:tcPr>
            <w:tcW w:w="4524" w:type="dxa"/>
          </w:tcPr>
          <w:p w14:paraId="017884F9" w14:textId="77777777" w:rsidR="00693075" w:rsidRPr="00927455" w:rsidRDefault="00693075" w:rsidP="00693075">
            <w:pPr>
              <w:rPr>
                <w:lang w:val="fr-BE"/>
              </w:rPr>
            </w:pPr>
            <w:r w:rsidRPr="00927455">
              <w:rPr>
                <w:lang w:val="fr-BE"/>
              </w:rPr>
              <w:t>3.3.5.2 Parois de sous-compartimentage</w:t>
            </w:r>
          </w:p>
          <w:p w14:paraId="0791ED72" w14:textId="77777777" w:rsidR="00693075" w:rsidRPr="00927455" w:rsidRDefault="00693075" w:rsidP="00693075">
            <w:pPr>
              <w:rPr>
                <w:lang w:val="fr-BE"/>
              </w:rPr>
            </w:pPr>
          </w:p>
        </w:tc>
      </w:tr>
      <w:tr w:rsidR="0071410A" w:rsidRPr="00754BD6" w14:paraId="0AF9A377" w14:textId="77777777" w:rsidTr="004F667F">
        <w:tc>
          <w:tcPr>
            <w:tcW w:w="4538" w:type="dxa"/>
          </w:tcPr>
          <w:p w14:paraId="7BE11D1F" w14:textId="77777777" w:rsidR="00693075" w:rsidRPr="00927455" w:rsidRDefault="00693075" w:rsidP="00693075"/>
        </w:tc>
        <w:tc>
          <w:tcPr>
            <w:tcW w:w="4524" w:type="dxa"/>
          </w:tcPr>
          <w:p w14:paraId="0627215B" w14:textId="77777777" w:rsidR="00693075" w:rsidRPr="00927455" w:rsidRDefault="00693075" w:rsidP="00693075">
            <w:pPr>
              <w:rPr>
                <w:lang w:val="fr-BE"/>
              </w:rPr>
            </w:pPr>
            <w:r w:rsidRPr="00927455">
              <w:rPr>
                <w:lang w:val="fr-BE"/>
              </w:rPr>
              <w:t>Les parois de sous-compartimentage présentent EI 60.</w:t>
            </w:r>
          </w:p>
          <w:p w14:paraId="26375389" w14:textId="77777777" w:rsidR="00693075" w:rsidRPr="00927455" w:rsidRDefault="00693075" w:rsidP="00693075">
            <w:pPr>
              <w:rPr>
                <w:lang w:val="fr-BE"/>
              </w:rPr>
            </w:pPr>
          </w:p>
          <w:p w14:paraId="338C8071" w14:textId="77777777" w:rsidR="00693075" w:rsidRPr="00927455" w:rsidRDefault="00693075" w:rsidP="00693075">
            <w:pPr>
              <w:rPr>
                <w:lang w:val="fr-BE"/>
              </w:rPr>
            </w:pPr>
            <w:r w:rsidRPr="00927455">
              <w:rPr>
                <w:lang w:val="fr-BE"/>
              </w:rPr>
              <w:t xml:space="preserve">Les communications pratiquées dans les parois de sous-compartimentage pour le passage des occupants et du service d’incendie sont chacune munies : </w:t>
            </w:r>
          </w:p>
          <w:p w14:paraId="30284871" w14:textId="77777777" w:rsidR="00693075" w:rsidRPr="00927455" w:rsidRDefault="00693075" w:rsidP="00693075">
            <w:pPr>
              <w:rPr>
                <w:lang w:val="fr-BE"/>
              </w:rPr>
            </w:pPr>
            <w:r w:rsidRPr="00927455">
              <w:rPr>
                <w:lang w:val="fr-BE"/>
              </w:rPr>
              <w:t>-</w:t>
            </w:r>
            <w:r w:rsidRPr="00927455">
              <w:rPr>
                <w:lang w:val="fr-BE"/>
              </w:rPr>
              <w:tab/>
              <w:t>soit d’un sas avec des parois EI 60 et des portes EI1 30 à fermeture automatique ou automatique en cas d’incendie ;</w:t>
            </w:r>
          </w:p>
          <w:p w14:paraId="146FE547" w14:textId="77777777" w:rsidR="00693075" w:rsidRPr="00927455" w:rsidRDefault="00693075" w:rsidP="00693075">
            <w:pPr>
              <w:rPr>
                <w:lang w:val="fr-BE"/>
              </w:rPr>
            </w:pPr>
            <w:r w:rsidRPr="00927455">
              <w:rPr>
                <w:lang w:val="fr-BE"/>
              </w:rPr>
              <w:t>-</w:t>
            </w:r>
            <w:r w:rsidRPr="00927455">
              <w:rPr>
                <w:lang w:val="fr-BE"/>
              </w:rPr>
              <w:tab/>
              <w:t>soit d’une porte EI1 60 à fermeture automatique ou automatique en cas d’incendie.</w:t>
            </w:r>
          </w:p>
          <w:p w14:paraId="23BBA08C" w14:textId="77777777" w:rsidR="00693075" w:rsidRPr="00927455" w:rsidRDefault="00693075" w:rsidP="00693075">
            <w:pPr>
              <w:rPr>
                <w:lang w:val="fr-BE"/>
              </w:rPr>
            </w:pPr>
          </w:p>
          <w:p w14:paraId="700AE6D6" w14:textId="77777777" w:rsidR="00693075" w:rsidRPr="00927455" w:rsidRDefault="00693075" w:rsidP="00693075">
            <w:pPr>
              <w:rPr>
                <w:lang w:val="fr-BE"/>
              </w:rPr>
            </w:pPr>
            <w:r w:rsidRPr="00927455">
              <w:rPr>
                <w:lang w:val="fr-BE"/>
              </w:rPr>
              <w:t>Les baies pratiquées dans les parois de sous-compartimentage pour le passage des véhicules sont munies de dispositifs d’obturation E 60 à fermeture automatique en cas d’incendie, tels que portes battantes, panneaux coulissants, volets et écrans enroulables.</w:t>
            </w:r>
          </w:p>
          <w:p w14:paraId="6D46809F" w14:textId="77777777" w:rsidR="00693075" w:rsidRPr="00927455" w:rsidRDefault="00693075" w:rsidP="00693075">
            <w:pPr>
              <w:rPr>
                <w:lang w:val="fr-BE"/>
              </w:rPr>
            </w:pPr>
          </w:p>
          <w:p w14:paraId="44C14EB8" w14:textId="77777777" w:rsidR="00693075" w:rsidRPr="00927455" w:rsidRDefault="00693075" w:rsidP="00693075">
            <w:pPr>
              <w:rPr>
                <w:lang w:val="fr-BE"/>
              </w:rPr>
            </w:pPr>
            <w:r w:rsidRPr="00927455">
              <w:rPr>
                <w:lang w:val="fr-BE"/>
              </w:rPr>
              <w:t>En cas d’activation des dispositifs d’obturation mentionnés au 3e alinéa du présent point, la communication vers chaque sous-compartiment doit rester assurée :</w:t>
            </w:r>
          </w:p>
          <w:p w14:paraId="46F5C588" w14:textId="77777777" w:rsidR="00693075" w:rsidRPr="00927455" w:rsidRDefault="00693075" w:rsidP="00693075">
            <w:pPr>
              <w:rPr>
                <w:lang w:val="fr-BE"/>
              </w:rPr>
            </w:pPr>
            <w:r w:rsidRPr="00927455">
              <w:rPr>
                <w:lang w:val="fr-BE"/>
              </w:rPr>
              <w:t>-</w:t>
            </w:r>
            <w:r w:rsidRPr="00927455">
              <w:rPr>
                <w:lang w:val="fr-BE"/>
              </w:rPr>
              <w:tab/>
              <w:t>soit par une communication conforme au 2e alinéa du présent point, prévue à proximité de chacune des baies visées par le 3e alinéa du présent point ;</w:t>
            </w:r>
          </w:p>
          <w:p w14:paraId="5DA7C055" w14:textId="77777777" w:rsidR="00693075" w:rsidRPr="00927455" w:rsidRDefault="00693075" w:rsidP="00693075">
            <w:pPr>
              <w:rPr>
                <w:lang w:val="fr-BE"/>
              </w:rPr>
            </w:pPr>
            <w:r w:rsidRPr="00927455">
              <w:rPr>
                <w:lang w:val="fr-BE"/>
              </w:rPr>
              <w:t>-</w:t>
            </w:r>
            <w:r w:rsidRPr="00927455">
              <w:rPr>
                <w:lang w:val="fr-BE"/>
              </w:rPr>
              <w:tab/>
              <w:t>soit par un autre accès, défini en accord avec le service d’incendie.</w:t>
            </w:r>
          </w:p>
          <w:p w14:paraId="078A5320" w14:textId="77777777" w:rsidR="00693075" w:rsidRPr="00927455" w:rsidRDefault="00693075" w:rsidP="00693075">
            <w:pPr>
              <w:rPr>
                <w:lang w:val="fr-BE"/>
              </w:rPr>
            </w:pPr>
          </w:p>
          <w:p w14:paraId="60A3A8B9" w14:textId="77777777" w:rsidR="00693075" w:rsidRPr="00927455" w:rsidRDefault="00693075" w:rsidP="00693075">
            <w:pPr>
              <w:rPr>
                <w:lang w:val="fr-BE"/>
              </w:rPr>
            </w:pPr>
            <w:r w:rsidRPr="00927455">
              <w:rPr>
                <w:lang w:val="fr-BE"/>
              </w:rPr>
              <w:t>La traversée par des conduites de fluides ou d’électricité ainsi que les joints de dilatation d’un élément de construction ne peuvent pas altérer le degré de résistance au feu exigé pour cet élément.</w:t>
            </w:r>
          </w:p>
          <w:p w14:paraId="018CA098" w14:textId="77777777" w:rsidR="00693075" w:rsidRPr="00927455" w:rsidRDefault="00693075" w:rsidP="00693075">
            <w:pPr>
              <w:rPr>
                <w:lang w:val="fr-BE"/>
              </w:rPr>
            </w:pPr>
          </w:p>
        </w:tc>
      </w:tr>
      <w:tr w:rsidR="0071410A" w:rsidRPr="00927455" w14:paraId="7C058EEE" w14:textId="77777777" w:rsidTr="004F667F">
        <w:tc>
          <w:tcPr>
            <w:tcW w:w="4538" w:type="dxa"/>
          </w:tcPr>
          <w:p w14:paraId="0600DD58" w14:textId="77777777" w:rsidR="00693075" w:rsidRPr="00927455" w:rsidRDefault="00693075" w:rsidP="00693075">
            <w:pPr>
              <w:rPr>
                <w:lang w:val="fr-BE"/>
              </w:rPr>
            </w:pPr>
          </w:p>
        </w:tc>
        <w:tc>
          <w:tcPr>
            <w:tcW w:w="4524" w:type="dxa"/>
          </w:tcPr>
          <w:p w14:paraId="6A3834F2" w14:textId="77777777" w:rsidR="00693075" w:rsidRPr="00927455" w:rsidRDefault="00693075" w:rsidP="00693075">
            <w:pPr>
              <w:rPr>
                <w:lang w:val="fr-BE"/>
              </w:rPr>
            </w:pPr>
            <w:r w:rsidRPr="00927455">
              <w:rPr>
                <w:lang w:val="fr-BE"/>
              </w:rPr>
              <w:t>3.3.5.3 Fonctionnement en cas d’incendie</w:t>
            </w:r>
          </w:p>
          <w:p w14:paraId="09542469" w14:textId="77777777" w:rsidR="00693075" w:rsidRPr="00927455" w:rsidRDefault="00693075" w:rsidP="00693075">
            <w:pPr>
              <w:rPr>
                <w:lang w:val="fr-BE"/>
              </w:rPr>
            </w:pPr>
          </w:p>
        </w:tc>
      </w:tr>
      <w:tr w:rsidR="0071410A" w:rsidRPr="00754BD6" w14:paraId="3615C42C" w14:textId="77777777" w:rsidTr="004F667F">
        <w:tc>
          <w:tcPr>
            <w:tcW w:w="4538" w:type="dxa"/>
          </w:tcPr>
          <w:p w14:paraId="227EBD48" w14:textId="77777777" w:rsidR="00C507D7" w:rsidRPr="00927455" w:rsidRDefault="00C507D7" w:rsidP="00693075"/>
        </w:tc>
        <w:tc>
          <w:tcPr>
            <w:tcW w:w="4524" w:type="dxa"/>
          </w:tcPr>
          <w:p w14:paraId="73303444" w14:textId="2642C868" w:rsidR="00693075" w:rsidRPr="00927455" w:rsidRDefault="00693075" w:rsidP="00693075">
            <w:pPr>
              <w:rPr>
                <w:lang w:val="fr-BE"/>
              </w:rPr>
            </w:pPr>
            <w:r w:rsidRPr="00927455">
              <w:rPr>
                <w:lang w:val="fr-BE"/>
              </w:rPr>
              <w:t>Les portes et les dispositifs d’obturation des sous-compartiments sont automatiquement fermés en cas d’incendie, sauf ceux qui sont nécessaires au fonctionnement de l’éventuelle installation EFC.</w:t>
            </w:r>
          </w:p>
          <w:p w14:paraId="1B520EFD" w14:textId="77777777" w:rsidR="00693075" w:rsidRPr="00927455" w:rsidRDefault="00693075" w:rsidP="00693075">
            <w:pPr>
              <w:rPr>
                <w:lang w:val="fr-BE"/>
              </w:rPr>
            </w:pPr>
          </w:p>
        </w:tc>
      </w:tr>
      <w:tr w:rsidR="0071410A" w:rsidRPr="00927455" w14:paraId="373AB097" w14:textId="77777777" w:rsidTr="004F667F">
        <w:tc>
          <w:tcPr>
            <w:tcW w:w="4538" w:type="dxa"/>
          </w:tcPr>
          <w:p w14:paraId="15C8241E" w14:textId="77777777" w:rsidR="00C507D7" w:rsidRPr="00927455" w:rsidRDefault="00C507D7" w:rsidP="00693075">
            <w:pPr>
              <w:rPr>
                <w:b/>
                <w:lang w:val="fr-BE"/>
              </w:rPr>
            </w:pPr>
          </w:p>
        </w:tc>
        <w:tc>
          <w:tcPr>
            <w:tcW w:w="4524" w:type="dxa"/>
          </w:tcPr>
          <w:p w14:paraId="3A1E4207" w14:textId="77777777" w:rsidR="00693075" w:rsidRPr="00927455" w:rsidRDefault="00693075" w:rsidP="00693075">
            <w:pPr>
              <w:rPr>
                <w:b/>
                <w:lang w:val="fr-BE"/>
              </w:rPr>
            </w:pPr>
            <w:r w:rsidRPr="00927455">
              <w:rPr>
                <w:b/>
                <w:lang w:val="fr-BE"/>
              </w:rPr>
              <w:t>3.3.6 Baie de ventilation</w:t>
            </w:r>
          </w:p>
          <w:p w14:paraId="35D7EA0C" w14:textId="77777777" w:rsidR="00693075" w:rsidRPr="00927455" w:rsidRDefault="00693075" w:rsidP="00693075">
            <w:pPr>
              <w:rPr>
                <w:b/>
                <w:lang w:val="fr-BE"/>
              </w:rPr>
            </w:pPr>
          </w:p>
        </w:tc>
      </w:tr>
      <w:tr w:rsidR="0071410A" w:rsidRPr="00754BD6" w14:paraId="62E615A0" w14:textId="77777777" w:rsidTr="004F667F">
        <w:tc>
          <w:tcPr>
            <w:tcW w:w="4538" w:type="dxa"/>
          </w:tcPr>
          <w:p w14:paraId="18C9F687" w14:textId="77777777" w:rsidR="00C507D7" w:rsidRPr="00927455" w:rsidRDefault="00C507D7" w:rsidP="00C507D7"/>
        </w:tc>
        <w:tc>
          <w:tcPr>
            <w:tcW w:w="4524" w:type="dxa"/>
          </w:tcPr>
          <w:p w14:paraId="033D99EF" w14:textId="53793B44" w:rsidR="00161B09" w:rsidRPr="00927455" w:rsidRDefault="00161B09" w:rsidP="00161B09">
            <w:pPr>
              <w:rPr>
                <w:lang w:val="fr-BE"/>
              </w:rPr>
            </w:pPr>
            <w:r w:rsidRPr="00927455">
              <w:rPr>
                <w:lang w:val="fr-BE"/>
              </w:rPr>
              <w:t xml:space="preserve">Le principe est de permettre au service d’incendie de réaliser une ventilation horizontale </w:t>
            </w:r>
            <w:r w:rsidR="00723CE5" w:rsidRPr="00927455">
              <w:rPr>
                <w:lang w:val="fr-BE"/>
              </w:rPr>
              <w:t>en utilisant</w:t>
            </w:r>
            <w:r w:rsidRPr="00927455">
              <w:rPr>
                <w:lang w:val="fr-BE"/>
              </w:rPr>
              <w:t xml:space="preserve"> leurs propres ventilateurs afin de dégager une voie d’intervention relativement libre de fumées depuis l’entrée du parking jusqu’à proximité du foyer.</w:t>
            </w:r>
          </w:p>
          <w:p w14:paraId="6D471660" w14:textId="77777777" w:rsidR="00161B09" w:rsidRPr="00927455" w:rsidRDefault="00161B09" w:rsidP="00161B09">
            <w:pPr>
              <w:rPr>
                <w:lang w:val="fr-BE"/>
              </w:rPr>
            </w:pPr>
          </w:p>
          <w:p w14:paraId="17035DFB" w14:textId="77777777" w:rsidR="00C507D7" w:rsidRPr="00927455" w:rsidRDefault="00C507D7" w:rsidP="00C507D7">
            <w:pPr>
              <w:rPr>
                <w:lang w:val="fr-BE"/>
              </w:rPr>
            </w:pPr>
            <w:r w:rsidRPr="00927455">
              <w:rPr>
                <w:lang w:val="fr-BE"/>
              </w:rPr>
              <w:t>Le présent type de protection n’est applicable qu’à un sous-compartiment :</w:t>
            </w:r>
          </w:p>
          <w:p w14:paraId="77391DDA" w14:textId="77777777" w:rsidR="00C507D7" w:rsidRPr="00927455" w:rsidRDefault="00C507D7" w:rsidP="00C507D7">
            <w:pPr>
              <w:rPr>
                <w:lang w:val="fr-BE"/>
              </w:rPr>
            </w:pPr>
            <w:r w:rsidRPr="00927455">
              <w:rPr>
                <w:lang w:val="fr-BE"/>
              </w:rPr>
              <w:t>a) d’une superficie inférieure ou égale à 1250 m² et hors-sol ;</w:t>
            </w:r>
          </w:p>
          <w:p w14:paraId="653B32D2" w14:textId="77777777" w:rsidR="00C507D7" w:rsidRPr="00927455" w:rsidRDefault="00C507D7" w:rsidP="00C507D7">
            <w:pPr>
              <w:rPr>
                <w:lang w:val="fr-BE"/>
              </w:rPr>
            </w:pPr>
            <w:r w:rsidRPr="00927455">
              <w:rPr>
                <w:lang w:val="fr-BE"/>
              </w:rPr>
              <w:t>b) d’une superficie inférieure ou égale à 1250 m² et d’une profondeur inférieure ou égale à 7 m ;</w:t>
            </w:r>
          </w:p>
          <w:p w14:paraId="2B19A198" w14:textId="77777777" w:rsidR="00C507D7" w:rsidRPr="00927455" w:rsidRDefault="00C507D7" w:rsidP="00C507D7">
            <w:pPr>
              <w:rPr>
                <w:lang w:val="fr-BE"/>
              </w:rPr>
            </w:pPr>
            <w:r w:rsidRPr="00927455">
              <w:rPr>
                <w:lang w:val="fr-BE"/>
              </w:rPr>
              <w:t>dont la distance d est supérieure ou égale à 0,6 D (voir planche 7.5) ;</w:t>
            </w:r>
          </w:p>
          <w:p w14:paraId="11590F00" w14:textId="77777777" w:rsidR="00C507D7" w:rsidRPr="00927455" w:rsidRDefault="00C507D7" w:rsidP="00C507D7">
            <w:pPr>
              <w:rPr>
                <w:lang w:val="fr-BE"/>
              </w:rPr>
            </w:pPr>
            <w:r w:rsidRPr="00927455">
              <w:rPr>
                <w:lang w:val="fr-BE"/>
              </w:rPr>
              <w:t>et à condition que la superficie totale du parking soit inférieure ou égale à 60 000 m².</w:t>
            </w:r>
          </w:p>
          <w:p w14:paraId="20A1311E" w14:textId="77777777" w:rsidR="00693075" w:rsidRPr="00927455" w:rsidRDefault="00693075" w:rsidP="00693075">
            <w:pPr>
              <w:rPr>
                <w:lang w:val="fr-BE"/>
              </w:rPr>
            </w:pPr>
          </w:p>
        </w:tc>
      </w:tr>
      <w:tr w:rsidR="0071410A" w:rsidRPr="00754BD6" w14:paraId="56A8B4B3" w14:textId="77777777" w:rsidTr="004F667F">
        <w:tc>
          <w:tcPr>
            <w:tcW w:w="4538" w:type="dxa"/>
          </w:tcPr>
          <w:p w14:paraId="032D3FC0" w14:textId="77777777" w:rsidR="00C507D7" w:rsidRPr="00927455" w:rsidRDefault="00C507D7" w:rsidP="00C507D7"/>
        </w:tc>
        <w:tc>
          <w:tcPr>
            <w:tcW w:w="4524" w:type="dxa"/>
          </w:tcPr>
          <w:p w14:paraId="79F36C08" w14:textId="77777777" w:rsidR="00C507D7" w:rsidRPr="00927455" w:rsidRDefault="00C507D7" w:rsidP="00C507D7">
            <w:pPr>
              <w:rPr>
                <w:lang w:val="fr-BE"/>
              </w:rPr>
            </w:pPr>
            <w:r w:rsidRPr="00927455">
              <w:rPr>
                <w:lang w:val="fr-BE"/>
              </w:rPr>
              <w:t>où</w:t>
            </w:r>
          </w:p>
          <w:p w14:paraId="0A847376" w14:textId="77777777" w:rsidR="00C507D7" w:rsidRPr="00927455" w:rsidRDefault="00C507D7" w:rsidP="00C507D7">
            <w:pPr>
              <w:rPr>
                <w:lang w:val="fr-BE"/>
              </w:rPr>
            </w:pPr>
          </w:p>
          <w:p w14:paraId="164E2659" w14:textId="77777777" w:rsidR="00C507D7" w:rsidRPr="00927455" w:rsidRDefault="00C507D7" w:rsidP="00C507D7">
            <w:pPr>
              <w:rPr>
                <w:lang w:val="fr-BE"/>
              </w:rPr>
            </w:pPr>
            <w:r w:rsidRPr="00927455">
              <w:rPr>
                <w:lang w:val="fr-BE"/>
              </w:rPr>
              <w:t>D</w:t>
            </w:r>
            <w:r w:rsidRPr="00927455">
              <w:rPr>
                <w:lang w:val="fr-BE"/>
              </w:rPr>
              <w:tab/>
              <w:t>désigne la distance horizontale la plus courte à parcourir à l’intérieur du sous-compartiment entre les points les plus éloignés du sous-compartiment ;</w:t>
            </w:r>
          </w:p>
          <w:p w14:paraId="4F21EBD0" w14:textId="26173CF8" w:rsidR="00C507D7" w:rsidRPr="00927455" w:rsidRDefault="00C507D7" w:rsidP="00C507D7">
            <w:pPr>
              <w:rPr>
                <w:lang w:val="fr-BE"/>
              </w:rPr>
            </w:pPr>
            <w:r w:rsidRPr="00927455">
              <w:rPr>
                <w:lang w:val="fr-BE"/>
              </w:rPr>
              <w:t>d</w:t>
            </w:r>
            <w:r w:rsidRPr="00927455">
              <w:rPr>
                <w:lang w:val="fr-BE"/>
              </w:rPr>
              <w:tab/>
              <w:t xml:space="preserve">désigne la distance horizontale la plus courte à parcourir à l’intérieur du sous-compartiment entre le centre de la </w:t>
            </w:r>
            <w:r w:rsidR="00161B09" w:rsidRPr="00927455">
              <w:rPr>
                <w:lang w:val="fr-BE"/>
              </w:rPr>
              <w:t>baie de ventilation</w:t>
            </w:r>
            <w:r w:rsidRPr="00927455">
              <w:rPr>
                <w:lang w:val="fr-BE"/>
              </w:rPr>
              <w:t xml:space="preserve"> et le bord latéral le plus proche de </w:t>
            </w:r>
            <w:r w:rsidR="00161B09" w:rsidRPr="00927455">
              <w:rPr>
                <w:lang w:val="fr-BE"/>
              </w:rPr>
              <w:t>l’entrée du sous-compartiment destinée à l’intervention du service d’incendie</w:t>
            </w:r>
            <w:r w:rsidRPr="00927455">
              <w:rPr>
                <w:lang w:val="fr-BE"/>
              </w:rPr>
              <w:t xml:space="preserve"> ;</w:t>
            </w:r>
          </w:p>
          <w:p w14:paraId="63606F57" w14:textId="77777777" w:rsidR="00C507D7" w:rsidRPr="00927455" w:rsidRDefault="00C507D7" w:rsidP="00C507D7">
            <w:pPr>
              <w:rPr>
                <w:lang w:val="fr-BE"/>
              </w:rPr>
            </w:pPr>
          </w:p>
          <w:p w14:paraId="0BEA6738" w14:textId="77777777" w:rsidR="00C507D7" w:rsidRPr="00927455" w:rsidRDefault="00C507D7" w:rsidP="00C507D7">
            <w:pPr>
              <w:rPr>
                <w:lang w:val="fr-BE"/>
              </w:rPr>
            </w:pPr>
            <w:r w:rsidRPr="00927455">
              <w:rPr>
                <w:lang w:val="fr-BE"/>
              </w:rPr>
              <w:t>L’évacuation des fumées et l’amenée d’air du sous-compartiment sinistré ne peuvent pas s’effectuer via un autre sous-compartiment.</w:t>
            </w:r>
          </w:p>
          <w:p w14:paraId="3A868BA9" w14:textId="77777777" w:rsidR="00C507D7" w:rsidRPr="00927455" w:rsidRDefault="00C507D7" w:rsidP="00C507D7">
            <w:pPr>
              <w:rPr>
                <w:lang w:val="fr-BE"/>
              </w:rPr>
            </w:pPr>
          </w:p>
        </w:tc>
      </w:tr>
      <w:tr w:rsidR="0071410A" w:rsidRPr="00754BD6" w14:paraId="37EB00FB" w14:textId="77777777" w:rsidTr="004F667F">
        <w:tc>
          <w:tcPr>
            <w:tcW w:w="4538" w:type="dxa"/>
          </w:tcPr>
          <w:p w14:paraId="4144D1A1" w14:textId="77777777" w:rsidR="00C507D7" w:rsidRPr="00927455" w:rsidRDefault="00C507D7" w:rsidP="00693075"/>
        </w:tc>
        <w:tc>
          <w:tcPr>
            <w:tcW w:w="4524" w:type="dxa"/>
          </w:tcPr>
          <w:p w14:paraId="082ADFB0" w14:textId="77777777" w:rsidR="00C507D7" w:rsidRPr="00927455" w:rsidRDefault="00C507D7" w:rsidP="00693075">
            <w:pPr>
              <w:rPr>
                <w:lang w:val="fr-BE"/>
              </w:rPr>
            </w:pPr>
            <w:r w:rsidRPr="00927455">
              <w:rPr>
                <w:lang w:val="fr-BE"/>
              </w:rPr>
              <w:t>3.3.6.1 Exécution de la baie de ventilation</w:t>
            </w:r>
          </w:p>
          <w:p w14:paraId="6FD42060" w14:textId="77777777" w:rsidR="00C507D7" w:rsidRPr="00927455" w:rsidRDefault="00C507D7" w:rsidP="00693075">
            <w:pPr>
              <w:rPr>
                <w:lang w:val="fr-BE"/>
              </w:rPr>
            </w:pPr>
          </w:p>
        </w:tc>
      </w:tr>
      <w:tr w:rsidR="00C507D7" w:rsidRPr="00754BD6" w14:paraId="2BAD4D7D" w14:textId="77777777" w:rsidTr="004F667F">
        <w:tc>
          <w:tcPr>
            <w:tcW w:w="4538" w:type="dxa"/>
          </w:tcPr>
          <w:p w14:paraId="52480BC0" w14:textId="77777777" w:rsidR="00E05B3A" w:rsidRPr="00927455" w:rsidRDefault="00E05B3A" w:rsidP="003201DD"/>
        </w:tc>
        <w:tc>
          <w:tcPr>
            <w:tcW w:w="4524" w:type="dxa"/>
          </w:tcPr>
          <w:p w14:paraId="30F7A99B" w14:textId="77777777" w:rsidR="003201DD" w:rsidRPr="00927455" w:rsidRDefault="003201DD" w:rsidP="003201DD">
            <w:pPr>
              <w:rPr>
                <w:lang w:val="fr-BE"/>
              </w:rPr>
            </w:pPr>
            <w:r w:rsidRPr="00927455">
              <w:rPr>
                <w:lang w:val="fr-BE"/>
              </w:rPr>
              <w:t>La baie de ventilation est une ouverture débouchant directement à l’air libre. Cette ouverture peut être munie d’un clapet ou d’un registre de ventilation.</w:t>
            </w:r>
          </w:p>
          <w:p w14:paraId="28326585" w14:textId="77777777" w:rsidR="003201DD" w:rsidRPr="00927455" w:rsidRDefault="003201DD" w:rsidP="003201DD">
            <w:pPr>
              <w:rPr>
                <w:lang w:val="fr-BE"/>
              </w:rPr>
            </w:pPr>
          </w:p>
          <w:p w14:paraId="306D5A5C" w14:textId="77777777" w:rsidR="003201DD" w:rsidRPr="00927455" w:rsidRDefault="003201DD" w:rsidP="003201DD">
            <w:pPr>
              <w:rPr>
                <w:lang w:val="fr-BE"/>
              </w:rPr>
            </w:pPr>
            <w:r w:rsidRPr="00927455">
              <w:rPr>
                <w:lang w:val="fr-BE"/>
              </w:rPr>
              <w:t>La baie de ventilation a une section d’au moins 5 m². La section de la baie de ventilation est évaluée en déduisant d’éventuelles obstructions à l’intérieur du dispositif d’évacuation, telles que les commandes, les volets d’aération et les ailettes.</w:t>
            </w:r>
          </w:p>
          <w:p w14:paraId="6E305A5B" w14:textId="77777777" w:rsidR="003201DD" w:rsidRPr="00927455" w:rsidRDefault="003201DD" w:rsidP="003201DD">
            <w:pPr>
              <w:rPr>
                <w:lang w:val="fr-BE"/>
              </w:rPr>
            </w:pPr>
          </w:p>
          <w:p w14:paraId="50073438" w14:textId="00E09650" w:rsidR="003201DD" w:rsidRPr="00927455" w:rsidRDefault="00161B09" w:rsidP="003201DD">
            <w:pPr>
              <w:rPr>
                <w:lang w:val="fr-BE"/>
              </w:rPr>
            </w:pPr>
            <w:r w:rsidRPr="00927455">
              <w:rPr>
                <w:lang w:val="fr-BE"/>
              </w:rPr>
              <w:t xml:space="preserve">La plus petite dimension de la baie de ventilation </w:t>
            </w:r>
            <w:r w:rsidR="00721FE2" w:rsidRPr="00927455">
              <w:rPr>
                <w:lang w:val="fr-BE"/>
              </w:rPr>
              <w:t>est supérieur ou égale</w:t>
            </w:r>
            <w:r w:rsidRPr="00927455">
              <w:rPr>
                <w:lang w:val="fr-BE"/>
              </w:rPr>
              <w:t xml:space="preserve"> à 1 m.</w:t>
            </w:r>
          </w:p>
          <w:p w14:paraId="3F6B1632" w14:textId="77777777" w:rsidR="003201DD" w:rsidRPr="00927455" w:rsidRDefault="003201DD" w:rsidP="003201DD">
            <w:pPr>
              <w:rPr>
                <w:lang w:val="fr-BE"/>
              </w:rPr>
            </w:pPr>
          </w:p>
          <w:p w14:paraId="0A3F4B71" w14:textId="77777777" w:rsidR="003201DD" w:rsidRPr="00927455" w:rsidRDefault="003201DD" w:rsidP="003201DD">
            <w:pPr>
              <w:rPr>
                <w:lang w:val="fr-BE"/>
              </w:rPr>
            </w:pPr>
            <w:r w:rsidRPr="00927455">
              <w:rPr>
                <w:lang w:val="fr-BE"/>
              </w:rPr>
              <w:t>La baie de ventilation peut servir également au contrôle de la concentration maximale réglementaire en gaz nocifs, requise en ventilation permanente (sans incendie). En cas d’incendie, la commande d’ouverture de l’éventuel clapet ou registre de ventilation doit être prioritaire sur la ventilation permanente.</w:t>
            </w:r>
          </w:p>
          <w:p w14:paraId="393DE845" w14:textId="77777777" w:rsidR="003201DD" w:rsidRPr="00927455" w:rsidRDefault="003201DD" w:rsidP="003201DD">
            <w:pPr>
              <w:rPr>
                <w:lang w:val="fr-BE"/>
              </w:rPr>
            </w:pPr>
          </w:p>
          <w:p w14:paraId="17047E14" w14:textId="77777777" w:rsidR="00C507D7" w:rsidRPr="00927455" w:rsidRDefault="003201DD" w:rsidP="003201DD">
            <w:pPr>
              <w:rPr>
                <w:lang w:val="fr-BE"/>
              </w:rPr>
            </w:pPr>
            <w:r w:rsidRPr="00927455">
              <w:rPr>
                <w:lang w:val="fr-BE"/>
              </w:rPr>
              <w:t>Les performances de l’éventuels clapet ou registre de la baie de ventilation se déterminent conformément aux méthodes d’essais définies par la norme NBN EN 12101-2. Le tableau suivant définit les classes auxquelles le clapet ou le registre doit satisfaire :</w:t>
            </w:r>
          </w:p>
          <w:p w14:paraId="22658508" w14:textId="77777777" w:rsidR="003201DD" w:rsidRPr="00927455" w:rsidRDefault="003201DD" w:rsidP="003201DD">
            <w:pPr>
              <w:rPr>
                <w:lang w:val="fr-BE"/>
              </w:rPr>
            </w:pPr>
          </w:p>
        </w:tc>
      </w:tr>
      <w:tr w:rsidR="00693075" w:rsidRPr="00754BD6" w14:paraId="0E8A4C55" w14:textId="77777777" w:rsidTr="004F667F">
        <w:tc>
          <w:tcPr>
            <w:tcW w:w="4538" w:type="dxa"/>
          </w:tcPr>
          <w:p w14:paraId="32827620" w14:textId="77777777" w:rsidR="00693075" w:rsidRPr="00927455" w:rsidRDefault="00693075" w:rsidP="00693075">
            <w:pPr>
              <w:rPr>
                <w:lang w:val="fr-BE"/>
              </w:rPr>
            </w:pPr>
          </w:p>
        </w:tc>
        <w:tc>
          <w:tcPr>
            <w:tcW w:w="4524" w:type="dxa"/>
          </w:tcPr>
          <w:p w14:paraId="51FA6890" w14:textId="77777777" w:rsidR="00693075" w:rsidRPr="00927455" w:rsidRDefault="00693075" w:rsidP="00693075">
            <w:pPr>
              <w:rPr>
                <w:lang w:val="fr-BE"/>
              </w:rPr>
            </w:pPr>
          </w:p>
        </w:tc>
      </w:tr>
      <w:tr w:rsidR="003201DD" w:rsidRPr="00754BD6" w14:paraId="75D74C21" w14:textId="77777777" w:rsidTr="003201DD">
        <w:tc>
          <w:tcPr>
            <w:tcW w:w="9062" w:type="dxa"/>
            <w:gridSpan w:val="2"/>
          </w:tcPr>
          <w:p w14:paraId="6A9F218F" w14:textId="77777777" w:rsidR="003201DD" w:rsidRPr="00927455" w:rsidRDefault="003201DD" w:rsidP="00693075">
            <w:pPr>
              <w:rPr>
                <w:lang w:val="fr-BE"/>
              </w:rPr>
            </w:pPr>
          </w:p>
        </w:tc>
      </w:tr>
      <w:tr w:rsidR="00E05B3A" w:rsidRPr="00927455" w14:paraId="53536D73" w14:textId="77777777" w:rsidTr="003201DD">
        <w:tc>
          <w:tcPr>
            <w:tcW w:w="9062" w:type="dxa"/>
            <w:gridSpan w:val="2"/>
          </w:tcPr>
          <w:p w14:paraId="6BCA84BE" w14:textId="77777777" w:rsidR="00E05B3A" w:rsidRPr="00927455" w:rsidRDefault="00E05B3A" w:rsidP="00693075"/>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3"/>
        <w:gridCol w:w="2693"/>
        <w:gridCol w:w="2471"/>
      </w:tblGrid>
      <w:tr w:rsidR="0071410A" w:rsidRPr="00927455" w14:paraId="071DF791" w14:textId="77777777" w:rsidTr="003201DD">
        <w:trPr>
          <w:cantSplit/>
          <w:trHeight w:val="459"/>
        </w:trPr>
        <w:tc>
          <w:tcPr>
            <w:tcW w:w="3903" w:type="dxa"/>
            <w:tcBorders>
              <w:bottom w:val="single" w:sz="12" w:space="0" w:color="auto"/>
            </w:tcBorders>
          </w:tcPr>
          <w:p w14:paraId="429ABB81" w14:textId="77777777" w:rsidR="003201DD" w:rsidRPr="00927455" w:rsidRDefault="003201DD" w:rsidP="003201DD">
            <w:pPr>
              <w:keepNext/>
              <w:keepLines/>
              <w:spacing w:before="120" w:after="120"/>
              <w:rPr>
                <w:b/>
                <w:lang w:val="fr-BE"/>
              </w:rPr>
            </w:pPr>
            <w:r w:rsidRPr="00927455">
              <w:rPr>
                <w:b/>
                <w:lang w:val="fr-BE"/>
              </w:rPr>
              <w:lastRenderedPageBreak/>
              <w:t>Exigences de performance</w:t>
            </w:r>
          </w:p>
        </w:tc>
        <w:tc>
          <w:tcPr>
            <w:tcW w:w="2693" w:type="dxa"/>
            <w:tcBorders>
              <w:bottom w:val="single" w:sz="12" w:space="0" w:color="auto"/>
            </w:tcBorders>
          </w:tcPr>
          <w:p w14:paraId="45181ED4" w14:textId="77777777" w:rsidR="003201DD" w:rsidRPr="00927455" w:rsidRDefault="003201DD" w:rsidP="003201DD">
            <w:pPr>
              <w:keepNext/>
              <w:keepLines/>
              <w:spacing w:before="120" w:after="120"/>
              <w:jc w:val="center"/>
              <w:rPr>
                <w:b/>
                <w:lang w:val="fr-BE"/>
              </w:rPr>
            </w:pPr>
            <w:r w:rsidRPr="00927455">
              <w:rPr>
                <w:b/>
                <w:lang w:val="fr-BE"/>
              </w:rPr>
              <w:t>Classes requises</w:t>
            </w:r>
          </w:p>
        </w:tc>
        <w:tc>
          <w:tcPr>
            <w:tcW w:w="2471" w:type="dxa"/>
            <w:tcBorders>
              <w:bottom w:val="single" w:sz="12" w:space="0" w:color="auto"/>
            </w:tcBorders>
          </w:tcPr>
          <w:p w14:paraId="4963721F" w14:textId="77777777" w:rsidR="003201DD" w:rsidRPr="00927455" w:rsidRDefault="003201DD" w:rsidP="003201DD">
            <w:pPr>
              <w:keepNext/>
              <w:keepLines/>
              <w:spacing w:before="120" w:after="120"/>
              <w:jc w:val="center"/>
              <w:rPr>
                <w:b/>
                <w:lang w:val="fr-BE"/>
              </w:rPr>
            </w:pPr>
            <w:r w:rsidRPr="00927455">
              <w:rPr>
                <w:b/>
                <w:lang w:val="fr-BE"/>
              </w:rPr>
              <w:t>Normes de référence</w:t>
            </w:r>
          </w:p>
        </w:tc>
      </w:tr>
      <w:tr w:rsidR="0071410A" w:rsidRPr="00754BD6" w14:paraId="0A004B06" w14:textId="77777777" w:rsidTr="003201DD">
        <w:trPr>
          <w:cantSplit/>
          <w:trHeight w:val="459"/>
        </w:trPr>
        <w:tc>
          <w:tcPr>
            <w:tcW w:w="3903" w:type="dxa"/>
            <w:tcBorders>
              <w:top w:val="single" w:sz="12" w:space="0" w:color="auto"/>
            </w:tcBorders>
          </w:tcPr>
          <w:p w14:paraId="23AF2329" w14:textId="77777777" w:rsidR="003201DD" w:rsidRPr="00927455" w:rsidRDefault="003201DD" w:rsidP="003201DD">
            <w:pPr>
              <w:keepNext/>
              <w:keepLines/>
              <w:spacing w:before="120" w:after="120"/>
              <w:rPr>
                <w:lang w:val="fr-BE"/>
              </w:rPr>
            </w:pPr>
            <w:r w:rsidRPr="00927455">
              <w:rPr>
                <w:lang w:val="fr-BE"/>
              </w:rPr>
              <w:t>Résistance à la chaleur</w:t>
            </w:r>
          </w:p>
        </w:tc>
        <w:tc>
          <w:tcPr>
            <w:tcW w:w="2693" w:type="dxa"/>
            <w:tcBorders>
              <w:top w:val="single" w:sz="12" w:space="0" w:color="auto"/>
            </w:tcBorders>
          </w:tcPr>
          <w:p w14:paraId="10E49930" w14:textId="77777777" w:rsidR="003201DD" w:rsidRPr="00927455" w:rsidRDefault="003201DD" w:rsidP="003201DD">
            <w:pPr>
              <w:pStyle w:val="En-tte"/>
              <w:keepNext/>
              <w:keepLines/>
              <w:spacing w:before="120" w:after="120"/>
              <w:jc w:val="center"/>
              <w:rPr>
                <w:lang w:val="fr-BE"/>
              </w:rPr>
            </w:pPr>
            <w:r w:rsidRPr="00927455">
              <w:rPr>
                <w:lang w:val="fr-BE"/>
              </w:rPr>
              <w:t>B 300</w:t>
            </w:r>
          </w:p>
        </w:tc>
        <w:tc>
          <w:tcPr>
            <w:tcW w:w="2471" w:type="dxa"/>
            <w:tcBorders>
              <w:top w:val="single" w:sz="12" w:space="0" w:color="auto"/>
            </w:tcBorders>
          </w:tcPr>
          <w:p w14:paraId="2CD5903E" w14:textId="77777777" w:rsidR="003201DD" w:rsidRPr="00927455" w:rsidRDefault="003201DD" w:rsidP="003201DD">
            <w:pPr>
              <w:pStyle w:val="En-tte"/>
              <w:keepNext/>
              <w:keepLines/>
              <w:spacing w:before="120" w:after="120"/>
              <w:jc w:val="center"/>
              <w:rPr>
                <w:lang w:val="fr-BE"/>
              </w:rPr>
            </w:pPr>
            <w:r w:rsidRPr="00927455">
              <w:rPr>
                <w:lang w:val="fr-BE"/>
              </w:rPr>
              <w:t>NBN EN 12101</w:t>
            </w:r>
            <w:r w:rsidRPr="00927455">
              <w:rPr>
                <w:lang w:val="fr-BE"/>
              </w:rPr>
              <w:noBreakHyphen/>
              <w:t>2</w:t>
            </w:r>
          </w:p>
          <w:p w14:paraId="180B7125" w14:textId="77777777" w:rsidR="003201DD" w:rsidRPr="00927455" w:rsidRDefault="003201DD" w:rsidP="003201DD">
            <w:pPr>
              <w:pStyle w:val="En-tte"/>
              <w:keepNext/>
              <w:keepLines/>
              <w:spacing w:before="120" w:after="120"/>
              <w:jc w:val="center"/>
              <w:rPr>
                <w:lang w:val="fr-BE"/>
              </w:rPr>
            </w:pPr>
            <w:r w:rsidRPr="00927455">
              <w:rPr>
                <w:lang w:val="fr-BE"/>
              </w:rPr>
              <w:t>(essai : Annexe G)</w:t>
            </w:r>
          </w:p>
        </w:tc>
      </w:tr>
      <w:tr w:rsidR="0071410A" w:rsidRPr="00754BD6" w14:paraId="3751AEB0" w14:textId="77777777" w:rsidTr="003201DD">
        <w:trPr>
          <w:cantSplit/>
          <w:trHeight w:val="459"/>
        </w:trPr>
        <w:tc>
          <w:tcPr>
            <w:tcW w:w="3903" w:type="dxa"/>
          </w:tcPr>
          <w:p w14:paraId="484AC998" w14:textId="77777777" w:rsidR="003201DD" w:rsidRPr="00927455" w:rsidRDefault="003201DD" w:rsidP="003201DD">
            <w:pPr>
              <w:keepNext/>
              <w:keepLines/>
              <w:spacing w:before="120" w:after="120"/>
              <w:rPr>
                <w:lang w:val="fr-BE"/>
              </w:rPr>
            </w:pPr>
            <w:r w:rsidRPr="00927455">
              <w:rPr>
                <w:lang w:val="fr-BE"/>
              </w:rPr>
              <w:t>Ouverture sous charge de neige</w:t>
            </w:r>
          </w:p>
        </w:tc>
        <w:tc>
          <w:tcPr>
            <w:tcW w:w="2693" w:type="dxa"/>
          </w:tcPr>
          <w:p w14:paraId="7824B0B2" w14:textId="77777777" w:rsidR="003201DD" w:rsidRPr="00927455" w:rsidRDefault="003201DD" w:rsidP="003201DD">
            <w:pPr>
              <w:pStyle w:val="En-tte"/>
              <w:keepNext/>
              <w:keepLines/>
              <w:spacing w:before="120" w:after="120"/>
              <w:jc w:val="center"/>
              <w:rPr>
                <w:lang w:val="fr-BE"/>
              </w:rPr>
            </w:pPr>
            <w:r w:rsidRPr="00927455">
              <w:rPr>
                <w:lang w:val="fr-BE"/>
              </w:rPr>
              <w:t xml:space="preserve">SL 125 </w:t>
            </w:r>
            <w:r w:rsidRPr="00927455">
              <w:rPr>
                <w:rFonts w:cs="Times New Roman"/>
                <w:lang w:val="fr-BE" w:eastAsia="nl-NL"/>
              </w:rPr>
              <w:t>(**) (***)</w:t>
            </w:r>
          </w:p>
        </w:tc>
        <w:tc>
          <w:tcPr>
            <w:tcW w:w="2471" w:type="dxa"/>
          </w:tcPr>
          <w:p w14:paraId="329B8CC2" w14:textId="77777777" w:rsidR="003201DD" w:rsidRPr="00927455" w:rsidRDefault="003201DD" w:rsidP="003201DD">
            <w:pPr>
              <w:pStyle w:val="En-tte"/>
              <w:keepNext/>
              <w:keepLines/>
              <w:spacing w:before="120" w:after="120"/>
              <w:jc w:val="center"/>
              <w:rPr>
                <w:lang w:val="fr-BE"/>
              </w:rPr>
            </w:pPr>
            <w:r w:rsidRPr="00927455">
              <w:rPr>
                <w:lang w:val="fr-BE"/>
              </w:rPr>
              <w:t>NBN EN 12101</w:t>
            </w:r>
            <w:r w:rsidRPr="00927455">
              <w:rPr>
                <w:lang w:val="fr-BE"/>
              </w:rPr>
              <w:noBreakHyphen/>
              <w:t>2</w:t>
            </w:r>
          </w:p>
          <w:p w14:paraId="1473BE21" w14:textId="77777777" w:rsidR="003201DD" w:rsidRPr="00927455" w:rsidRDefault="003201DD" w:rsidP="003201DD">
            <w:pPr>
              <w:pStyle w:val="En-tte"/>
              <w:keepNext/>
              <w:keepLines/>
              <w:spacing w:before="120" w:after="120"/>
              <w:jc w:val="center"/>
              <w:rPr>
                <w:lang w:val="fr-BE"/>
              </w:rPr>
            </w:pPr>
            <w:r w:rsidRPr="00927455">
              <w:rPr>
                <w:lang w:val="fr-BE"/>
              </w:rPr>
              <w:t>(essai : Annexe D)</w:t>
            </w:r>
          </w:p>
        </w:tc>
      </w:tr>
      <w:tr w:rsidR="0071410A" w:rsidRPr="00754BD6" w14:paraId="78F25325" w14:textId="77777777" w:rsidTr="003201DD">
        <w:trPr>
          <w:cantSplit/>
          <w:trHeight w:val="459"/>
        </w:trPr>
        <w:tc>
          <w:tcPr>
            <w:tcW w:w="3903" w:type="dxa"/>
          </w:tcPr>
          <w:p w14:paraId="53A76057" w14:textId="77777777" w:rsidR="003201DD" w:rsidRPr="00927455" w:rsidRDefault="003201DD" w:rsidP="003201DD">
            <w:pPr>
              <w:keepNext/>
              <w:keepLines/>
              <w:spacing w:before="120" w:after="120"/>
              <w:rPr>
                <w:lang w:val="fr-BE"/>
              </w:rPr>
            </w:pPr>
            <w:r w:rsidRPr="00927455">
              <w:rPr>
                <w:lang w:val="fr-BE"/>
              </w:rPr>
              <w:t>Ouverture à température ambiante basse</w:t>
            </w:r>
          </w:p>
        </w:tc>
        <w:tc>
          <w:tcPr>
            <w:tcW w:w="2693" w:type="dxa"/>
          </w:tcPr>
          <w:p w14:paraId="5727D19B" w14:textId="77777777" w:rsidR="003201DD" w:rsidRPr="00927455" w:rsidRDefault="003201DD" w:rsidP="003201DD">
            <w:pPr>
              <w:keepNext/>
              <w:keepLines/>
              <w:spacing w:before="120"/>
              <w:jc w:val="center"/>
              <w:rPr>
                <w:lang w:val="fr-BE"/>
              </w:rPr>
            </w:pPr>
            <w:r w:rsidRPr="00927455">
              <w:rPr>
                <w:lang w:val="fr-BE"/>
              </w:rPr>
              <w:t>T (-15)</w:t>
            </w:r>
          </w:p>
        </w:tc>
        <w:tc>
          <w:tcPr>
            <w:tcW w:w="2471" w:type="dxa"/>
          </w:tcPr>
          <w:p w14:paraId="2DA105A5" w14:textId="77777777" w:rsidR="003201DD" w:rsidRPr="00927455" w:rsidRDefault="003201DD" w:rsidP="003201DD">
            <w:pPr>
              <w:pStyle w:val="En-tte"/>
              <w:keepNext/>
              <w:keepLines/>
              <w:spacing w:before="120" w:after="120"/>
              <w:jc w:val="center"/>
              <w:rPr>
                <w:lang w:val="fr-BE"/>
              </w:rPr>
            </w:pPr>
            <w:r w:rsidRPr="00927455">
              <w:rPr>
                <w:lang w:val="fr-BE"/>
              </w:rPr>
              <w:t>NBN EN 12101</w:t>
            </w:r>
            <w:r w:rsidRPr="00927455">
              <w:rPr>
                <w:lang w:val="fr-BE"/>
              </w:rPr>
              <w:noBreakHyphen/>
              <w:t>2</w:t>
            </w:r>
          </w:p>
          <w:p w14:paraId="156258B8" w14:textId="77777777" w:rsidR="003201DD" w:rsidRPr="00927455" w:rsidRDefault="003201DD" w:rsidP="003201DD">
            <w:pPr>
              <w:keepNext/>
              <w:keepLines/>
              <w:spacing w:before="120" w:after="120"/>
              <w:jc w:val="center"/>
              <w:rPr>
                <w:lang w:val="fr-BE"/>
              </w:rPr>
            </w:pPr>
            <w:r w:rsidRPr="00927455">
              <w:rPr>
                <w:lang w:val="fr-BE"/>
              </w:rPr>
              <w:t>(essai : Annexe E)</w:t>
            </w:r>
          </w:p>
        </w:tc>
      </w:tr>
      <w:tr w:rsidR="0071410A" w:rsidRPr="00754BD6" w14:paraId="083246A8" w14:textId="77777777" w:rsidTr="003201DD">
        <w:trPr>
          <w:cantSplit/>
          <w:trHeight w:val="459"/>
        </w:trPr>
        <w:tc>
          <w:tcPr>
            <w:tcW w:w="3903" w:type="dxa"/>
          </w:tcPr>
          <w:p w14:paraId="036CBD83" w14:textId="77777777" w:rsidR="003201DD" w:rsidRPr="00927455" w:rsidRDefault="003201DD" w:rsidP="003201DD">
            <w:pPr>
              <w:keepNext/>
              <w:keepLines/>
              <w:spacing w:before="120" w:after="120"/>
              <w:rPr>
                <w:lang w:val="fr-BE"/>
              </w:rPr>
            </w:pPr>
            <w:r w:rsidRPr="00927455">
              <w:rPr>
                <w:lang w:val="fr-BE"/>
              </w:rPr>
              <w:t>Fiabilité</w:t>
            </w:r>
          </w:p>
        </w:tc>
        <w:tc>
          <w:tcPr>
            <w:tcW w:w="2693" w:type="dxa"/>
          </w:tcPr>
          <w:p w14:paraId="7DAF02DC" w14:textId="77777777" w:rsidR="003201DD" w:rsidRPr="00927455" w:rsidRDefault="003201DD" w:rsidP="003201DD">
            <w:pPr>
              <w:keepNext/>
              <w:keepLines/>
              <w:spacing w:before="120" w:after="120"/>
              <w:jc w:val="center"/>
              <w:rPr>
                <w:lang w:val="fr-BE"/>
              </w:rPr>
            </w:pPr>
            <w:r w:rsidRPr="00927455">
              <w:rPr>
                <w:lang w:val="fr-BE"/>
              </w:rPr>
              <w:t xml:space="preserve">Re 50 </w:t>
            </w:r>
            <w:r w:rsidRPr="00927455">
              <w:rPr>
                <w:rFonts w:cs="Times New Roman"/>
                <w:lang w:val="fr-BE" w:eastAsia="nl-NL"/>
              </w:rPr>
              <w:t>(*)</w:t>
            </w:r>
          </w:p>
        </w:tc>
        <w:tc>
          <w:tcPr>
            <w:tcW w:w="2471" w:type="dxa"/>
          </w:tcPr>
          <w:p w14:paraId="3E0D9B92" w14:textId="77777777" w:rsidR="003201DD" w:rsidRPr="00927455" w:rsidRDefault="003201DD" w:rsidP="003201DD">
            <w:pPr>
              <w:pStyle w:val="En-tte"/>
              <w:keepNext/>
              <w:keepLines/>
              <w:spacing w:before="120" w:after="120"/>
              <w:jc w:val="center"/>
              <w:rPr>
                <w:lang w:val="fr-BE"/>
              </w:rPr>
            </w:pPr>
            <w:r w:rsidRPr="00927455">
              <w:rPr>
                <w:lang w:val="fr-BE"/>
              </w:rPr>
              <w:t>NBN EN 12101</w:t>
            </w:r>
            <w:r w:rsidRPr="00927455">
              <w:rPr>
                <w:lang w:val="fr-BE"/>
              </w:rPr>
              <w:noBreakHyphen/>
              <w:t>2</w:t>
            </w:r>
          </w:p>
          <w:p w14:paraId="2B160E60" w14:textId="77777777" w:rsidR="003201DD" w:rsidRPr="00927455" w:rsidRDefault="003201DD" w:rsidP="003201DD">
            <w:pPr>
              <w:keepNext/>
              <w:keepLines/>
              <w:spacing w:before="120" w:after="120"/>
              <w:jc w:val="center"/>
              <w:rPr>
                <w:lang w:val="fr-BE"/>
              </w:rPr>
            </w:pPr>
            <w:r w:rsidRPr="00927455">
              <w:rPr>
                <w:lang w:val="fr-BE"/>
              </w:rPr>
              <w:t>(essai : Annexe C)</w:t>
            </w:r>
          </w:p>
        </w:tc>
      </w:tr>
      <w:tr w:rsidR="003201DD" w:rsidRPr="00754BD6" w14:paraId="0FC2D8A4" w14:textId="77777777" w:rsidTr="003201DD">
        <w:trPr>
          <w:cantSplit/>
          <w:trHeight w:val="459"/>
        </w:trPr>
        <w:tc>
          <w:tcPr>
            <w:tcW w:w="3903" w:type="dxa"/>
          </w:tcPr>
          <w:p w14:paraId="0BCD3CFA" w14:textId="77777777" w:rsidR="003201DD" w:rsidRPr="00927455" w:rsidRDefault="003201DD" w:rsidP="003201DD">
            <w:pPr>
              <w:keepNext/>
              <w:keepLines/>
              <w:spacing w:before="120" w:after="120"/>
              <w:rPr>
                <w:lang w:val="fr-BE"/>
              </w:rPr>
            </w:pPr>
            <w:r w:rsidRPr="00927455">
              <w:rPr>
                <w:lang w:val="fr-BE"/>
              </w:rPr>
              <w:t>Résistance à la dépression du vent</w:t>
            </w:r>
          </w:p>
        </w:tc>
        <w:tc>
          <w:tcPr>
            <w:tcW w:w="2693" w:type="dxa"/>
          </w:tcPr>
          <w:p w14:paraId="5BA90129" w14:textId="77777777" w:rsidR="003201DD" w:rsidRPr="00927455" w:rsidRDefault="003201DD" w:rsidP="003201DD">
            <w:pPr>
              <w:keepNext/>
              <w:keepLines/>
              <w:spacing w:before="120" w:after="120"/>
              <w:jc w:val="center"/>
              <w:rPr>
                <w:lang w:val="fr-BE"/>
              </w:rPr>
            </w:pPr>
            <w:r w:rsidRPr="00927455">
              <w:rPr>
                <w:lang w:val="fr-BE"/>
              </w:rPr>
              <w:t>WL 1500</w:t>
            </w:r>
          </w:p>
        </w:tc>
        <w:tc>
          <w:tcPr>
            <w:tcW w:w="2471" w:type="dxa"/>
          </w:tcPr>
          <w:p w14:paraId="7D9E6087" w14:textId="77777777" w:rsidR="003201DD" w:rsidRPr="00927455" w:rsidRDefault="003201DD" w:rsidP="003201DD">
            <w:pPr>
              <w:pStyle w:val="En-tte"/>
              <w:keepNext/>
              <w:keepLines/>
              <w:spacing w:before="120" w:after="120"/>
              <w:jc w:val="center"/>
              <w:rPr>
                <w:lang w:val="fr-BE"/>
              </w:rPr>
            </w:pPr>
            <w:r w:rsidRPr="00927455">
              <w:rPr>
                <w:lang w:val="fr-BE"/>
              </w:rPr>
              <w:t>NBN EN 12101</w:t>
            </w:r>
            <w:r w:rsidRPr="00927455">
              <w:rPr>
                <w:lang w:val="fr-BE"/>
              </w:rPr>
              <w:noBreakHyphen/>
              <w:t>2</w:t>
            </w:r>
          </w:p>
          <w:p w14:paraId="3FEA04B1" w14:textId="77777777" w:rsidR="003201DD" w:rsidRPr="00927455" w:rsidRDefault="003201DD" w:rsidP="003201DD">
            <w:pPr>
              <w:pStyle w:val="En-tte"/>
              <w:keepNext/>
              <w:keepLines/>
              <w:spacing w:before="120" w:after="120"/>
              <w:jc w:val="center"/>
              <w:rPr>
                <w:lang w:val="fr-BE"/>
              </w:rPr>
            </w:pPr>
            <w:r w:rsidRPr="00927455">
              <w:rPr>
                <w:lang w:val="fr-BE"/>
              </w:rPr>
              <w:t>(essai : Annexe F)</w:t>
            </w:r>
          </w:p>
        </w:tc>
      </w:tr>
    </w:tbl>
    <w:tbl>
      <w:tblPr>
        <w:tblStyle w:val="Grilledutableau"/>
        <w:tblW w:w="0" w:type="auto"/>
        <w:tblLook w:val="04A0" w:firstRow="1" w:lastRow="0" w:firstColumn="1" w:lastColumn="0" w:noHBand="0" w:noVBand="1"/>
      </w:tblPr>
      <w:tblGrid>
        <w:gridCol w:w="4538"/>
        <w:gridCol w:w="4524"/>
      </w:tblGrid>
      <w:tr w:rsidR="003201DD" w:rsidRPr="00754BD6" w14:paraId="2A464C79" w14:textId="77777777" w:rsidTr="004F667F">
        <w:tc>
          <w:tcPr>
            <w:tcW w:w="4538" w:type="dxa"/>
          </w:tcPr>
          <w:p w14:paraId="40FDB2FE" w14:textId="77777777" w:rsidR="003201DD" w:rsidRPr="00927455" w:rsidRDefault="003201DD" w:rsidP="00693075">
            <w:pPr>
              <w:rPr>
                <w:lang w:val="fr-BE"/>
              </w:rPr>
            </w:pPr>
          </w:p>
        </w:tc>
        <w:tc>
          <w:tcPr>
            <w:tcW w:w="4524" w:type="dxa"/>
          </w:tcPr>
          <w:p w14:paraId="5FC88294" w14:textId="77777777" w:rsidR="003201DD" w:rsidRPr="00927455" w:rsidRDefault="003201DD" w:rsidP="00693075">
            <w:pPr>
              <w:rPr>
                <w:lang w:val="fr-BE"/>
              </w:rPr>
            </w:pPr>
          </w:p>
        </w:tc>
      </w:tr>
      <w:tr w:rsidR="0071410A" w:rsidRPr="00754BD6" w14:paraId="30703306" w14:textId="77777777" w:rsidTr="004F667F">
        <w:tc>
          <w:tcPr>
            <w:tcW w:w="4538" w:type="dxa"/>
          </w:tcPr>
          <w:p w14:paraId="5D21D9B3" w14:textId="77777777" w:rsidR="00E05B3A" w:rsidRPr="00927455" w:rsidRDefault="00E05B3A" w:rsidP="00E05B3A"/>
        </w:tc>
        <w:tc>
          <w:tcPr>
            <w:tcW w:w="4524" w:type="dxa"/>
          </w:tcPr>
          <w:p w14:paraId="76A97DF8" w14:textId="77777777" w:rsidR="003201DD" w:rsidRPr="00927455" w:rsidRDefault="003201DD" w:rsidP="003201DD">
            <w:pPr>
              <w:rPr>
                <w:lang w:val="fr-BE"/>
              </w:rPr>
            </w:pPr>
            <w:r w:rsidRPr="00927455">
              <w:rPr>
                <w:lang w:val="fr-BE"/>
              </w:rPr>
              <w:t>(*) Si le dispositif d’évacuation est bi-fonction, 10 000 cycles en position normale de ventilation de confort doivent être effectués avant de procéder à l’essai permettant de déterminer sa classe de fiabilité.</w:t>
            </w:r>
          </w:p>
          <w:p w14:paraId="5F527A0B" w14:textId="77777777" w:rsidR="003201DD" w:rsidRPr="00927455" w:rsidRDefault="003201DD" w:rsidP="003201DD">
            <w:pPr>
              <w:rPr>
                <w:lang w:val="fr-BE"/>
              </w:rPr>
            </w:pPr>
          </w:p>
          <w:p w14:paraId="7A20E803" w14:textId="77777777" w:rsidR="003201DD" w:rsidRPr="00927455" w:rsidRDefault="003201DD" w:rsidP="003201DD">
            <w:pPr>
              <w:rPr>
                <w:lang w:val="fr-BE"/>
              </w:rPr>
            </w:pPr>
            <w:r w:rsidRPr="00927455">
              <w:rPr>
                <w:lang w:val="fr-BE"/>
              </w:rPr>
              <w:t>(**) Un dispositif d’évacuation classé SL 0 peut être installé conformément aux instructions du fabricant avec un angle minimum d’installation strictement supérieur à 45° (pentes de la toiture et du dispositif d’évacuation cumulées en position fermée), sauf si la neige est empêchée de glisser du dispositif d’évacuation (par des déflecteurs de vent par exemple).</w:t>
            </w:r>
          </w:p>
          <w:p w14:paraId="5B71AA22" w14:textId="77777777" w:rsidR="003201DD" w:rsidRPr="00927455" w:rsidRDefault="003201DD" w:rsidP="003201DD">
            <w:pPr>
              <w:rPr>
                <w:lang w:val="fr-BE"/>
              </w:rPr>
            </w:pPr>
          </w:p>
          <w:p w14:paraId="3298BBAF" w14:textId="77777777" w:rsidR="003201DD" w:rsidRPr="00927455" w:rsidRDefault="003201DD" w:rsidP="003201DD">
            <w:pPr>
              <w:rPr>
                <w:lang w:val="fr-BE"/>
              </w:rPr>
            </w:pPr>
            <w:r w:rsidRPr="00927455">
              <w:rPr>
                <w:lang w:val="fr-BE"/>
              </w:rPr>
              <w:t>(***) À l’exception des dispositifs d’évacuation classés SL 0, pour les dispositifs d’évacuation équipés de déflecteurs ou d’éléments similaires, il convient que la classification de la charge de neige ne soit pas inférieure à SL = 2 000 d, d représentant l'épaisseur de neige, exprimée en mètres, qui peut être retenue dans les limites des déflecteurs.</w:t>
            </w:r>
          </w:p>
          <w:p w14:paraId="2865008B" w14:textId="77777777" w:rsidR="003201DD" w:rsidRPr="00927455" w:rsidRDefault="003201DD" w:rsidP="003201DD">
            <w:pPr>
              <w:rPr>
                <w:lang w:val="fr-BE"/>
              </w:rPr>
            </w:pPr>
          </w:p>
          <w:p w14:paraId="45D2916A" w14:textId="77777777" w:rsidR="003201DD" w:rsidRPr="00927455" w:rsidRDefault="003201DD" w:rsidP="003201DD">
            <w:pPr>
              <w:rPr>
                <w:lang w:val="fr-BE"/>
              </w:rPr>
            </w:pPr>
            <w:r w:rsidRPr="00927455">
              <w:rPr>
                <w:lang w:val="fr-BE"/>
              </w:rPr>
              <w:t>L’ouverture de l’éventuel clapet ou registre de chaque baie de ventilation est commandée des manières suivantes :</w:t>
            </w:r>
          </w:p>
          <w:p w14:paraId="3A215CD6" w14:textId="7607F7BE" w:rsidR="003201DD" w:rsidRPr="00927455" w:rsidRDefault="003201DD" w:rsidP="003201DD">
            <w:pPr>
              <w:rPr>
                <w:lang w:val="fr-BE"/>
              </w:rPr>
            </w:pPr>
            <w:r w:rsidRPr="00927455">
              <w:rPr>
                <w:lang w:val="fr-BE"/>
              </w:rPr>
              <w:t xml:space="preserve">- automatiquement en cas </w:t>
            </w:r>
            <w:r w:rsidR="006476BC" w:rsidRPr="00927455">
              <w:rPr>
                <w:lang w:val="fr-BE"/>
              </w:rPr>
              <w:t>d’</w:t>
            </w:r>
            <w:r w:rsidRPr="00927455">
              <w:rPr>
                <w:lang w:val="fr-BE"/>
              </w:rPr>
              <w:t>incendie dans le parking ;</w:t>
            </w:r>
          </w:p>
          <w:p w14:paraId="2CF3429A" w14:textId="77777777" w:rsidR="003201DD" w:rsidRPr="00927455" w:rsidRDefault="003201DD" w:rsidP="003201DD">
            <w:pPr>
              <w:rPr>
                <w:lang w:val="fr-BE"/>
              </w:rPr>
            </w:pPr>
            <w:r w:rsidRPr="00927455">
              <w:rPr>
                <w:lang w:val="fr-BE"/>
              </w:rPr>
              <w:t xml:space="preserve">- automatiquement en cas de défaillance de la source d’énergie, du dispositif </w:t>
            </w:r>
            <w:r w:rsidRPr="00927455">
              <w:rPr>
                <w:lang w:val="fr-BE"/>
              </w:rPr>
              <w:lastRenderedPageBreak/>
              <w:t>d’alimentation ou du dispositif de commande (appareil à sécurité positive) ;</w:t>
            </w:r>
          </w:p>
          <w:p w14:paraId="6CB48079" w14:textId="77777777" w:rsidR="003201DD" w:rsidRPr="00927455" w:rsidRDefault="003201DD" w:rsidP="003201DD">
            <w:pPr>
              <w:rPr>
                <w:lang w:val="fr-BE"/>
              </w:rPr>
            </w:pPr>
            <w:r w:rsidRPr="00927455">
              <w:rPr>
                <w:lang w:val="fr-BE"/>
              </w:rPr>
              <w:t>- manuellement via une commande destinée au service d’incendie.</w:t>
            </w:r>
          </w:p>
          <w:p w14:paraId="63B1A0BC" w14:textId="77777777" w:rsidR="003201DD" w:rsidRPr="00927455" w:rsidRDefault="003201DD" w:rsidP="003201DD">
            <w:pPr>
              <w:rPr>
                <w:lang w:val="fr-BE"/>
              </w:rPr>
            </w:pPr>
          </w:p>
        </w:tc>
      </w:tr>
      <w:tr w:rsidR="0071410A" w:rsidRPr="00927455" w14:paraId="04AFEB52" w14:textId="77777777" w:rsidTr="004F667F">
        <w:tc>
          <w:tcPr>
            <w:tcW w:w="4538" w:type="dxa"/>
          </w:tcPr>
          <w:p w14:paraId="64767A8C" w14:textId="77777777" w:rsidR="00E05B3A" w:rsidRPr="00927455" w:rsidRDefault="00E05B3A" w:rsidP="00693075">
            <w:pPr>
              <w:rPr>
                <w:b/>
                <w:lang w:val="fr-BE"/>
              </w:rPr>
            </w:pPr>
          </w:p>
        </w:tc>
        <w:tc>
          <w:tcPr>
            <w:tcW w:w="4524" w:type="dxa"/>
          </w:tcPr>
          <w:p w14:paraId="30483529" w14:textId="77777777" w:rsidR="003201DD" w:rsidRPr="00927455" w:rsidRDefault="003201DD" w:rsidP="00693075">
            <w:pPr>
              <w:rPr>
                <w:b/>
                <w:lang w:val="fr-BE"/>
              </w:rPr>
            </w:pPr>
            <w:r w:rsidRPr="00927455">
              <w:rPr>
                <w:b/>
                <w:lang w:val="fr-BE"/>
              </w:rPr>
              <w:t>3.3.7 Niveau de parking ouvert</w:t>
            </w:r>
          </w:p>
          <w:p w14:paraId="5D2C39BD" w14:textId="77777777" w:rsidR="003201DD" w:rsidRPr="00927455" w:rsidRDefault="003201DD" w:rsidP="00693075">
            <w:pPr>
              <w:rPr>
                <w:b/>
                <w:lang w:val="fr-BE"/>
              </w:rPr>
            </w:pPr>
          </w:p>
        </w:tc>
      </w:tr>
      <w:tr w:rsidR="0071410A" w:rsidRPr="00754BD6" w14:paraId="0FDD1275" w14:textId="77777777" w:rsidTr="004F667F">
        <w:tc>
          <w:tcPr>
            <w:tcW w:w="4538" w:type="dxa"/>
          </w:tcPr>
          <w:p w14:paraId="0BF41D8A" w14:textId="77777777" w:rsidR="00E05B3A" w:rsidRPr="00927455" w:rsidRDefault="00E05B3A" w:rsidP="00E05B3A"/>
        </w:tc>
        <w:tc>
          <w:tcPr>
            <w:tcW w:w="4524" w:type="dxa"/>
          </w:tcPr>
          <w:p w14:paraId="2F1DF540" w14:textId="35B12467" w:rsidR="003201DD" w:rsidRPr="00927455" w:rsidRDefault="003201DD" w:rsidP="003201DD">
            <w:pPr>
              <w:rPr>
                <w:lang w:val="fr-BE"/>
              </w:rPr>
            </w:pPr>
            <w:r w:rsidRPr="00927455">
              <w:rPr>
                <w:lang w:val="fr-BE"/>
              </w:rPr>
              <w:t>Le présent type de protection n’est applicable qu’à un niveau de parking ouvert (</w:t>
            </w:r>
            <w:proofErr w:type="spellStart"/>
            <w:r w:rsidRPr="00927455">
              <w:rPr>
                <w:lang w:val="fr-BE"/>
              </w:rPr>
              <w:t>cfr</w:t>
            </w:r>
            <w:proofErr w:type="spellEnd"/>
            <w:r w:rsidRPr="00927455">
              <w:rPr>
                <w:lang w:val="fr-BE"/>
              </w:rPr>
              <w:t>. point 7.</w:t>
            </w:r>
            <w:r w:rsidR="007D193C" w:rsidRPr="00927455">
              <w:rPr>
                <w:lang w:val="fr-BE"/>
              </w:rPr>
              <w:t>4</w:t>
            </w:r>
            <w:r w:rsidRPr="00927455">
              <w:rPr>
                <w:lang w:val="fr-BE"/>
              </w:rPr>
              <w:t xml:space="preserve"> de l’annexe 1).</w:t>
            </w:r>
          </w:p>
          <w:p w14:paraId="2B5661FB" w14:textId="77777777" w:rsidR="003201DD" w:rsidRPr="00927455" w:rsidRDefault="003201DD" w:rsidP="003201DD">
            <w:pPr>
              <w:rPr>
                <w:lang w:val="fr-BE"/>
              </w:rPr>
            </w:pPr>
          </w:p>
          <w:p w14:paraId="2BF9A9D5" w14:textId="77777777" w:rsidR="003201DD" w:rsidRPr="00927455" w:rsidRDefault="003201DD" w:rsidP="003201DD">
            <w:pPr>
              <w:rPr>
                <w:lang w:val="fr-BE"/>
              </w:rPr>
            </w:pPr>
            <w:r w:rsidRPr="00927455">
              <w:rPr>
                <w:lang w:val="fr-BE"/>
              </w:rPr>
              <w:t>Le principe est que ce niveau de parking est largement ventilé, ce qui permet en cas d’incendie une évacuation aisée des fumées et de la chaleur et un apport d’air frais, et implique que des mesures de protection active ne sont pas nécessaires à ce niveau.</w:t>
            </w:r>
          </w:p>
          <w:p w14:paraId="23F52D71" w14:textId="77777777" w:rsidR="003201DD" w:rsidRPr="00927455" w:rsidRDefault="003201DD" w:rsidP="003201DD">
            <w:pPr>
              <w:rPr>
                <w:lang w:val="fr-BE"/>
              </w:rPr>
            </w:pPr>
          </w:p>
        </w:tc>
      </w:tr>
      <w:tr w:rsidR="0071410A" w:rsidRPr="00754BD6" w14:paraId="1CA5EE5C" w14:textId="77777777" w:rsidTr="004F667F">
        <w:tc>
          <w:tcPr>
            <w:tcW w:w="4538" w:type="dxa"/>
          </w:tcPr>
          <w:p w14:paraId="0CEC476B" w14:textId="77777777" w:rsidR="00E05B3A" w:rsidRPr="00927455" w:rsidRDefault="00E05B3A" w:rsidP="00693075">
            <w:pPr>
              <w:rPr>
                <w:b/>
                <w:lang w:val="fr-BE"/>
              </w:rPr>
            </w:pPr>
          </w:p>
        </w:tc>
        <w:tc>
          <w:tcPr>
            <w:tcW w:w="4524" w:type="dxa"/>
          </w:tcPr>
          <w:p w14:paraId="5F7C7B48" w14:textId="77777777" w:rsidR="003201DD" w:rsidRPr="00927455" w:rsidRDefault="003201DD" w:rsidP="00693075">
            <w:pPr>
              <w:rPr>
                <w:b/>
                <w:lang w:val="fr-BE"/>
              </w:rPr>
            </w:pPr>
            <w:r w:rsidRPr="00927455">
              <w:rPr>
                <w:b/>
                <w:lang w:val="fr-BE"/>
              </w:rPr>
              <w:t>3.3.8 Poste central de contrôle et de commande</w:t>
            </w:r>
          </w:p>
          <w:p w14:paraId="459267D3" w14:textId="77777777" w:rsidR="003201DD" w:rsidRPr="00927455" w:rsidRDefault="003201DD" w:rsidP="00693075">
            <w:pPr>
              <w:rPr>
                <w:b/>
                <w:lang w:val="fr-BE"/>
              </w:rPr>
            </w:pPr>
          </w:p>
        </w:tc>
      </w:tr>
      <w:tr w:rsidR="0071410A" w:rsidRPr="00754BD6" w14:paraId="7EF68A76" w14:textId="77777777" w:rsidTr="004F667F">
        <w:tc>
          <w:tcPr>
            <w:tcW w:w="4538" w:type="dxa"/>
          </w:tcPr>
          <w:p w14:paraId="19D09F18" w14:textId="77777777" w:rsidR="00E05B3A" w:rsidRPr="00927455" w:rsidRDefault="00E05B3A" w:rsidP="00E05B3A"/>
        </w:tc>
        <w:tc>
          <w:tcPr>
            <w:tcW w:w="4524" w:type="dxa"/>
          </w:tcPr>
          <w:p w14:paraId="73742957" w14:textId="77777777" w:rsidR="003201DD" w:rsidRPr="00927455" w:rsidRDefault="003201DD" w:rsidP="003201DD">
            <w:pPr>
              <w:rPr>
                <w:lang w:val="fr-BE"/>
              </w:rPr>
            </w:pPr>
            <w:r w:rsidRPr="00927455">
              <w:rPr>
                <w:lang w:val="fr-BE"/>
              </w:rPr>
              <w:t>La surveillance du fonctionnement et la commande des différentes installations de protection active s’exercent depuis un poste de contrôle et de commande central.</w:t>
            </w:r>
          </w:p>
          <w:p w14:paraId="4A62F5B3" w14:textId="77777777" w:rsidR="003201DD" w:rsidRPr="00927455" w:rsidRDefault="003201DD" w:rsidP="003201DD">
            <w:pPr>
              <w:rPr>
                <w:lang w:val="fr-BE"/>
              </w:rPr>
            </w:pPr>
          </w:p>
          <w:p w14:paraId="5178C10C" w14:textId="77777777" w:rsidR="003201DD" w:rsidRPr="00927455" w:rsidRDefault="003201DD" w:rsidP="003201DD">
            <w:pPr>
              <w:rPr>
                <w:lang w:val="fr-BE"/>
              </w:rPr>
            </w:pPr>
            <w:r w:rsidRPr="00927455">
              <w:rPr>
                <w:lang w:val="fr-BE"/>
              </w:rPr>
              <w:t>Le poste central de contrôle et de commande comprend un tableau synoptique qui permet de localiser l’incendie, de constater les différents moyens de protections prévus et de contrôler leur activation.</w:t>
            </w:r>
          </w:p>
          <w:p w14:paraId="2092CE37" w14:textId="77777777" w:rsidR="003201DD" w:rsidRPr="00927455" w:rsidRDefault="003201DD" w:rsidP="003201DD">
            <w:pPr>
              <w:rPr>
                <w:lang w:val="fr-BE"/>
              </w:rPr>
            </w:pPr>
          </w:p>
          <w:p w14:paraId="3AFDDA30" w14:textId="77777777" w:rsidR="003201DD" w:rsidRPr="00927455" w:rsidRDefault="003201DD" w:rsidP="003201DD">
            <w:pPr>
              <w:rPr>
                <w:lang w:val="fr-BE"/>
              </w:rPr>
            </w:pPr>
            <w:r w:rsidRPr="00927455">
              <w:rPr>
                <w:lang w:val="fr-BE"/>
              </w:rPr>
              <w:t>L’emplacement du poste de contrôle et de commande central est décidé en concertation avec le service d’incendie territorialement compétent.</w:t>
            </w:r>
          </w:p>
          <w:p w14:paraId="37A844D8" w14:textId="77777777" w:rsidR="003201DD" w:rsidRPr="00927455" w:rsidRDefault="003201DD" w:rsidP="003201DD">
            <w:pPr>
              <w:rPr>
                <w:lang w:val="fr-BE"/>
              </w:rPr>
            </w:pPr>
          </w:p>
          <w:p w14:paraId="4D65F167" w14:textId="77777777" w:rsidR="003201DD" w:rsidRPr="00927455" w:rsidRDefault="003201DD" w:rsidP="003201DD">
            <w:pPr>
              <w:rPr>
                <w:lang w:val="fr-BE"/>
              </w:rPr>
            </w:pPr>
            <w:r w:rsidRPr="00927455">
              <w:rPr>
                <w:lang w:val="fr-BE"/>
              </w:rPr>
              <w:t>Le poste central de contrôle et de commande est indiqué par une signalisation bien visible et reconnaissable par le service d’incendie, et équipé d’un éclairage de sécurité.</w:t>
            </w:r>
          </w:p>
          <w:p w14:paraId="5AEADB93" w14:textId="77777777" w:rsidR="003201DD" w:rsidRPr="00927455" w:rsidRDefault="003201DD" w:rsidP="003201DD">
            <w:pPr>
              <w:rPr>
                <w:lang w:val="fr-BE"/>
              </w:rPr>
            </w:pPr>
          </w:p>
        </w:tc>
      </w:tr>
      <w:tr w:rsidR="0071410A" w:rsidRPr="00927455" w14:paraId="65E2DFA8" w14:textId="77777777" w:rsidTr="004F667F">
        <w:tc>
          <w:tcPr>
            <w:tcW w:w="4538" w:type="dxa"/>
          </w:tcPr>
          <w:p w14:paraId="2EB73949" w14:textId="77777777" w:rsidR="00E05B3A" w:rsidRPr="00927455" w:rsidRDefault="00E05B3A" w:rsidP="00693075">
            <w:pPr>
              <w:rPr>
                <w:b/>
                <w:lang w:val="fr-BE"/>
              </w:rPr>
            </w:pPr>
          </w:p>
        </w:tc>
        <w:tc>
          <w:tcPr>
            <w:tcW w:w="4524" w:type="dxa"/>
          </w:tcPr>
          <w:p w14:paraId="461D83C7" w14:textId="77777777" w:rsidR="00693075" w:rsidRPr="00927455" w:rsidRDefault="003201DD" w:rsidP="00693075">
            <w:pPr>
              <w:rPr>
                <w:b/>
                <w:lang w:val="fr-BE"/>
              </w:rPr>
            </w:pPr>
            <w:r w:rsidRPr="00927455">
              <w:rPr>
                <w:b/>
                <w:lang w:val="fr-BE"/>
              </w:rPr>
              <w:t>3.4 Moyens d’extinction</w:t>
            </w:r>
          </w:p>
          <w:p w14:paraId="75555676" w14:textId="77777777" w:rsidR="003201DD" w:rsidRPr="00927455" w:rsidRDefault="003201DD" w:rsidP="00693075">
            <w:pPr>
              <w:rPr>
                <w:b/>
                <w:lang w:val="fr-BE"/>
              </w:rPr>
            </w:pPr>
          </w:p>
        </w:tc>
      </w:tr>
      <w:tr w:rsidR="0071410A" w:rsidRPr="00927455" w14:paraId="6B48BE49" w14:textId="77777777" w:rsidTr="004F667F">
        <w:tc>
          <w:tcPr>
            <w:tcW w:w="4538" w:type="dxa"/>
          </w:tcPr>
          <w:p w14:paraId="7D38EF93" w14:textId="77777777" w:rsidR="00E05B3A" w:rsidRPr="00927455" w:rsidRDefault="00E05B3A" w:rsidP="00693075"/>
        </w:tc>
        <w:tc>
          <w:tcPr>
            <w:tcW w:w="4524" w:type="dxa"/>
          </w:tcPr>
          <w:p w14:paraId="0C4BD8A9" w14:textId="77777777" w:rsidR="00693075" w:rsidRPr="00927455" w:rsidRDefault="00E81F3C" w:rsidP="00693075">
            <w:pPr>
              <w:rPr>
                <w:lang w:val="fr-BE"/>
              </w:rPr>
            </w:pPr>
            <w:r w:rsidRPr="00927455">
              <w:rPr>
                <w:lang w:val="fr-BE"/>
              </w:rPr>
              <w:t>Par dérogation au point 6.8.5.3 des annexes 2/1, 3/1 et 4/1, pour les niveaux de parking équipés d’un sprinklage, aucun robinet d’incendie armé n’est exigé. Les prescriptions spécifiques concernant les hydrants muraux restent d’application.</w:t>
            </w:r>
          </w:p>
          <w:p w14:paraId="54C3816B" w14:textId="77777777" w:rsidR="00E81F3C" w:rsidRPr="00927455" w:rsidRDefault="00E81F3C" w:rsidP="00693075">
            <w:pPr>
              <w:rPr>
                <w:lang w:val="fr-BE"/>
              </w:rPr>
            </w:pPr>
          </w:p>
        </w:tc>
      </w:tr>
      <w:tr w:rsidR="0071410A" w:rsidRPr="00927455" w14:paraId="43E8717A" w14:textId="77777777" w:rsidTr="004F667F">
        <w:tc>
          <w:tcPr>
            <w:tcW w:w="4538" w:type="dxa"/>
          </w:tcPr>
          <w:p w14:paraId="2F0C94ED" w14:textId="77777777" w:rsidR="00E05B3A" w:rsidRPr="00927455" w:rsidRDefault="00E05B3A" w:rsidP="00693075">
            <w:pPr>
              <w:rPr>
                <w:b/>
              </w:rPr>
            </w:pPr>
          </w:p>
        </w:tc>
        <w:tc>
          <w:tcPr>
            <w:tcW w:w="4524" w:type="dxa"/>
          </w:tcPr>
          <w:p w14:paraId="10BA162D" w14:textId="03AA553E" w:rsidR="00E05B3A" w:rsidRPr="00927455" w:rsidRDefault="00E81F3C" w:rsidP="00693075">
            <w:pPr>
              <w:rPr>
                <w:b/>
                <w:lang w:val="fr-BE"/>
              </w:rPr>
            </w:pPr>
            <w:r w:rsidRPr="00927455">
              <w:rPr>
                <w:b/>
                <w:lang w:val="fr-BE"/>
              </w:rPr>
              <w:t>3.5 Locaux inclus</w:t>
            </w:r>
            <w:r w:rsidR="00C876D7" w:rsidRPr="00927455">
              <w:rPr>
                <w:b/>
                <w:lang w:val="fr-BE"/>
              </w:rPr>
              <w:t xml:space="preserve"> </w:t>
            </w:r>
            <w:r w:rsidR="004D2827" w:rsidRPr="00927455">
              <w:rPr>
                <w:b/>
                <w:lang w:val="fr-BE"/>
              </w:rPr>
              <w:t>dans le</w:t>
            </w:r>
            <w:r w:rsidR="00C876D7" w:rsidRPr="00927455">
              <w:rPr>
                <w:b/>
                <w:lang w:val="fr-BE"/>
              </w:rPr>
              <w:t xml:space="preserve"> compartiment</w:t>
            </w:r>
          </w:p>
          <w:p w14:paraId="4DF17A2A" w14:textId="77777777" w:rsidR="00E81F3C" w:rsidRPr="00927455" w:rsidRDefault="00E81F3C" w:rsidP="00693075">
            <w:pPr>
              <w:rPr>
                <w:b/>
                <w:lang w:val="fr-BE"/>
              </w:rPr>
            </w:pPr>
          </w:p>
        </w:tc>
      </w:tr>
      <w:tr w:rsidR="0071410A" w:rsidRPr="00754BD6" w14:paraId="2C845EEF" w14:textId="77777777" w:rsidTr="004F667F">
        <w:tc>
          <w:tcPr>
            <w:tcW w:w="4538" w:type="dxa"/>
          </w:tcPr>
          <w:p w14:paraId="6B33AE2D" w14:textId="77777777" w:rsidR="000C2B29" w:rsidRPr="00927455" w:rsidRDefault="000C2B29" w:rsidP="000C2B29"/>
        </w:tc>
        <w:tc>
          <w:tcPr>
            <w:tcW w:w="4524" w:type="dxa"/>
          </w:tcPr>
          <w:p w14:paraId="38ADE018" w14:textId="77777777" w:rsidR="00E81F3C" w:rsidRPr="00927455" w:rsidRDefault="00E81F3C" w:rsidP="00E81F3C">
            <w:pPr>
              <w:rPr>
                <w:lang w:val="fr-BE"/>
              </w:rPr>
            </w:pPr>
            <w:r w:rsidRPr="00927455">
              <w:rPr>
                <w:lang w:val="fr-BE"/>
              </w:rPr>
              <w:t>Il est permis d’inclure dans le compartiment parking les locaux suivants :</w:t>
            </w:r>
          </w:p>
          <w:p w14:paraId="017ADA5B" w14:textId="77777777" w:rsidR="00E81F3C" w:rsidRPr="00927455" w:rsidRDefault="00E81F3C" w:rsidP="00E81F3C">
            <w:pPr>
              <w:rPr>
                <w:lang w:val="fr-BE"/>
              </w:rPr>
            </w:pPr>
            <w:r w:rsidRPr="00927455">
              <w:rPr>
                <w:lang w:val="fr-BE"/>
              </w:rPr>
              <w:t>-</w:t>
            </w:r>
            <w:r w:rsidRPr="00927455">
              <w:rPr>
                <w:lang w:val="fr-BE"/>
              </w:rPr>
              <w:tab/>
              <w:t>les locaux sans occupation humaine (par exemple : locaux techniques, locaux pour transformateurs, débarras, archives, locaux d’entreposage des ordures, locaux pour compteurs, chaufferies, …) ;</w:t>
            </w:r>
          </w:p>
          <w:p w14:paraId="61177C2B" w14:textId="77777777" w:rsidR="00E81F3C" w:rsidRPr="00927455" w:rsidRDefault="00E81F3C" w:rsidP="00E81F3C">
            <w:pPr>
              <w:rPr>
                <w:lang w:val="fr-BE"/>
              </w:rPr>
            </w:pPr>
            <w:r w:rsidRPr="00927455">
              <w:rPr>
                <w:lang w:val="fr-BE"/>
              </w:rPr>
              <w:t>-</w:t>
            </w:r>
            <w:r w:rsidRPr="00927455">
              <w:rPr>
                <w:lang w:val="fr-BE"/>
              </w:rPr>
              <w:tab/>
              <w:t>les locaux directement liés à l’exploitation du parking (postes de péages, locaux de gardiennage, sanitaires, bureaux, ateliers, …).</w:t>
            </w:r>
          </w:p>
          <w:p w14:paraId="5D0376C8" w14:textId="77777777" w:rsidR="00E81F3C" w:rsidRPr="00927455" w:rsidRDefault="00E81F3C" w:rsidP="00E81F3C">
            <w:pPr>
              <w:rPr>
                <w:lang w:val="fr-BE"/>
              </w:rPr>
            </w:pPr>
          </w:p>
          <w:p w14:paraId="68F0B0F1" w14:textId="77777777" w:rsidR="00E05B3A" w:rsidRPr="00927455" w:rsidRDefault="00E81F3C" w:rsidP="00E81F3C">
            <w:pPr>
              <w:rPr>
                <w:lang w:val="fr-BE"/>
              </w:rPr>
            </w:pPr>
            <w:r w:rsidRPr="00927455">
              <w:rPr>
                <w:lang w:val="fr-BE"/>
              </w:rPr>
              <w:t>Il n’est pas permis d’inclure dans le compartiment parking des activités annexes, telles que des car-</w:t>
            </w:r>
            <w:proofErr w:type="spellStart"/>
            <w:r w:rsidRPr="00927455">
              <w:rPr>
                <w:lang w:val="fr-BE"/>
              </w:rPr>
              <w:t>wash</w:t>
            </w:r>
            <w:proofErr w:type="spellEnd"/>
            <w:r w:rsidRPr="00927455">
              <w:rPr>
                <w:lang w:val="fr-BE"/>
              </w:rPr>
              <w:t xml:space="preserve"> automatisés, des quais de chargement, des stations-services ou stations de remplissage en carburant.</w:t>
            </w:r>
          </w:p>
          <w:p w14:paraId="74C10908" w14:textId="77777777" w:rsidR="00E81F3C" w:rsidRPr="00927455" w:rsidRDefault="00E81F3C" w:rsidP="00E81F3C">
            <w:pPr>
              <w:rPr>
                <w:lang w:val="fr-BE"/>
              </w:rPr>
            </w:pPr>
          </w:p>
        </w:tc>
      </w:tr>
      <w:tr w:rsidR="0071410A" w:rsidRPr="00927455" w14:paraId="7831A883" w14:textId="77777777" w:rsidTr="004F667F">
        <w:tc>
          <w:tcPr>
            <w:tcW w:w="4538" w:type="dxa"/>
          </w:tcPr>
          <w:p w14:paraId="02FF6B78" w14:textId="77777777" w:rsidR="000C2B29" w:rsidRPr="00927455" w:rsidRDefault="000C2B29" w:rsidP="00693075"/>
        </w:tc>
        <w:tc>
          <w:tcPr>
            <w:tcW w:w="4524" w:type="dxa"/>
          </w:tcPr>
          <w:p w14:paraId="1BCA9A10" w14:textId="77777777" w:rsidR="00E05B3A" w:rsidRPr="00927455" w:rsidRDefault="00E81F3C" w:rsidP="00693075">
            <w:r w:rsidRPr="00927455">
              <w:t xml:space="preserve">3.5.1 </w:t>
            </w:r>
            <w:proofErr w:type="spellStart"/>
            <w:r w:rsidRPr="00927455">
              <w:t>Parois</w:t>
            </w:r>
            <w:proofErr w:type="spellEnd"/>
            <w:r w:rsidRPr="00927455">
              <w:t xml:space="preserve"> et </w:t>
            </w:r>
            <w:proofErr w:type="spellStart"/>
            <w:r w:rsidRPr="00927455">
              <w:t>portes</w:t>
            </w:r>
            <w:proofErr w:type="spellEnd"/>
            <w:r w:rsidRPr="00927455">
              <w:t xml:space="preserve"> </w:t>
            </w:r>
            <w:proofErr w:type="spellStart"/>
            <w:r w:rsidRPr="00927455">
              <w:t>intérieures</w:t>
            </w:r>
            <w:proofErr w:type="spellEnd"/>
          </w:p>
          <w:p w14:paraId="46850585" w14:textId="77777777" w:rsidR="00E81F3C" w:rsidRPr="00927455" w:rsidRDefault="00E81F3C" w:rsidP="00693075"/>
        </w:tc>
      </w:tr>
      <w:tr w:rsidR="0071410A" w:rsidRPr="00754BD6" w14:paraId="28D4197B" w14:textId="77777777" w:rsidTr="004F667F">
        <w:tc>
          <w:tcPr>
            <w:tcW w:w="4538" w:type="dxa"/>
          </w:tcPr>
          <w:p w14:paraId="3D22342F" w14:textId="77777777" w:rsidR="000C2B29" w:rsidRPr="00927455" w:rsidRDefault="000C2B29" w:rsidP="000C2B29"/>
        </w:tc>
        <w:tc>
          <w:tcPr>
            <w:tcW w:w="4524" w:type="dxa"/>
          </w:tcPr>
          <w:p w14:paraId="6438D1D4" w14:textId="77777777" w:rsidR="00E81F3C" w:rsidRPr="00927455" w:rsidRDefault="00E81F3C" w:rsidP="00E81F3C">
            <w:pPr>
              <w:rPr>
                <w:lang w:val="fr-BE"/>
              </w:rPr>
            </w:pPr>
            <w:r w:rsidRPr="00927455">
              <w:rPr>
                <w:lang w:val="fr-BE"/>
              </w:rPr>
              <w:t xml:space="preserve">Les parois intérieures des locaux inclus présentent la même résistance au feu que les parois du compartiment parking et : </w:t>
            </w:r>
          </w:p>
          <w:p w14:paraId="72D69B49" w14:textId="77777777" w:rsidR="00E81F3C" w:rsidRPr="00927455" w:rsidRDefault="00E81F3C" w:rsidP="00E81F3C">
            <w:pPr>
              <w:rPr>
                <w:lang w:val="fr-BE"/>
              </w:rPr>
            </w:pPr>
            <w:r w:rsidRPr="00927455">
              <w:rPr>
                <w:lang w:val="fr-BE"/>
              </w:rPr>
              <w:t>-</w:t>
            </w:r>
            <w:r w:rsidRPr="00927455">
              <w:rPr>
                <w:lang w:val="fr-BE"/>
              </w:rPr>
              <w:tab/>
              <w:t>soit leurs accès se fait par un sas avec des parois présentant la même résistance au feu que les parois du compartiment parking et des portes EI</w:t>
            </w:r>
            <w:r w:rsidRPr="00927455">
              <w:rPr>
                <w:vertAlign w:val="subscript"/>
                <w:lang w:val="fr-BE"/>
              </w:rPr>
              <w:t>1</w:t>
            </w:r>
            <w:r w:rsidRPr="00927455">
              <w:rPr>
                <w:lang w:val="fr-BE"/>
              </w:rPr>
              <w:t xml:space="preserve"> 30 à fermeture automatique ou automatique en cas d’incendie ;</w:t>
            </w:r>
          </w:p>
          <w:p w14:paraId="2E104797" w14:textId="77777777" w:rsidR="00E81F3C" w:rsidRPr="00927455" w:rsidRDefault="00E81F3C" w:rsidP="00E81F3C">
            <w:pPr>
              <w:rPr>
                <w:lang w:val="fr-BE"/>
              </w:rPr>
            </w:pPr>
            <w:r w:rsidRPr="00927455">
              <w:rPr>
                <w:lang w:val="fr-BE"/>
              </w:rPr>
              <w:t>-</w:t>
            </w:r>
            <w:r w:rsidRPr="00927455">
              <w:rPr>
                <w:lang w:val="fr-BE"/>
              </w:rPr>
              <w:tab/>
              <w:t>soit l’accès à chaque local se fait par une porte EI</w:t>
            </w:r>
            <w:r w:rsidRPr="00927455">
              <w:rPr>
                <w:vertAlign w:val="subscript"/>
                <w:lang w:val="fr-BE"/>
              </w:rPr>
              <w:t>1</w:t>
            </w:r>
            <w:r w:rsidRPr="00927455">
              <w:rPr>
                <w:lang w:val="fr-BE"/>
              </w:rPr>
              <w:t xml:space="preserve"> 60 à fermeture automatique ou automatique en cas d’incendie.</w:t>
            </w:r>
          </w:p>
          <w:p w14:paraId="4197404D" w14:textId="77777777" w:rsidR="00E81F3C" w:rsidRPr="00927455" w:rsidRDefault="00E81F3C" w:rsidP="00E81F3C">
            <w:pPr>
              <w:rPr>
                <w:lang w:val="fr-BE"/>
              </w:rPr>
            </w:pPr>
          </w:p>
          <w:p w14:paraId="628A98A5" w14:textId="77777777" w:rsidR="00E05B3A" w:rsidRPr="00927455" w:rsidRDefault="00E81F3C" w:rsidP="00E81F3C">
            <w:pPr>
              <w:rPr>
                <w:lang w:val="fr-BE"/>
              </w:rPr>
            </w:pPr>
            <w:r w:rsidRPr="00927455">
              <w:rPr>
                <w:lang w:val="fr-BE"/>
              </w:rPr>
              <w:t>Cette exigence n’est pas d’application aux postes de péages, aux locaux de gardiennage, aux sanitaires et aux bureaux directement liés à l’exploitation du parking.</w:t>
            </w:r>
          </w:p>
          <w:p w14:paraId="7A0EE780" w14:textId="77777777" w:rsidR="00E81F3C" w:rsidRPr="00927455" w:rsidRDefault="00E81F3C" w:rsidP="00E81F3C">
            <w:pPr>
              <w:rPr>
                <w:lang w:val="fr-BE"/>
              </w:rPr>
            </w:pPr>
          </w:p>
        </w:tc>
      </w:tr>
      <w:tr w:rsidR="0071410A" w:rsidRPr="00927455" w14:paraId="2877F049" w14:textId="77777777" w:rsidTr="004F667F">
        <w:tc>
          <w:tcPr>
            <w:tcW w:w="4538" w:type="dxa"/>
          </w:tcPr>
          <w:p w14:paraId="61CF6187" w14:textId="77777777" w:rsidR="000C2B29" w:rsidRPr="00927455" w:rsidRDefault="000C2B29" w:rsidP="00693075"/>
        </w:tc>
        <w:tc>
          <w:tcPr>
            <w:tcW w:w="4524" w:type="dxa"/>
          </w:tcPr>
          <w:p w14:paraId="6BDD6BA8" w14:textId="77777777" w:rsidR="00E05B3A" w:rsidRPr="00927455" w:rsidRDefault="00E81F3C" w:rsidP="00693075">
            <w:r w:rsidRPr="00927455">
              <w:t xml:space="preserve">3.5.2 </w:t>
            </w:r>
            <w:proofErr w:type="spellStart"/>
            <w:r w:rsidRPr="00927455">
              <w:t>Locaux</w:t>
            </w:r>
            <w:proofErr w:type="spellEnd"/>
            <w:r w:rsidRPr="00927455">
              <w:t xml:space="preserve"> </w:t>
            </w:r>
            <w:proofErr w:type="spellStart"/>
            <w:r w:rsidRPr="00927455">
              <w:t>spécifiques</w:t>
            </w:r>
            <w:proofErr w:type="spellEnd"/>
          </w:p>
        </w:tc>
      </w:tr>
      <w:tr w:rsidR="0071410A" w:rsidRPr="00754BD6" w14:paraId="1A858B31" w14:textId="77777777" w:rsidTr="004F667F">
        <w:tc>
          <w:tcPr>
            <w:tcW w:w="4538" w:type="dxa"/>
          </w:tcPr>
          <w:p w14:paraId="5D4FEA81" w14:textId="77777777" w:rsidR="000C2B29" w:rsidRPr="00927455" w:rsidRDefault="000C2B29" w:rsidP="00693075"/>
        </w:tc>
        <w:tc>
          <w:tcPr>
            <w:tcW w:w="4524" w:type="dxa"/>
          </w:tcPr>
          <w:p w14:paraId="5DE450EC" w14:textId="77777777" w:rsidR="00E05B3A" w:rsidRPr="00927455" w:rsidRDefault="00E81F3C" w:rsidP="00693075">
            <w:pPr>
              <w:rPr>
                <w:lang w:val="fr-BE"/>
              </w:rPr>
            </w:pPr>
            <w:r w:rsidRPr="00927455">
              <w:rPr>
                <w:lang w:val="fr-BE"/>
              </w:rPr>
              <w:t>Les prescriptions spécifiques concernant les chaufferies, les locaux de transformation de l’électricité et les locaux d’entreposage des ordures  restent d’application (</w:t>
            </w:r>
            <w:proofErr w:type="spellStart"/>
            <w:r w:rsidRPr="00927455">
              <w:rPr>
                <w:lang w:val="fr-BE"/>
              </w:rPr>
              <w:t>cfr</w:t>
            </w:r>
            <w:proofErr w:type="spellEnd"/>
            <w:r w:rsidRPr="00927455">
              <w:rPr>
                <w:lang w:val="fr-BE"/>
              </w:rPr>
              <w:t>. respectivement points 5.1.2, 5.1.3 et 5.1.4 des annexes 2/1, 3/1 et 4/1).</w:t>
            </w:r>
          </w:p>
          <w:p w14:paraId="1B014374" w14:textId="77777777" w:rsidR="00E81F3C" w:rsidRPr="00927455" w:rsidRDefault="00E81F3C" w:rsidP="00693075">
            <w:pPr>
              <w:rPr>
                <w:lang w:val="fr-BE"/>
              </w:rPr>
            </w:pPr>
          </w:p>
        </w:tc>
      </w:tr>
      <w:tr w:rsidR="0071410A" w:rsidRPr="00927455" w14:paraId="390CCC3E" w14:textId="77777777" w:rsidTr="004F667F">
        <w:tc>
          <w:tcPr>
            <w:tcW w:w="4538" w:type="dxa"/>
          </w:tcPr>
          <w:p w14:paraId="09E23E53" w14:textId="77777777" w:rsidR="000D2FE1" w:rsidRPr="00927455" w:rsidRDefault="000D2FE1" w:rsidP="00693075">
            <w:pPr>
              <w:rPr>
                <w:b/>
              </w:rPr>
            </w:pPr>
          </w:p>
        </w:tc>
        <w:tc>
          <w:tcPr>
            <w:tcW w:w="4524" w:type="dxa"/>
          </w:tcPr>
          <w:p w14:paraId="477D9D6A" w14:textId="77777777" w:rsidR="00E05B3A" w:rsidRPr="00927455" w:rsidRDefault="00E81F3C" w:rsidP="00693075">
            <w:pPr>
              <w:rPr>
                <w:b/>
              </w:rPr>
            </w:pPr>
            <w:r w:rsidRPr="00927455">
              <w:rPr>
                <w:b/>
              </w:rPr>
              <w:t>3.6 Equipement</w:t>
            </w:r>
          </w:p>
        </w:tc>
      </w:tr>
      <w:tr w:rsidR="0071410A" w:rsidRPr="00927455" w14:paraId="4F5A0FDE" w14:textId="77777777" w:rsidTr="004F667F">
        <w:tc>
          <w:tcPr>
            <w:tcW w:w="4538" w:type="dxa"/>
          </w:tcPr>
          <w:p w14:paraId="2A4342B2" w14:textId="77777777" w:rsidR="000D2FE1" w:rsidRPr="00927455" w:rsidRDefault="000D2FE1" w:rsidP="00693075"/>
        </w:tc>
        <w:tc>
          <w:tcPr>
            <w:tcW w:w="4524" w:type="dxa"/>
          </w:tcPr>
          <w:p w14:paraId="716270FE" w14:textId="77777777" w:rsidR="00E05B3A" w:rsidRPr="00927455" w:rsidRDefault="00E81F3C" w:rsidP="00693075">
            <w:r w:rsidRPr="00927455">
              <w:t xml:space="preserve">3.6.1 </w:t>
            </w:r>
            <w:proofErr w:type="spellStart"/>
            <w:r w:rsidRPr="00927455">
              <w:t>Ascenseurs</w:t>
            </w:r>
            <w:proofErr w:type="spellEnd"/>
            <w:r w:rsidRPr="00927455">
              <w:t xml:space="preserve"> </w:t>
            </w:r>
            <w:proofErr w:type="spellStart"/>
            <w:r w:rsidRPr="00927455">
              <w:t>voiture</w:t>
            </w:r>
            <w:proofErr w:type="spellEnd"/>
          </w:p>
          <w:p w14:paraId="6895A14E" w14:textId="77777777" w:rsidR="00E81F3C" w:rsidRPr="00927455" w:rsidRDefault="00E81F3C" w:rsidP="00693075"/>
        </w:tc>
      </w:tr>
      <w:tr w:rsidR="0071410A" w:rsidRPr="00754BD6" w14:paraId="7389A68C" w14:textId="77777777" w:rsidTr="004F667F">
        <w:tc>
          <w:tcPr>
            <w:tcW w:w="4538" w:type="dxa"/>
          </w:tcPr>
          <w:p w14:paraId="0CE5F6D1" w14:textId="77777777" w:rsidR="00E81F3C" w:rsidRPr="00927455" w:rsidRDefault="00E81F3C" w:rsidP="00E81F3C"/>
        </w:tc>
        <w:tc>
          <w:tcPr>
            <w:tcW w:w="4524" w:type="dxa"/>
          </w:tcPr>
          <w:p w14:paraId="6D3A5D8E" w14:textId="77777777" w:rsidR="00E81F3C" w:rsidRPr="00927455" w:rsidRDefault="00E81F3C" w:rsidP="00E81F3C">
            <w:pPr>
              <w:rPr>
                <w:lang w:val="fr-BE"/>
              </w:rPr>
            </w:pPr>
            <w:r w:rsidRPr="00927455">
              <w:rPr>
                <w:lang w:val="fr-BE"/>
              </w:rPr>
              <w:t>Les prescriptions spécifiques concernant les ascenseurs  restent d’application (</w:t>
            </w:r>
            <w:proofErr w:type="spellStart"/>
            <w:r w:rsidRPr="00927455">
              <w:rPr>
                <w:lang w:val="fr-BE"/>
              </w:rPr>
              <w:t>cfr</w:t>
            </w:r>
            <w:proofErr w:type="spellEnd"/>
            <w:r w:rsidRPr="00927455">
              <w:rPr>
                <w:lang w:val="fr-BE"/>
              </w:rPr>
              <w:t xml:space="preserve">. points 6.1 des annexes 2/1, 3/1 et 4/1), en </w:t>
            </w:r>
            <w:r w:rsidRPr="00927455">
              <w:rPr>
                <w:lang w:val="fr-BE"/>
              </w:rPr>
              <w:lastRenderedPageBreak/>
              <w:t>appliquant les dispositions dérogatoires suivantes :</w:t>
            </w:r>
          </w:p>
          <w:p w14:paraId="7324022D" w14:textId="77777777" w:rsidR="00E81F3C" w:rsidRPr="00927455" w:rsidRDefault="00E81F3C" w:rsidP="00E81F3C">
            <w:pPr>
              <w:rPr>
                <w:lang w:val="fr-BE"/>
              </w:rPr>
            </w:pPr>
            <w:r w:rsidRPr="00927455">
              <w:rPr>
                <w:lang w:val="fr-BE"/>
              </w:rPr>
              <w:t>-</w:t>
            </w:r>
            <w:r w:rsidRPr="00927455">
              <w:rPr>
                <w:lang w:val="fr-BE"/>
              </w:rPr>
              <w:tab/>
              <w:t>le point 6.1.4.1 des annexes 2/1, 3/1 et 4/1 n’est pas d’application ;</w:t>
            </w:r>
          </w:p>
          <w:p w14:paraId="47746046" w14:textId="77777777" w:rsidR="00E81F3C" w:rsidRPr="00927455" w:rsidRDefault="00E81F3C" w:rsidP="00E81F3C">
            <w:pPr>
              <w:rPr>
                <w:lang w:val="fr-BE"/>
              </w:rPr>
            </w:pPr>
            <w:r w:rsidRPr="00927455">
              <w:rPr>
                <w:lang w:val="fr-BE"/>
              </w:rPr>
              <w:t>-</w:t>
            </w:r>
            <w:r w:rsidRPr="00927455">
              <w:rPr>
                <w:lang w:val="fr-BE"/>
              </w:rPr>
              <w:tab/>
              <w:t>en cas de détection d’incendie, les cabines des ascenseurs voitures sont ramenées au palier désigné de façon à ce que les passagers puissent en sortir, puis sont retirées du service normal, sauf en cas de défaillance du dispositif d’alimentation ;</w:t>
            </w:r>
          </w:p>
          <w:p w14:paraId="569E34DF" w14:textId="77777777" w:rsidR="000D2FE1" w:rsidRPr="00927455" w:rsidRDefault="00E81F3C" w:rsidP="00E81F3C">
            <w:pPr>
              <w:rPr>
                <w:lang w:val="fr-BE"/>
              </w:rPr>
            </w:pPr>
            <w:r w:rsidRPr="00927455">
              <w:rPr>
                <w:lang w:val="fr-BE"/>
              </w:rPr>
              <w:t>-</w:t>
            </w:r>
            <w:r w:rsidRPr="00927455">
              <w:rPr>
                <w:lang w:val="fr-BE"/>
              </w:rPr>
              <w:tab/>
              <w:t>en cas de défaillance du dispositif d’alimentation, les cabines des ascenseurs voitures sont ramenées au premier palier techniquement possible de façon à ce que les passagers puissent en sortir, puis sont retirées du service normal. A cet effet, chaque ascenseur voitures dispose d’une source autonome de courant d’une capacité et d’une puissance suffisante.</w:t>
            </w:r>
          </w:p>
          <w:p w14:paraId="0E5F27E1" w14:textId="77777777" w:rsidR="00E81F3C" w:rsidRPr="00927455" w:rsidRDefault="00E81F3C" w:rsidP="00E81F3C">
            <w:pPr>
              <w:rPr>
                <w:lang w:val="fr-BE"/>
              </w:rPr>
            </w:pPr>
          </w:p>
        </w:tc>
      </w:tr>
      <w:tr w:rsidR="0071410A" w:rsidRPr="00927455" w14:paraId="18F5DBD4" w14:textId="77777777" w:rsidTr="004F667F">
        <w:tc>
          <w:tcPr>
            <w:tcW w:w="4538" w:type="dxa"/>
          </w:tcPr>
          <w:p w14:paraId="2EC14539" w14:textId="77777777" w:rsidR="00E81F3C" w:rsidRPr="00927455" w:rsidRDefault="00E81F3C" w:rsidP="00693075"/>
        </w:tc>
        <w:tc>
          <w:tcPr>
            <w:tcW w:w="4524" w:type="dxa"/>
          </w:tcPr>
          <w:p w14:paraId="47896EE1" w14:textId="77777777" w:rsidR="000D2FE1" w:rsidRPr="00927455" w:rsidRDefault="00E81F3C" w:rsidP="00693075">
            <w:r w:rsidRPr="00927455">
              <w:t>3.6.2 Box de parking</w:t>
            </w:r>
          </w:p>
          <w:p w14:paraId="7E6F900A" w14:textId="77777777" w:rsidR="00E81F3C" w:rsidRPr="00927455" w:rsidRDefault="00E81F3C" w:rsidP="00693075"/>
        </w:tc>
      </w:tr>
      <w:tr w:rsidR="0071410A" w:rsidRPr="00754BD6" w14:paraId="7E68EB07" w14:textId="77777777" w:rsidTr="004F667F">
        <w:tc>
          <w:tcPr>
            <w:tcW w:w="4538" w:type="dxa"/>
          </w:tcPr>
          <w:p w14:paraId="5B4217D5" w14:textId="77777777" w:rsidR="00E81F3C" w:rsidRPr="00927455" w:rsidRDefault="00E81F3C" w:rsidP="00E81F3C"/>
        </w:tc>
        <w:tc>
          <w:tcPr>
            <w:tcW w:w="4524" w:type="dxa"/>
          </w:tcPr>
          <w:p w14:paraId="11991C06" w14:textId="77777777" w:rsidR="00857DA7" w:rsidRPr="00927455" w:rsidRDefault="00857DA7" w:rsidP="00857DA7">
            <w:pPr>
              <w:rPr>
                <w:lang w:val="fr-BE"/>
              </w:rPr>
            </w:pPr>
            <w:r w:rsidRPr="00927455">
              <w:rPr>
                <w:lang w:val="fr-BE"/>
              </w:rPr>
              <w:t>Les box de parking font partie des zones de stationnement et leur activité principale doit rester le stationnement des véhicules.</w:t>
            </w:r>
          </w:p>
          <w:p w14:paraId="39D4DD42" w14:textId="77777777" w:rsidR="00857DA7" w:rsidRPr="00927455" w:rsidRDefault="00857DA7" w:rsidP="00857DA7">
            <w:pPr>
              <w:rPr>
                <w:lang w:val="fr-BE"/>
              </w:rPr>
            </w:pPr>
          </w:p>
          <w:p w14:paraId="363906F7" w14:textId="77777777" w:rsidR="00857DA7" w:rsidRPr="00927455" w:rsidRDefault="00857DA7" w:rsidP="00857DA7">
            <w:pPr>
              <w:rPr>
                <w:lang w:val="fr-BE"/>
              </w:rPr>
            </w:pPr>
            <w:r w:rsidRPr="00927455">
              <w:rPr>
                <w:lang w:val="fr-BE"/>
              </w:rPr>
              <w:t>La superficie d’un box de parking est limitée à maximum deux emplacements de stationnement.</w:t>
            </w:r>
          </w:p>
          <w:p w14:paraId="44CD1157" w14:textId="77777777" w:rsidR="00857DA7" w:rsidRPr="00927455" w:rsidRDefault="00857DA7" w:rsidP="00857DA7">
            <w:pPr>
              <w:rPr>
                <w:lang w:val="fr-BE"/>
              </w:rPr>
            </w:pPr>
          </w:p>
          <w:p w14:paraId="0A1F07C2" w14:textId="77777777" w:rsidR="00857DA7" w:rsidRPr="00927455" w:rsidRDefault="00857DA7" w:rsidP="00857DA7">
            <w:pPr>
              <w:rPr>
                <w:lang w:val="fr-BE"/>
              </w:rPr>
            </w:pPr>
            <w:r w:rsidRPr="00927455">
              <w:rPr>
                <w:lang w:val="fr-BE"/>
              </w:rPr>
              <w:t>Les parois et les portes séparant les box des zones de stationnement de véhicules et des allées de circulation ne sont soumises à aucune exigence en matière de résistance au feu. Les exigences en matière de réaction au feu restent d’application.</w:t>
            </w:r>
          </w:p>
          <w:p w14:paraId="63794616" w14:textId="77777777" w:rsidR="00857DA7" w:rsidRPr="00927455" w:rsidRDefault="00857DA7" w:rsidP="00857DA7">
            <w:pPr>
              <w:rPr>
                <w:lang w:val="fr-BE"/>
              </w:rPr>
            </w:pPr>
          </w:p>
          <w:p w14:paraId="3E82A511" w14:textId="77777777" w:rsidR="00857DA7" w:rsidRPr="00927455" w:rsidRDefault="00857DA7" w:rsidP="00857DA7">
            <w:pPr>
              <w:rPr>
                <w:lang w:val="fr-BE"/>
              </w:rPr>
            </w:pPr>
            <w:r w:rsidRPr="00927455">
              <w:rPr>
                <w:lang w:val="fr-BE"/>
              </w:rPr>
              <w:t>Chaque box de parking doit être équipé de deux orifices de ventilation :</w:t>
            </w:r>
          </w:p>
          <w:p w14:paraId="3503464F" w14:textId="77777777" w:rsidR="00857DA7" w:rsidRPr="00927455" w:rsidRDefault="00857DA7" w:rsidP="00857DA7">
            <w:pPr>
              <w:rPr>
                <w:lang w:val="fr-BE"/>
              </w:rPr>
            </w:pPr>
            <w:r w:rsidRPr="00927455">
              <w:rPr>
                <w:lang w:val="fr-BE"/>
              </w:rPr>
              <w:t>-</w:t>
            </w:r>
            <w:r w:rsidRPr="00927455">
              <w:rPr>
                <w:lang w:val="fr-BE"/>
              </w:rPr>
              <w:tab/>
              <w:t>l’un en haut, d’une section d’au moins 500 cm² et d’une hauteur d’au moins 15 cm ;</w:t>
            </w:r>
          </w:p>
          <w:p w14:paraId="59AD02F7" w14:textId="77777777" w:rsidR="00857DA7" w:rsidRPr="00927455" w:rsidRDefault="00857DA7" w:rsidP="00857DA7">
            <w:pPr>
              <w:rPr>
                <w:lang w:val="fr-BE"/>
              </w:rPr>
            </w:pPr>
            <w:r w:rsidRPr="00927455">
              <w:rPr>
                <w:lang w:val="fr-BE"/>
              </w:rPr>
              <w:t>-</w:t>
            </w:r>
            <w:r w:rsidRPr="00927455">
              <w:rPr>
                <w:lang w:val="fr-BE"/>
              </w:rPr>
              <w:tab/>
              <w:t>l’autre en bas, d’une section d’au moins 200 cm².</w:t>
            </w:r>
          </w:p>
          <w:p w14:paraId="5D579565" w14:textId="77777777" w:rsidR="00857DA7" w:rsidRPr="00927455" w:rsidRDefault="00857DA7" w:rsidP="00857DA7">
            <w:pPr>
              <w:rPr>
                <w:lang w:val="fr-BE"/>
              </w:rPr>
            </w:pPr>
            <w:r w:rsidRPr="00927455">
              <w:rPr>
                <w:lang w:val="fr-BE"/>
              </w:rPr>
              <w:t>Ces orifices de ventilation mettent chaque box de parking en communication directe avec une allée de circulation du parking.</w:t>
            </w:r>
          </w:p>
          <w:p w14:paraId="040B3177" w14:textId="77777777" w:rsidR="00857DA7" w:rsidRPr="00927455" w:rsidRDefault="00857DA7" w:rsidP="00857DA7">
            <w:pPr>
              <w:rPr>
                <w:lang w:val="fr-BE"/>
              </w:rPr>
            </w:pPr>
            <w:r w:rsidRPr="00927455">
              <w:rPr>
                <w:lang w:val="fr-BE"/>
              </w:rPr>
              <w:t>Ces orifices de ventilation peuvent être munis d’un grillage contre l’intrusion.</w:t>
            </w:r>
          </w:p>
          <w:p w14:paraId="3C7559AE" w14:textId="77777777" w:rsidR="00857DA7" w:rsidRPr="00927455" w:rsidRDefault="00857DA7" w:rsidP="00857DA7">
            <w:pPr>
              <w:rPr>
                <w:lang w:val="fr-BE"/>
              </w:rPr>
            </w:pPr>
          </w:p>
          <w:p w14:paraId="7CFE2B91" w14:textId="77777777" w:rsidR="000D2FE1" w:rsidRPr="00927455" w:rsidRDefault="00857DA7" w:rsidP="00857DA7">
            <w:pPr>
              <w:rPr>
                <w:lang w:val="fr-BE"/>
              </w:rPr>
            </w:pPr>
            <w:r w:rsidRPr="00927455">
              <w:rPr>
                <w:lang w:val="fr-BE"/>
              </w:rPr>
              <w:t>Les parois séparant les box entre eux ou des zones de stationnement de véhicules ne peuvent comporter aucune ouverture ou orifice de ventilation.</w:t>
            </w:r>
          </w:p>
          <w:p w14:paraId="3DDA6531" w14:textId="77777777" w:rsidR="00857DA7" w:rsidRPr="00927455" w:rsidRDefault="00857DA7" w:rsidP="00857DA7">
            <w:pPr>
              <w:rPr>
                <w:lang w:val="fr-BE"/>
              </w:rPr>
            </w:pPr>
          </w:p>
        </w:tc>
      </w:tr>
      <w:tr w:rsidR="0071410A" w:rsidRPr="00927455" w14:paraId="4DB41CC2" w14:textId="77777777" w:rsidTr="004F667F">
        <w:tc>
          <w:tcPr>
            <w:tcW w:w="4538" w:type="dxa"/>
          </w:tcPr>
          <w:p w14:paraId="10ABE78C" w14:textId="77777777" w:rsidR="00E81F3C" w:rsidRPr="00927455" w:rsidRDefault="00E81F3C" w:rsidP="00693075"/>
        </w:tc>
        <w:tc>
          <w:tcPr>
            <w:tcW w:w="4524" w:type="dxa"/>
          </w:tcPr>
          <w:p w14:paraId="2DDE9F42" w14:textId="77777777" w:rsidR="000D2FE1" w:rsidRPr="00927455" w:rsidRDefault="00857DA7" w:rsidP="00857DA7">
            <w:pPr>
              <w:tabs>
                <w:tab w:val="left" w:pos="912"/>
              </w:tabs>
            </w:pPr>
            <w:r w:rsidRPr="00927455">
              <w:t xml:space="preserve">3.6.3 </w:t>
            </w:r>
            <w:proofErr w:type="spellStart"/>
            <w:r w:rsidRPr="00927455">
              <w:t>Conduites</w:t>
            </w:r>
            <w:proofErr w:type="spellEnd"/>
            <w:r w:rsidRPr="00927455">
              <w:t xml:space="preserve"> de </w:t>
            </w:r>
            <w:proofErr w:type="spellStart"/>
            <w:r w:rsidRPr="00927455">
              <w:t>gaz</w:t>
            </w:r>
            <w:proofErr w:type="spellEnd"/>
          </w:p>
          <w:p w14:paraId="50905FB2" w14:textId="77777777" w:rsidR="00857DA7" w:rsidRPr="00927455" w:rsidRDefault="00857DA7" w:rsidP="00857DA7">
            <w:pPr>
              <w:tabs>
                <w:tab w:val="left" w:pos="912"/>
              </w:tabs>
            </w:pPr>
          </w:p>
        </w:tc>
      </w:tr>
      <w:tr w:rsidR="0071410A" w:rsidRPr="00754BD6" w14:paraId="6814DD96" w14:textId="77777777" w:rsidTr="004F667F">
        <w:tc>
          <w:tcPr>
            <w:tcW w:w="4538" w:type="dxa"/>
          </w:tcPr>
          <w:p w14:paraId="16654899" w14:textId="77777777" w:rsidR="00E81F3C" w:rsidRPr="00927455" w:rsidRDefault="00E81F3C" w:rsidP="00E81F3C"/>
        </w:tc>
        <w:tc>
          <w:tcPr>
            <w:tcW w:w="4524" w:type="dxa"/>
          </w:tcPr>
          <w:p w14:paraId="469ED6D8" w14:textId="77777777" w:rsidR="00857DA7" w:rsidRPr="00927455" w:rsidRDefault="00857DA7" w:rsidP="00857DA7">
            <w:pPr>
              <w:rPr>
                <w:lang w:val="fr-BE"/>
              </w:rPr>
            </w:pPr>
            <w:r w:rsidRPr="00927455">
              <w:rPr>
                <w:lang w:val="fr-BE"/>
              </w:rPr>
              <w:t>La présence de conduite de gaz au sein du parking est autorisée  à condition :</w:t>
            </w:r>
          </w:p>
          <w:p w14:paraId="56A4FE53" w14:textId="77777777" w:rsidR="00857DA7" w:rsidRPr="00927455" w:rsidRDefault="00857DA7" w:rsidP="00857DA7">
            <w:pPr>
              <w:rPr>
                <w:lang w:val="fr-BE"/>
              </w:rPr>
            </w:pPr>
            <w:r w:rsidRPr="00927455">
              <w:rPr>
                <w:lang w:val="fr-BE"/>
              </w:rPr>
              <w:t>-</w:t>
            </w:r>
            <w:r w:rsidRPr="00927455">
              <w:rPr>
                <w:lang w:val="fr-BE"/>
              </w:rPr>
              <w:tab/>
              <w:t>que ces conduites de gaz soient en acier et assemblées par soudage ;</w:t>
            </w:r>
          </w:p>
          <w:p w14:paraId="12BD9889" w14:textId="77777777" w:rsidR="00857DA7" w:rsidRPr="00927455" w:rsidRDefault="00857DA7" w:rsidP="00857DA7">
            <w:pPr>
              <w:rPr>
                <w:lang w:val="fr-BE"/>
              </w:rPr>
            </w:pPr>
            <w:r w:rsidRPr="00927455">
              <w:rPr>
                <w:lang w:val="fr-BE"/>
              </w:rPr>
              <w:t>-</w:t>
            </w:r>
            <w:r w:rsidRPr="00927455">
              <w:rPr>
                <w:lang w:val="fr-BE"/>
              </w:rPr>
              <w:tab/>
              <w:t>que les accessoires et appareillages de ces conduites de gaz soient de type RHT, comme stipulé dans les normes NBN D 51-003 et NBN D 51-004 ;</w:t>
            </w:r>
          </w:p>
          <w:p w14:paraId="0E918635" w14:textId="77777777" w:rsidR="00857DA7" w:rsidRPr="00927455" w:rsidRDefault="00857DA7" w:rsidP="00857DA7">
            <w:pPr>
              <w:rPr>
                <w:lang w:val="fr-BE"/>
              </w:rPr>
            </w:pPr>
            <w:r w:rsidRPr="00927455">
              <w:rPr>
                <w:lang w:val="fr-BE"/>
              </w:rPr>
              <w:t>-</w:t>
            </w:r>
            <w:r w:rsidRPr="00927455">
              <w:rPr>
                <w:lang w:val="fr-BE"/>
              </w:rPr>
              <w:tab/>
              <w:t>que ces conduites de gaz soient protégées des chocs éventuels de la part des véhicules ;</w:t>
            </w:r>
          </w:p>
          <w:p w14:paraId="7FD648D6" w14:textId="77777777" w:rsidR="00857DA7" w:rsidRPr="00927455" w:rsidRDefault="00857DA7" w:rsidP="00857DA7">
            <w:pPr>
              <w:rPr>
                <w:lang w:val="fr-BE"/>
              </w:rPr>
            </w:pPr>
            <w:r w:rsidRPr="00927455">
              <w:rPr>
                <w:lang w:val="fr-BE"/>
              </w:rPr>
              <w:t>-</w:t>
            </w:r>
            <w:r w:rsidRPr="00927455">
              <w:rPr>
                <w:lang w:val="fr-BE"/>
              </w:rPr>
              <w:tab/>
              <w:t>que ces conduites de gaz soient placées au-dessus des allées de circulation.</w:t>
            </w:r>
          </w:p>
          <w:p w14:paraId="5AB532AD" w14:textId="77777777" w:rsidR="00857DA7" w:rsidRPr="00927455" w:rsidRDefault="00857DA7" w:rsidP="00857DA7">
            <w:pPr>
              <w:rPr>
                <w:lang w:val="fr-BE"/>
              </w:rPr>
            </w:pPr>
            <w:r w:rsidRPr="00927455">
              <w:rPr>
                <w:lang w:val="fr-BE"/>
              </w:rPr>
              <w:t>Cependant, lorsque la pénétration dans le parking ou la remontée de la conduite se trouve au-dessus d’un emplacement de stationnement, une conduite de raccordement vers les conduites placées au-dessus des allées de circulation est autorisée ;</w:t>
            </w:r>
          </w:p>
          <w:p w14:paraId="7465F747" w14:textId="77777777" w:rsidR="000D2FE1" w:rsidRPr="00927455" w:rsidRDefault="00857DA7" w:rsidP="00857DA7">
            <w:pPr>
              <w:rPr>
                <w:lang w:val="fr-BE"/>
              </w:rPr>
            </w:pPr>
            <w:r w:rsidRPr="00927455">
              <w:rPr>
                <w:lang w:val="fr-BE"/>
              </w:rPr>
              <w:t>-</w:t>
            </w:r>
            <w:r w:rsidRPr="00927455">
              <w:rPr>
                <w:lang w:val="fr-BE"/>
              </w:rPr>
              <w:tab/>
              <w:t>et qu’un vanne de coupure de l’alimentation en gaz soit prévue à l’extérieur du compartiment parking et utilisable par le service d’incendie.</w:t>
            </w:r>
          </w:p>
          <w:p w14:paraId="06CC563C" w14:textId="77777777" w:rsidR="00857DA7" w:rsidRPr="00927455" w:rsidRDefault="00857DA7" w:rsidP="00857DA7">
            <w:pPr>
              <w:rPr>
                <w:lang w:val="fr-BE"/>
              </w:rPr>
            </w:pPr>
          </w:p>
        </w:tc>
      </w:tr>
      <w:tr w:rsidR="0071410A" w:rsidRPr="00927455" w14:paraId="41C332E4" w14:textId="77777777" w:rsidTr="004F667F">
        <w:tc>
          <w:tcPr>
            <w:tcW w:w="4538" w:type="dxa"/>
          </w:tcPr>
          <w:p w14:paraId="3D3B7AA4" w14:textId="77777777" w:rsidR="00E81F3C" w:rsidRPr="00927455" w:rsidRDefault="00E81F3C" w:rsidP="00693075">
            <w:pPr>
              <w:rPr>
                <w:b/>
              </w:rPr>
            </w:pPr>
          </w:p>
        </w:tc>
        <w:tc>
          <w:tcPr>
            <w:tcW w:w="4524" w:type="dxa"/>
          </w:tcPr>
          <w:p w14:paraId="2DDCA81E" w14:textId="77777777" w:rsidR="000D2FE1" w:rsidRPr="00927455" w:rsidRDefault="00857DA7" w:rsidP="00693075">
            <w:pPr>
              <w:rPr>
                <w:b/>
              </w:rPr>
            </w:pPr>
            <w:r w:rsidRPr="00927455">
              <w:rPr>
                <w:b/>
              </w:rPr>
              <w:t xml:space="preserve">3.7 </w:t>
            </w:r>
            <w:proofErr w:type="spellStart"/>
            <w:r w:rsidRPr="00927455">
              <w:rPr>
                <w:b/>
              </w:rPr>
              <w:t>Evacuation</w:t>
            </w:r>
            <w:proofErr w:type="spellEnd"/>
          </w:p>
          <w:p w14:paraId="052A45C4" w14:textId="77777777" w:rsidR="00857DA7" w:rsidRPr="00927455" w:rsidRDefault="00857DA7" w:rsidP="00693075">
            <w:pPr>
              <w:rPr>
                <w:b/>
              </w:rPr>
            </w:pPr>
          </w:p>
        </w:tc>
      </w:tr>
      <w:tr w:rsidR="0071410A" w:rsidRPr="00927455" w14:paraId="6492E0BC" w14:textId="77777777" w:rsidTr="004F667F">
        <w:tc>
          <w:tcPr>
            <w:tcW w:w="4538" w:type="dxa"/>
          </w:tcPr>
          <w:p w14:paraId="000AFE4D" w14:textId="77777777" w:rsidR="00E20A1E" w:rsidRPr="00927455" w:rsidRDefault="00E20A1E" w:rsidP="00693075"/>
        </w:tc>
        <w:tc>
          <w:tcPr>
            <w:tcW w:w="4524" w:type="dxa"/>
          </w:tcPr>
          <w:p w14:paraId="40CA7729" w14:textId="77777777" w:rsidR="00020EC8" w:rsidRPr="00927455" w:rsidRDefault="00020EC8" w:rsidP="00693075">
            <w:r w:rsidRPr="00927455">
              <w:t xml:space="preserve">3.7.1 </w:t>
            </w:r>
            <w:proofErr w:type="spellStart"/>
            <w:r w:rsidRPr="00927455">
              <w:t>Nombre</w:t>
            </w:r>
            <w:proofErr w:type="spellEnd"/>
            <w:r w:rsidRPr="00927455">
              <w:t xml:space="preserve"> de sorties</w:t>
            </w:r>
          </w:p>
          <w:p w14:paraId="324A39A9" w14:textId="77777777" w:rsidR="00020EC8" w:rsidRPr="00927455" w:rsidRDefault="00020EC8" w:rsidP="00693075"/>
        </w:tc>
      </w:tr>
      <w:tr w:rsidR="0071410A" w:rsidRPr="00754BD6" w14:paraId="36FE6505" w14:textId="77777777" w:rsidTr="004F667F">
        <w:tc>
          <w:tcPr>
            <w:tcW w:w="4538" w:type="dxa"/>
          </w:tcPr>
          <w:p w14:paraId="4E21C5A0" w14:textId="77777777" w:rsidR="00E20A1E" w:rsidRPr="00927455" w:rsidRDefault="00E20A1E" w:rsidP="00E20A1E"/>
        </w:tc>
        <w:tc>
          <w:tcPr>
            <w:tcW w:w="4524" w:type="dxa"/>
          </w:tcPr>
          <w:p w14:paraId="00A763C5" w14:textId="77777777" w:rsidR="00857DA7" w:rsidRPr="00927455" w:rsidRDefault="00857DA7" w:rsidP="00857DA7">
            <w:pPr>
              <w:rPr>
                <w:lang w:val="fr-BE"/>
              </w:rPr>
            </w:pPr>
            <w:r w:rsidRPr="00927455">
              <w:rPr>
                <w:lang w:val="fr-BE"/>
              </w:rPr>
              <w:t>Chaque niveau de parking dispose au moins de deux sorties.</w:t>
            </w:r>
          </w:p>
          <w:p w14:paraId="30AB2B79" w14:textId="77777777" w:rsidR="00857DA7" w:rsidRPr="00927455" w:rsidRDefault="00857DA7" w:rsidP="00857DA7">
            <w:pPr>
              <w:rPr>
                <w:lang w:val="fr-BE"/>
              </w:rPr>
            </w:pPr>
          </w:p>
          <w:p w14:paraId="6757604D" w14:textId="6A185F3D" w:rsidR="00C82A5F" w:rsidRPr="00927455" w:rsidRDefault="00C82A5F" w:rsidP="00C82A5F">
            <w:pPr>
              <w:rPr>
                <w:lang w:val="fr-BE"/>
              </w:rPr>
            </w:pPr>
            <w:r w:rsidRPr="00927455">
              <w:rPr>
                <w:lang w:val="fr-BE"/>
              </w:rPr>
              <w:t>Les sorties d’un parking sont conformes au premier alinéa du point 4.4.1.2 des annexes 2/1, 3/1 et 4/1, avec les adaptations suivantes :</w:t>
            </w:r>
          </w:p>
          <w:p w14:paraId="5E1F0A63" w14:textId="68181D5A" w:rsidR="00C82A5F" w:rsidRPr="00927455" w:rsidRDefault="00C82A5F" w:rsidP="00C82A5F">
            <w:pPr>
              <w:rPr>
                <w:lang w:val="fr-BE"/>
              </w:rPr>
            </w:pPr>
            <w:r w:rsidRPr="00927455">
              <w:rPr>
                <w:lang w:val="fr-BE"/>
              </w:rPr>
              <w:t>-</w:t>
            </w:r>
            <w:r w:rsidRPr="00927455">
              <w:rPr>
                <w:lang w:val="fr-BE"/>
              </w:rPr>
              <w:tab/>
            </w:r>
            <w:r w:rsidR="00E03EEC" w:rsidRPr="00927455">
              <w:rPr>
                <w:lang w:val="fr-BE"/>
              </w:rPr>
              <w:t>la communication avec</w:t>
            </w:r>
            <w:r w:rsidRPr="00927455">
              <w:rPr>
                <w:lang w:val="fr-BE"/>
              </w:rPr>
              <w:t xml:space="preserve"> </w:t>
            </w:r>
            <w:r w:rsidR="00E03EEC" w:rsidRPr="00927455">
              <w:rPr>
                <w:lang w:val="fr-BE"/>
              </w:rPr>
              <w:t xml:space="preserve">une cage d’escaliers intérieure peut </w:t>
            </w:r>
            <w:r w:rsidR="001C389A" w:rsidRPr="00927455">
              <w:rPr>
                <w:lang w:val="fr-BE"/>
              </w:rPr>
              <w:t>se faire</w:t>
            </w:r>
            <w:r w:rsidR="00E03EEC" w:rsidRPr="00927455">
              <w:rPr>
                <w:lang w:val="fr-BE"/>
              </w:rPr>
              <w:t xml:space="preserve"> par des portes</w:t>
            </w:r>
            <w:r w:rsidRPr="00927455">
              <w:rPr>
                <w:lang w:val="fr-BE"/>
              </w:rPr>
              <w:t xml:space="preserve"> à fermeture automatique en cas d’incendie ;</w:t>
            </w:r>
          </w:p>
          <w:p w14:paraId="268A31B9" w14:textId="4E6F1C6F" w:rsidR="00C82A5F" w:rsidRPr="00927455" w:rsidRDefault="00E03EEC" w:rsidP="004C1003">
            <w:pPr>
              <w:rPr>
                <w:lang w:val="fr-BE"/>
              </w:rPr>
            </w:pPr>
            <w:r w:rsidRPr="00927455">
              <w:rPr>
                <w:lang w:val="fr-BE"/>
              </w:rPr>
              <w:t>-</w:t>
            </w:r>
            <w:r w:rsidRPr="00927455">
              <w:rPr>
                <w:lang w:val="fr-BE"/>
              </w:rPr>
              <w:tab/>
              <w:t>la communication avec un chemin d’évacuation hors du</w:t>
            </w:r>
            <w:r w:rsidR="004C1003" w:rsidRPr="00927455">
              <w:rPr>
                <w:lang w:val="fr-BE"/>
              </w:rPr>
              <w:t xml:space="preserve"> compartiment</w:t>
            </w:r>
            <w:r w:rsidRPr="00927455">
              <w:rPr>
                <w:lang w:val="fr-BE"/>
              </w:rPr>
              <w:t xml:space="preserve"> parking doit </w:t>
            </w:r>
            <w:r w:rsidR="001C389A" w:rsidRPr="00927455">
              <w:rPr>
                <w:lang w:val="fr-BE"/>
              </w:rPr>
              <w:t>se faire</w:t>
            </w:r>
            <w:r w:rsidRPr="00927455">
              <w:rPr>
                <w:lang w:val="fr-BE"/>
              </w:rPr>
              <w:t xml:space="preserve"> par un</w:t>
            </w:r>
            <w:r w:rsidR="00082D16" w:rsidRPr="00927455">
              <w:rPr>
                <w:lang w:val="fr-BE"/>
              </w:rPr>
              <w:t>e</w:t>
            </w:r>
            <w:r w:rsidRPr="00927455">
              <w:rPr>
                <w:lang w:val="fr-BE"/>
              </w:rPr>
              <w:t xml:space="preserve"> communication conforme au point 5.2.2 des annexes 2/1, 3/1 et 4/1</w:t>
            </w:r>
            <w:r w:rsidR="00C82A5F" w:rsidRPr="00927455">
              <w:rPr>
                <w:lang w:val="fr-BE"/>
              </w:rPr>
              <w:t>.</w:t>
            </w:r>
          </w:p>
          <w:p w14:paraId="77D326ED" w14:textId="7A895BF6" w:rsidR="00C82A5F" w:rsidRPr="00927455" w:rsidRDefault="00C82A5F" w:rsidP="00857DA7">
            <w:pPr>
              <w:rPr>
                <w:lang w:val="fr-BE"/>
              </w:rPr>
            </w:pPr>
          </w:p>
          <w:p w14:paraId="0299F4F7" w14:textId="77777777" w:rsidR="00C82A5F" w:rsidRPr="00927455" w:rsidRDefault="00C82A5F" w:rsidP="00857DA7">
            <w:pPr>
              <w:rPr>
                <w:lang w:val="fr-BE"/>
              </w:rPr>
            </w:pPr>
          </w:p>
          <w:p w14:paraId="19ED37FD" w14:textId="77777777" w:rsidR="00857DA7" w:rsidRPr="00927455" w:rsidRDefault="00857DA7" w:rsidP="00857DA7">
            <w:pPr>
              <w:rPr>
                <w:lang w:val="fr-BE"/>
              </w:rPr>
            </w:pPr>
            <w:r w:rsidRPr="00927455">
              <w:rPr>
                <w:lang w:val="fr-BE"/>
              </w:rPr>
              <w:t xml:space="preserve">Les sorties sont situées dans des zones opposées du niveau de parking et doivent rester accessibles en cas d’activation des éventuels écrans de cantonnement de l’installation EFC et des éventuels </w:t>
            </w:r>
            <w:r w:rsidRPr="00927455">
              <w:rPr>
                <w:lang w:val="fr-BE"/>
              </w:rPr>
              <w:lastRenderedPageBreak/>
              <w:t>dispositifs d’obturation du sous-compartimentage.</w:t>
            </w:r>
          </w:p>
          <w:p w14:paraId="3C89953D" w14:textId="77777777" w:rsidR="00857DA7" w:rsidRPr="00927455" w:rsidRDefault="00857DA7" w:rsidP="00857DA7">
            <w:pPr>
              <w:rPr>
                <w:lang w:val="fr-BE"/>
              </w:rPr>
            </w:pPr>
          </w:p>
          <w:p w14:paraId="052F2513" w14:textId="77777777" w:rsidR="000D2FE1" w:rsidRPr="00927455" w:rsidRDefault="00857DA7" w:rsidP="00857DA7">
            <w:pPr>
              <w:rPr>
                <w:lang w:val="fr-BE"/>
              </w:rPr>
            </w:pPr>
            <w:r w:rsidRPr="00927455">
              <w:rPr>
                <w:lang w:val="fr-BE"/>
              </w:rPr>
              <w:t>Les portes à franchir pour accéder aux sorties ne peuvent comporter aucun verrouillage empêchant leur ouverture dans le sens de l’évacuation.</w:t>
            </w:r>
          </w:p>
          <w:p w14:paraId="7CADEA31" w14:textId="77777777" w:rsidR="00857DA7" w:rsidRPr="00927455" w:rsidRDefault="00857DA7" w:rsidP="00857DA7">
            <w:pPr>
              <w:rPr>
                <w:lang w:val="fr-BE"/>
              </w:rPr>
            </w:pPr>
          </w:p>
        </w:tc>
      </w:tr>
      <w:tr w:rsidR="0071410A" w:rsidRPr="00927455" w14:paraId="1E961DEB" w14:textId="77777777" w:rsidTr="004F667F">
        <w:tc>
          <w:tcPr>
            <w:tcW w:w="4538" w:type="dxa"/>
          </w:tcPr>
          <w:p w14:paraId="4A2F8254" w14:textId="77777777" w:rsidR="00E20A1E" w:rsidRPr="00927455" w:rsidRDefault="00E20A1E" w:rsidP="00693075">
            <w:pPr>
              <w:rPr>
                <w:lang w:val="fr-BE"/>
              </w:rPr>
            </w:pPr>
          </w:p>
        </w:tc>
        <w:tc>
          <w:tcPr>
            <w:tcW w:w="4524" w:type="dxa"/>
          </w:tcPr>
          <w:p w14:paraId="1BA7A736" w14:textId="77777777" w:rsidR="00E81F3C" w:rsidRPr="00927455" w:rsidRDefault="00020EC8" w:rsidP="00693075">
            <w:pPr>
              <w:rPr>
                <w:lang w:val="fr-BE"/>
              </w:rPr>
            </w:pPr>
            <w:r w:rsidRPr="00927455">
              <w:rPr>
                <w:lang w:val="fr-BE"/>
              </w:rPr>
              <w:t>3.7.2 Distance à parcourir</w:t>
            </w:r>
          </w:p>
          <w:p w14:paraId="09C67C2A" w14:textId="77777777" w:rsidR="00020EC8" w:rsidRPr="00927455" w:rsidRDefault="00020EC8" w:rsidP="00693075">
            <w:pPr>
              <w:rPr>
                <w:lang w:val="fr-BE"/>
              </w:rPr>
            </w:pPr>
          </w:p>
        </w:tc>
      </w:tr>
      <w:tr w:rsidR="0071410A" w:rsidRPr="00754BD6" w14:paraId="679823DB" w14:textId="77777777" w:rsidTr="004F667F">
        <w:tc>
          <w:tcPr>
            <w:tcW w:w="4538" w:type="dxa"/>
          </w:tcPr>
          <w:p w14:paraId="0B3F26D5" w14:textId="77777777" w:rsidR="00E20A1E" w:rsidRPr="00927455" w:rsidRDefault="00E20A1E" w:rsidP="00E20A1E"/>
        </w:tc>
        <w:tc>
          <w:tcPr>
            <w:tcW w:w="4524" w:type="dxa"/>
          </w:tcPr>
          <w:p w14:paraId="10C15D7F" w14:textId="77777777" w:rsidR="00020EC8" w:rsidRPr="00927455" w:rsidRDefault="00020EC8" w:rsidP="00020EC8">
            <w:pPr>
              <w:rPr>
                <w:lang w:val="fr-BE"/>
              </w:rPr>
            </w:pPr>
            <w:r w:rsidRPr="00927455">
              <w:rPr>
                <w:lang w:val="fr-BE"/>
              </w:rPr>
              <w:t>Aucun point du parking ne peut se trouver à une distance supérieure à :</w:t>
            </w:r>
          </w:p>
          <w:p w14:paraId="652C99BE" w14:textId="77777777" w:rsidR="00020EC8" w:rsidRPr="00927455" w:rsidRDefault="00020EC8" w:rsidP="00020EC8">
            <w:pPr>
              <w:rPr>
                <w:lang w:val="fr-BE"/>
              </w:rPr>
            </w:pPr>
            <w:r w:rsidRPr="00927455">
              <w:rPr>
                <w:lang w:val="fr-BE"/>
              </w:rPr>
              <w:t>-</w:t>
            </w:r>
            <w:r w:rsidRPr="00927455">
              <w:rPr>
                <w:lang w:val="fr-BE"/>
              </w:rPr>
              <w:tab/>
              <w:t>45 m de l’accès à un chemin d’évacuation menant à une sortie, sauf pour les niveaux de parkings ouverts ;</w:t>
            </w:r>
          </w:p>
          <w:p w14:paraId="7B12E83C" w14:textId="77777777" w:rsidR="00020EC8" w:rsidRPr="00927455" w:rsidRDefault="00020EC8" w:rsidP="00020EC8">
            <w:pPr>
              <w:rPr>
                <w:lang w:val="fr-BE"/>
              </w:rPr>
            </w:pPr>
            <w:r w:rsidRPr="00927455">
              <w:rPr>
                <w:lang w:val="fr-BE"/>
              </w:rPr>
              <w:t>-</w:t>
            </w:r>
            <w:r w:rsidRPr="00927455">
              <w:rPr>
                <w:lang w:val="fr-BE"/>
              </w:rPr>
              <w:tab/>
              <w:t>60 m de l’accès à une sortie.</w:t>
            </w:r>
          </w:p>
          <w:p w14:paraId="1F643A50" w14:textId="77777777" w:rsidR="00020EC8" w:rsidRPr="00927455" w:rsidRDefault="00020EC8" w:rsidP="00020EC8">
            <w:pPr>
              <w:rPr>
                <w:lang w:val="fr-BE"/>
              </w:rPr>
            </w:pPr>
          </w:p>
          <w:p w14:paraId="631DD3EB" w14:textId="77777777" w:rsidR="00E81F3C" w:rsidRPr="00927455" w:rsidRDefault="00020EC8" w:rsidP="00020EC8">
            <w:pPr>
              <w:rPr>
                <w:lang w:val="fr-BE"/>
              </w:rPr>
            </w:pPr>
            <w:r w:rsidRPr="00927455">
              <w:rPr>
                <w:lang w:val="fr-BE"/>
              </w:rPr>
              <w:t>Ces distances sont mesurées en tenant compte de la fermeture des éventuels dispositifs d’obturation du sous-compartimentage.</w:t>
            </w:r>
          </w:p>
          <w:p w14:paraId="0A57DBCE" w14:textId="77777777" w:rsidR="00020EC8" w:rsidRPr="00927455" w:rsidRDefault="00020EC8" w:rsidP="00020EC8">
            <w:pPr>
              <w:rPr>
                <w:lang w:val="fr-BE"/>
              </w:rPr>
            </w:pPr>
          </w:p>
        </w:tc>
      </w:tr>
      <w:tr w:rsidR="0071410A" w:rsidRPr="00927455" w14:paraId="0F9E6EE4" w14:textId="77777777" w:rsidTr="004F667F">
        <w:tc>
          <w:tcPr>
            <w:tcW w:w="4538" w:type="dxa"/>
          </w:tcPr>
          <w:p w14:paraId="0CE8D4F9" w14:textId="77777777" w:rsidR="00E20A1E" w:rsidRPr="00927455" w:rsidRDefault="00E20A1E" w:rsidP="00693075">
            <w:pPr>
              <w:rPr>
                <w:lang w:val="fr-BE"/>
              </w:rPr>
            </w:pPr>
          </w:p>
        </w:tc>
        <w:tc>
          <w:tcPr>
            <w:tcW w:w="4524" w:type="dxa"/>
          </w:tcPr>
          <w:p w14:paraId="5B3F090E" w14:textId="77777777" w:rsidR="00E81F3C" w:rsidRPr="00927455" w:rsidRDefault="00020EC8" w:rsidP="00693075">
            <w:pPr>
              <w:rPr>
                <w:lang w:val="fr-BE"/>
              </w:rPr>
            </w:pPr>
            <w:r w:rsidRPr="00927455">
              <w:rPr>
                <w:lang w:val="fr-BE"/>
              </w:rPr>
              <w:t>3.7.3 Une seule sortie</w:t>
            </w:r>
          </w:p>
          <w:p w14:paraId="1C4B4B8F" w14:textId="77777777" w:rsidR="00020EC8" w:rsidRPr="00927455" w:rsidRDefault="00020EC8" w:rsidP="00693075">
            <w:pPr>
              <w:rPr>
                <w:lang w:val="fr-BE"/>
              </w:rPr>
            </w:pPr>
          </w:p>
        </w:tc>
      </w:tr>
      <w:tr w:rsidR="0071410A" w:rsidRPr="00754BD6" w14:paraId="6EF67A42" w14:textId="77777777" w:rsidTr="004F667F">
        <w:tc>
          <w:tcPr>
            <w:tcW w:w="4538" w:type="dxa"/>
          </w:tcPr>
          <w:p w14:paraId="1FE8E0B4" w14:textId="77777777" w:rsidR="00717FC9" w:rsidRPr="00927455" w:rsidRDefault="00717FC9" w:rsidP="00717FC9"/>
        </w:tc>
        <w:tc>
          <w:tcPr>
            <w:tcW w:w="4524" w:type="dxa"/>
          </w:tcPr>
          <w:p w14:paraId="440117A8" w14:textId="77777777" w:rsidR="00020EC8" w:rsidRPr="00927455" w:rsidRDefault="00020EC8" w:rsidP="00020EC8">
            <w:pPr>
              <w:rPr>
                <w:lang w:val="fr-BE"/>
              </w:rPr>
            </w:pPr>
            <w:r w:rsidRPr="00927455">
              <w:rPr>
                <w:lang w:val="fr-BE"/>
              </w:rPr>
              <w:t>Par dérogation au point 3.7.1, une seule sortie par niveau de parking est suffisante, à condition :</w:t>
            </w:r>
          </w:p>
          <w:p w14:paraId="78F55FB2" w14:textId="77777777" w:rsidR="00020EC8" w:rsidRPr="00927455" w:rsidRDefault="00020EC8" w:rsidP="00020EC8">
            <w:pPr>
              <w:rPr>
                <w:lang w:val="fr-BE"/>
              </w:rPr>
            </w:pPr>
            <w:r w:rsidRPr="00927455">
              <w:rPr>
                <w:lang w:val="fr-BE"/>
              </w:rPr>
              <w:t>-</w:t>
            </w:r>
            <w:r w:rsidRPr="00927455">
              <w:rPr>
                <w:lang w:val="fr-BE"/>
              </w:rPr>
              <w:tab/>
              <w:t>que le parking s’étende en hauteur sur maximum deux niveaux ;</w:t>
            </w:r>
          </w:p>
          <w:p w14:paraId="78651D6E" w14:textId="77777777" w:rsidR="00020EC8" w:rsidRPr="00927455" w:rsidRDefault="00020EC8" w:rsidP="00020EC8">
            <w:pPr>
              <w:rPr>
                <w:lang w:val="fr-BE"/>
              </w:rPr>
            </w:pPr>
            <w:r w:rsidRPr="00927455">
              <w:rPr>
                <w:lang w:val="fr-BE"/>
              </w:rPr>
              <w:t>-</w:t>
            </w:r>
            <w:r w:rsidRPr="00927455">
              <w:rPr>
                <w:lang w:val="fr-BE"/>
              </w:rPr>
              <w:tab/>
              <w:t>qu’aucun de ces deux niveaux ne soit situé sous-sol à une profondeur supérieure à 7 m ou hors-sol une hauteur supérieure à 7 m ;</w:t>
            </w:r>
          </w:p>
          <w:p w14:paraId="5A270935" w14:textId="77777777" w:rsidR="00020EC8" w:rsidRPr="00927455" w:rsidRDefault="00020EC8" w:rsidP="00020EC8">
            <w:pPr>
              <w:rPr>
                <w:lang w:val="fr-BE"/>
              </w:rPr>
            </w:pPr>
            <w:r w:rsidRPr="00927455">
              <w:rPr>
                <w:lang w:val="fr-BE"/>
              </w:rPr>
              <w:t>-</w:t>
            </w:r>
            <w:r w:rsidRPr="00927455">
              <w:rPr>
                <w:lang w:val="fr-BE"/>
              </w:rPr>
              <w:tab/>
              <w:t>qu’aucun point du parking ne se trouve à une distance supérieure à 15 m de l’accès au chemin d’évacuation menant à la sortie ;</w:t>
            </w:r>
          </w:p>
          <w:p w14:paraId="26992706" w14:textId="77777777" w:rsidR="00E81F3C" w:rsidRPr="00927455" w:rsidRDefault="00020EC8" w:rsidP="00020EC8">
            <w:pPr>
              <w:rPr>
                <w:lang w:val="fr-BE"/>
              </w:rPr>
            </w:pPr>
            <w:r w:rsidRPr="00927455">
              <w:rPr>
                <w:lang w:val="fr-BE"/>
              </w:rPr>
              <w:t>-</w:t>
            </w:r>
            <w:r w:rsidRPr="00927455">
              <w:rPr>
                <w:lang w:val="fr-BE"/>
              </w:rPr>
              <w:tab/>
              <w:t>et qu’aucun point du parking ne se trouve à une distance supérieure à 30 m de l’accès à la sortie.</w:t>
            </w:r>
          </w:p>
          <w:p w14:paraId="5C7AD2D1" w14:textId="77777777" w:rsidR="00020EC8" w:rsidRPr="00927455" w:rsidRDefault="00020EC8" w:rsidP="00020EC8">
            <w:pPr>
              <w:rPr>
                <w:lang w:val="fr-BE"/>
              </w:rPr>
            </w:pPr>
          </w:p>
        </w:tc>
      </w:tr>
      <w:tr w:rsidR="0071410A" w:rsidRPr="00927455" w14:paraId="6585E655" w14:textId="77777777" w:rsidTr="004F667F">
        <w:tc>
          <w:tcPr>
            <w:tcW w:w="4538" w:type="dxa"/>
          </w:tcPr>
          <w:p w14:paraId="7405895A" w14:textId="77777777" w:rsidR="00717FC9" w:rsidRPr="00927455" w:rsidRDefault="00717FC9" w:rsidP="00693075">
            <w:pPr>
              <w:rPr>
                <w:lang w:val="fr-BE"/>
              </w:rPr>
            </w:pPr>
          </w:p>
        </w:tc>
        <w:tc>
          <w:tcPr>
            <w:tcW w:w="4524" w:type="dxa"/>
          </w:tcPr>
          <w:p w14:paraId="13733457" w14:textId="77777777" w:rsidR="00020EC8" w:rsidRPr="00927455" w:rsidRDefault="00020EC8" w:rsidP="00693075">
            <w:pPr>
              <w:rPr>
                <w:lang w:val="fr-BE"/>
              </w:rPr>
            </w:pPr>
            <w:r w:rsidRPr="00927455">
              <w:rPr>
                <w:lang w:val="fr-BE"/>
              </w:rPr>
              <w:t>3.7.4 Chemins d’évacuation</w:t>
            </w:r>
          </w:p>
          <w:p w14:paraId="45ABA92C" w14:textId="77777777" w:rsidR="00020EC8" w:rsidRPr="00927455" w:rsidRDefault="00020EC8" w:rsidP="00693075">
            <w:pPr>
              <w:rPr>
                <w:lang w:val="fr-BE"/>
              </w:rPr>
            </w:pPr>
          </w:p>
        </w:tc>
      </w:tr>
      <w:tr w:rsidR="0071410A" w:rsidRPr="00754BD6" w14:paraId="673219A0" w14:textId="77777777" w:rsidTr="004F667F">
        <w:tc>
          <w:tcPr>
            <w:tcW w:w="4538" w:type="dxa"/>
          </w:tcPr>
          <w:p w14:paraId="66D6F42B" w14:textId="77777777" w:rsidR="00717FC9" w:rsidRPr="00927455" w:rsidRDefault="00717FC9" w:rsidP="00717FC9"/>
        </w:tc>
        <w:tc>
          <w:tcPr>
            <w:tcW w:w="4524" w:type="dxa"/>
          </w:tcPr>
          <w:p w14:paraId="5F61F9A6" w14:textId="77777777" w:rsidR="00020EC8" w:rsidRPr="00927455" w:rsidRDefault="00F7169B" w:rsidP="00020EC8">
            <w:pPr>
              <w:rPr>
                <w:lang w:val="fr-BE"/>
              </w:rPr>
            </w:pPr>
            <w:r w:rsidRPr="00927455">
              <w:rPr>
                <w:lang w:val="fr-BE"/>
              </w:rPr>
              <w:t>Les chemins d’évacuation</w:t>
            </w:r>
            <w:r w:rsidR="00020EC8" w:rsidRPr="00927455">
              <w:rPr>
                <w:lang w:val="fr-BE"/>
              </w:rPr>
              <w:t xml:space="preserve"> dans un parking sont conformes au point 4.4 des annexes 2/1, 3/1 et 4/1, avec les adaptations suivantes :</w:t>
            </w:r>
          </w:p>
          <w:p w14:paraId="4CB341F3" w14:textId="77777777" w:rsidR="00020EC8" w:rsidRPr="00927455" w:rsidRDefault="00020EC8" w:rsidP="00020EC8">
            <w:pPr>
              <w:rPr>
                <w:lang w:val="fr-BE"/>
              </w:rPr>
            </w:pPr>
            <w:r w:rsidRPr="00927455">
              <w:rPr>
                <w:lang w:val="fr-BE"/>
              </w:rPr>
              <w:t>-</w:t>
            </w:r>
            <w:r w:rsidRPr="00927455">
              <w:rPr>
                <w:lang w:val="fr-BE"/>
              </w:rPr>
              <w:tab/>
              <w:t>les parois intérieures des chemins d'évacuation présentent EI 60 et les portes y donnant accès présentent EI1 30 et sont à fermeture automatique ou automatique en cas d’incendie ;</w:t>
            </w:r>
          </w:p>
          <w:p w14:paraId="13F5EFA8" w14:textId="77777777" w:rsidR="00020EC8" w:rsidRPr="00927455" w:rsidRDefault="00020EC8" w:rsidP="00020EC8">
            <w:pPr>
              <w:rPr>
                <w:lang w:val="fr-BE"/>
              </w:rPr>
            </w:pPr>
            <w:r w:rsidRPr="00927455">
              <w:rPr>
                <w:lang w:val="fr-BE"/>
              </w:rPr>
              <w:t>-</w:t>
            </w:r>
            <w:r w:rsidRPr="00927455">
              <w:rPr>
                <w:lang w:val="fr-BE"/>
              </w:rPr>
              <w:tab/>
              <w:t xml:space="preserve">la communication entre les escaliers ne doit pas obligatoirement être assurée par </w:t>
            </w:r>
            <w:r w:rsidRPr="00927455">
              <w:rPr>
                <w:lang w:val="fr-BE"/>
              </w:rPr>
              <w:lastRenderedPageBreak/>
              <w:t>des chemin</w:t>
            </w:r>
            <w:r w:rsidR="00F7169B" w:rsidRPr="00927455">
              <w:rPr>
                <w:lang w:val="fr-BE"/>
              </w:rPr>
              <w:t>s d'évacuation ou des coursives </w:t>
            </w:r>
            <w:r w:rsidRPr="00927455">
              <w:rPr>
                <w:lang w:val="fr-BE"/>
              </w:rPr>
              <w:t>;</w:t>
            </w:r>
          </w:p>
          <w:p w14:paraId="5CF7B47B" w14:textId="77777777" w:rsidR="00020EC8" w:rsidRPr="00927455" w:rsidRDefault="00020EC8" w:rsidP="00020EC8">
            <w:pPr>
              <w:rPr>
                <w:lang w:val="fr-BE"/>
              </w:rPr>
            </w:pPr>
            <w:r w:rsidRPr="00927455">
              <w:rPr>
                <w:lang w:val="fr-BE"/>
              </w:rPr>
              <w:t>-</w:t>
            </w:r>
            <w:r w:rsidRPr="00927455">
              <w:rPr>
                <w:lang w:val="fr-BE"/>
              </w:rPr>
              <w:tab/>
              <w:t>pour les niveaux de parking ouverts, la communication entre le parking et une cage d’escaliers intérieure qui ne dessert que le parking peut être assurée par une porte EI1 30 à fermeture automatique ou automatique en cas d’incendie.</w:t>
            </w:r>
          </w:p>
          <w:p w14:paraId="25D3B238" w14:textId="77777777" w:rsidR="00020EC8" w:rsidRPr="00927455" w:rsidRDefault="00020EC8" w:rsidP="00020EC8">
            <w:pPr>
              <w:rPr>
                <w:lang w:val="fr-BE"/>
              </w:rPr>
            </w:pPr>
          </w:p>
          <w:p w14:paraId="4568D886" w14:textId="77777777" w:rsidR="00020EC8" w:rsidRPr="00927455" w:rsidRDefault="00020EC8" w:rsidP="00020EC8">
            <w:pPr>
              <w:rPr>
                <w:lang w:val="fr-BE"/>
              </w:rPr>
            </w:pPr>
            <w:r w:rsidRPr="00927455">
              <w:rPr>
                <w:lang w:val="fr-BE"/>
              </w:rPr>
              <w:t>Au niveau d’évacuation, lorsque le parcours depuis une cage d’escalier intérieure jusqu’à la voie publique ou à un espace extérieur permettant de l’atteindre s’effectue via un parking, alors cette communication est assuré par un chemin d’évacuation.</w:t>
            </w:r>
          </w:p>
          <w:p w14:paraId="62475FC6" w14:textId="77777777" w:rsidR="00020EC8" w:rsidRPr="00927455" w:rsidRDefault="00020EC8" w:rsidP="00020EC8">
            <w:pPr>
              <w:rPr>
                <w:lang w:val="fr-BE"/>
              </w:rPr>
            </w:pPr>
          </w:p>
        </w:tc>
      </w:tr>
      <w:tr w:rsidR="0071410A" w:rsidRPr="00754BD6" w14:paraId="41E58D55" w14:textId="77777777" w:rsidTr="004F667F">
        <w:tc>
          <w:tcPr>
            <w:tcW w:w="4538" w:type="dxa"/>
          </w:tcPr>
          <w:p w14:paraId="1C74F1F4" w14:textId="77777777" w:rsidR="00717FC9" w:rsidRPr="00927455" w:rsidRDefault="00717FC9" w:rsidP="00693075"/>
        </w:tc>
        <w:tc>
          <w:tcPr>
            <w:tcW w:w="4524" w:type="dxa"/>
          </w:tcPr>
          <w:p w14:paraId="4D72CD12" w14:textId="77777777" w:rsidR="00E81F3C" w:rsidRPr="00927455" w:rsidRDefault="00020EC8" w:rsidP="00693075">
            <w:pPr>
              <w:rPr>
                <w:lang w:val="fr-BE"/>
              </w:rPr>
            </w:pPr>
            <w:r w:rsidRPr="00927455">
              <w:rPr>
                <w:lang w:val="fr-BE"/>
              </w:rPr>
              <w:t>3.7.5 Largeur des sorties et des chemins d’évacuation</w:t>
            </w:r>
          </w:p>
          <w:p w14:paraId="4832048E" w14:textId="77777777" w:rsidR="00020EC8" w:rsidRPr="00927455" w:rsidRDefault="00020EC8" w:rsidP="00693075">
            <w:pPr>
              <w:rPr>
                <w:lang w:val="fr-BE"/>
              </w:rPr>
            </w:pPr>
          </w:p>
        </w:tc>
      </w:tr>
      <w:tr w:rsidR="0071410A" w:rsidRPr="00754BD6" w14:paraId="2A951D05" w14:textId="77777777" w:rsidTr="004F667F">
        <w:tc>
          <w:tcPr>
            <w:tcW w:w="4538" w:type="dxa"/>
          </w:tcPr>
          <w:p w14:paraId="2A06AC44" w14:textId="77777777" w:rsidR="00717FC9" w:rsidRPr="00927455" w:rsidRDefault="00717FC9" w:rsidP="00693075"/>
        </w:tc>
        <w:tc>
          <w:tcPr>
            <w:tcW w:w="4524" w:type="dxa"/>
          </w:tcPr>
          <w:p w14:paraId="5D0B78D4" w14:textId="77777777" w:rsidR="00020EC8" w:rsidRPr="00927455" w:rsidRDefault="00020EC8" w:rsidP="00693075">
            <w:pPr>
              <w:rPr>
                <w:lang w:val="fr-BE"/>
              </w:rPr>
            </w:pPr>
            <w:r w:rsidRPr="00927455">
              <w:rPr>
                <w:lang w:val="fr-BE"/>
              </w:rPr>
              <w:t>La largeur utile des chemins d'évacuation, des coursives, des sorties et de leurs portes d'accès, de sortie ou de passage est de 0,80 m au moins pour les chemins d'évacuation, les sorties et les portes, et de 0,60 m au moins pour les coursives.</w:t>
            </w:r>
          </w:p>
          <w:p w14:paraId="1C274BD6" w14:textId="77777777" w:rsidR="00E20A1E" w:rsidRPr="00927455" w:rsidRDefault="00E20A1E" w:rsidP="00717FC9">
            <w:pPr>
              <w:rPr>
                <w:lang w:val="fr-BE"/>
              </w:rPr>
            </w:pPr>
          </w:p>
        </w:tc>
      </w:tr>
      <w:tr w:rsidR="0071410A" w:rsidRPr="00927455" w14:paraId="6AB27F07" w14:textId="77777777" w:rsidTr="004F667F">
        <w:tc>
          <w:tcPr>
            <w:tcW w:w="4538" w:type="dxa"/>
          </w:tcPr>
          <w:p w14:paraId="1BC51EA8" w14:textId="77777777" w:rsidR="00717FC9" w:rsidRPr="00927455" w:rsidRDefault="00717FC9" w:rsidP="00717FC9"/>
        </w:tc>
        <w:tc>
          <w:tcPr>
            <w:tcW w:w="4524" w:type="dxa"/>
          </w:tcPr>
          <w:p w14:paraId="7435C3CF" w14:textId="77777777" w:rsidR="00717FC9" w:rsidRPr="00927455" w:rsidRDefault="00717FC9" w:rsidP="00717FC9">
            <w:pPr>
              <w:rPr>
                <w:lang w:val="fr-BE"/>
              </w:rPr>
            </w:pPr>
            <w:r w:rsidRPr="00927455">
              <w:rPr>
                <w:lang w:val="fr-BE"/>
              </w:rPr>
              <w:t>3.7.6 Signalisation et éclairage de sécurité</w:t>
            </w:r>
          </w:p>
          <w:p w14:paraId="4DA5BF8E" w14:textId="77777777" w:rsidR="00717FC9" w:rsidRPr="00927455" w:rsidRDefault="00717FC9" w:rsidP="00717FC9">
            <w:pPr>
              <w:rPr>
                <w:lang w:val="fr-BE"/>
              </w:rPr>
            </w:pPr>
          </w:p>
        </w:tc>
      </w:tr>
      <w:tr w:rsidR="0071410A" w:rsidRPr="00754BD6" w14:paraId="778733AA" w14:textId="77777777" w:rsidTr="004F667F">
        <w:tc>
          <w:tcPr>
            <w:tcW w:w="4538" w:type="dxa"/>
          </w:tcPr>
          <w:p w14:paraId="2E3DB41F" w14:textId="77777777" w:rsidR="00717FC9" w:rsidRPr="00927455" w:rsidRDefault="00717FC9" w:rsidP="00717FC9"/>
        </w:tc>
        <w:tc>
          <w:tcPr>
            <w:tcW w:w="4524" w:type="dxa"/>
          </w:tcPr>
          <w:p w14:paraId="1033C8A8" w14:textId="77777777" w:rsidR="00717FC9" w:rsidRPr="00927455" w:rsidRDefault="00717FC9" w:rsidP="00717FC9">
            <w:pPr>
              <w:rPr>
                <w:lang w:val="fr-BE"/>
              </w:rPr>
            </w:pPr>
            <w:r w:rsidRPr="00927455">
              <w:rPr>
                <w:lang w:val="fr-BE"/>
              </w:rPr>
              <w:t>Les sorties, voies d’évacuation et dispositifs de sécurité incendie sont indiqués par une signalisation bien visible et reconnaissable qui satisfait aux dispositions relatives à la signalisation de sécurité et de santé au travail. Elles sont équipées d’un éclairage de sécurité. Les prescriptions spécifiques concernant celui-ci restent d’application (</w:t>
            </w:r>
            <w:proofErr w:type="spellStart"/>
            <w:r w:rsidRPr="00927455">
              <w:rPr>
                <w:lang w:val="fr-BE"/>
              </w:rPr>
              <w:t>cfr</w:t>
            </w:r>
            <w:proofErr w:type="spellEnd"/>
            <w:r w:rsidRPr="00927455">
              <w:rPr>
                <w:lang w:val="fr-BE"/>
              </w:rPr>
              <w:t>. point 6.5.4 des annexes 2/1, 3/1 et 4/1).</w:t>
            </w:r>
          </w:p>
          <w:p w14:paraId="2DA57BC5" w14:textId="77777777" w:rsidR="00717FC9" w:rsidRPr="00927455" w:rsidRDefault="00717FC9" w:rsidP="00717FC9">
            <w:pPr>
              <w:rPr>
                <w:lang w:val="fr-BE"/>
              </w:rPr>
            </w:pPr>
          </w:p>
          <w:p w14:paraId="408A0AE2" w14:textId="77777777" w:rsidR="00717FC9" w:rsidRPr="00927455" w:rsidRDefault="00717FC9" w:rsidP="00717FC9">
            <w:pPr>
              <w:rPr>
                <w:lang w:val="fr-BE"/>
              </w:rPr>
            </w:pPr>
            <w:r w:rsidRPr="00927455">
              <w:rPr>
                <w:lang w:val="fr-BE"/>
              </w:rPr>
              <w:t>Le numéro d'ordre de chaque niveau est apposé de façon apparente sur les paliers et dans les dégagements des cages d'escaliers, des ascenseurs et des rampes.</w:t>
            </w:r>
          </w:p>
          <w:p w14:paraId="0AD06389" w14:textId="77777777" w:rsidR="00717FC9" w:rsidRPr="00927455" w:rsidRDefault="00717FC9" w:rsidP="00717FC9">
            <w:pPr>
              <w:rPr>
                <w:lang w:val="fr-BE"/>
              </w:rPr>
            </w:pPr>
          </w:p>
        </w:tc>
      </w:tr>
      <w:tr w:rsidR="0071410A" w:rsidRPr="00927455" w14:paraId="572104C1" w14:textId="77777777" w:rsidTr="004F667F">
        <w:tc>
          <w:tcPr>
            <w:tcW w:w="4538" w:type="dxa"/>
          </w:tcPr>
          <w:p w14:paraId="664E5F56" w14:textId="77777777" w:rsidR="00717FC9" w:rsidRPr="00927455" w:rsidRDefault="00717FC9" w:rsidP="00693075">
            <w:pPr>
              <w:rPr>
                <w:b/>
              </w:rPr>
            </w:pPr>
          </w:p>
        </w:tc>
        <w:tc>
          <w:tcPr>
            <w:tcW w:w="4524" w:type="dxa"/>
          </w:tcPr>
          <w:p w14:paraId="67AC428D" w14:textId="77777777" w:rsidR="00020EC8" w:rsidRPr="00927455" w:rsidRDefault="00E20A1E" w:rsidP="00693075">
            <w:pPr>
              <w:rPr>
                <w:b/>
                <w:lang w:val="fr-BE"/>
              </w:rPr>
            </w:pPr>
            <w:r w:rsidRPr="00927455">
              <w:rPr>
                <w:b/>
                <w:lang w:val="fr-BE"/>
              </w:rPr>
              <w:t>3.8 Intervention</w:t>
            </w:r>
          </w:p>
          <w:p w14:paraId="56821308" w14:textId="77777777" w:rsidR="00E20A1E" w:rsidRPr="00927455" w:rsidRDefault="00E20A1E" w:rsidP="00693075">
            <w:pPr>
              <w:rPr>
                <w:b/>
                <w:lang w:val="fr-BE"/>
              </w:rPr>
            </w:pPr>
          </w:p>
        </w:tc>
      </w:tr>
      <w:tr w:rsidR="0071410A" w:rsidRPr="00927455" w14:paraId="17601477" w14:textId="77777777" w:rsidTr="004F667F">
        <w:tc>
          <w:tcPr>
            <w:tcW w:w="4538" w:type="dxa"/>
          </w:tcPr>
          <w:p w14:paraId="7198D604" w14:textId="77777777" w:rsidR="0020246B" w:rsidRPr="00927455" w:rsidRDefault="0020246B" w:rsidP="00693075">
            <w:pPr>
              <w:rPr>
                <w:lang w:val="fr-BE"/>
              </w:rPr>
            </w:pPr>
          </w:p>
        </w:tc>
        <w:tc>
          <w:tcPr>
            <w:tcW w:w="4524" w:type="dxa"/>
          </w:tcPr>
          <w:p w14:paraId="0F57545D" w14:textId="77777777" w:rsidR="00020EC8" w:rsidRPr="00927455" w:rsidRDefault="00EC15E5" w:rsidP="00693075">
            <w:pPr>
              <w:rPr>
                <w:lang w:val="fr-BE"/>
              </w:rPr>
            </w:pPr>
            <w:r w:rsidRPr="00927455">
              <w:rPr>
                <w:lang w:val="fr-BE"/>
              </w:rPr>
              <w:t>3.8.1 Voies d’intervention</w:t>
            </w:r>
          </w:p>
          <w:p w14:paraId="244C1F78" w14:textId="77777777" w:rsidR="00EC15E5" w:rsidRPr="00927455" w:rsidRDefault="00EC15E5" w:rsidP="00693075">
            <w:pPr>
              <w:rPr>
                <w:lang w:val="fr-BE"/>
              </w:rPr>
            </w:pPr>
          </w:p>
        </w:tc>
      </w:tr>
      <w:tr w:rsidR="0071410A" w:rsidRPr="00754BD6" w14:paraId="608A3DB9" w14:textId="77777777" w:rsidTr="004F667F">
        <w:tc>
          <w:tcPr>
            <w:tcW w:w="4538" w:type="dxa"/>
          </w:tcPr>
          <w:p w14:paraId="338EC2D2" w14:textId="77777777" w:rsidR="00FA2073" w:rsidRPr="00927455" w:rsidRDefault="00FA2073" w:rsidP="00EC15E5"/>
        </w:tc>
        <w:tc>
          <w:tcPr>
            <w:tcW w:w="4524" w:type="dxa"/>
          </w:tcPr>
          <w:p w14:paraId="06D4D306" w14:textId="77777777" w:rsidR="00EC15E5" w:rsidRPr="00927455" w:rsidRDefault="00EC15E5" w:rsidP="00EC15E5">
            <w:pPr>
              <w:jc w:val="both"/>
              <w:rPr>
                <w:bCs/>
                <w:lang w:val="fr-BE"/>
              </w:rPr>
            </w:pPr>
            <w:r w:rsidRPr="00927455">
              <w:rPr>
                <w:bCs/>
                <w:lang w:val="fr-BE"/>
              </w:rPr>
              <w:t>Les exigences spécifiques relatives aux voies d’intervention sont fonction du type de protection du niveau de parking.</w:t>
            </w:r>
          </w:p>
          <w:p w14:paraId="2DB053C3" w14:textId="77777777" w:rsidR="00EC15E5" w:rsidRPr="00927455" w:rsidRDefault="00EC15E5" w:rsidP="00EC15E5">
            <w:pPr>
              <w:jc w:val="both"/>
              <w:rPr>
                <w:bCs/>
                <w:lang w:val="fr-BE"/>
              </w:rPr>
            </w:pPr>
          </w:p>
        </w:tc>
      </w:tr>
      <w:tr w:rsidR="0071410A" w:rsidRPr="00927455" w14:paraId="67854009" w14:textId="77777777" w:rsidTr="004F667F">
        <w:tc>
          <w:tcPr>
            <w:tcW w:w="4538" w:type="dxa"/>
          </w:tcPr>
          <w:p w14:paraId="609DA296" w14:textId="77777777" w:rsidR="00FA2073" w:rsidRPr="00927455" w:rsidRDefault="00FA2073" w:rsidP="00EC15E5">
            <w:pPr>
              <w:rPr>
                <w:lang w:val="fr-BE"/>
              </w:rPr>
            </w:pPr>
          </w:p>
        </w:tc>
        <w:tc>
          <w:tcPr>
            <w:tcW w:w="4524" w:type="dxa"/>
          </w:tcPr>
          <w:p w14:paraId="1A7336F3" w14:textId="77777777" w:rsidR="00EC15E5" w:rsidRPr="00927455" w:rsidRDefault="00EC15E5" w:rsidP="00EC15E5">
            <w:pPr>
              <w:rPr>
                <w:lang w:val="fr-BE"/>
              </w:rPr>
            </w:pPr>
            <w:r w:rsidRPr="00927455">
              <w:rPr>
                <w:lang w:val="fr-BE"/>
              </w:rPr>
              <w:t>3.8.1.1 Type de protection "EFC"</w:t>
            </w:r>
          </w:p>
          <w:p w14:paraId="510FD5AD" w14:textId="77777777" w:rsidR="00EC15E5" w:rsidRPr="00927455" w:rsidRDefault="00EC15E5" w:rsidP="00EC15E5">
            <w:pPr>
              <w:rPr>
                <w:lang w:val="fr-BE"/>
              </w:rPr>
            </w:pPr>
          </w:p>
        </w:tc>
      </w:tr>
      <w:tr w:rsidR="0071410A" w:rsidRPr="00754BD6" w14:paraId="0D2A7774" w14:textId="77777777" w:rsidTr="004F667F">
        <w:tc>
          <w:tcPr>
            <w:tcW w:w="4538" w:type="dxa"/>
          </w:tcPr>
          <w:p w14:paraId="6062073D" w14:textId="77777777" w:rsidR="00FA2073" w:rsidRPr="00927455" w:rsidRDefault="00FA2073" w:rsidP="00FA2073"/>
        </w:tc>
        <w:tc>
          <w:tcPr>
            <w:tcW w:w="4524" w:type="dxa"/>
          </w:tcPr>
          <w:p w14:paraId="2BBC99A3" w14:textId="77777777" w:rsidR="00EC15E5" w:rsidRPr="00927455" w:rsidRDefault="00EC15E5" w:rsidP="00EC15E5">
            <w:pPr>
              <w:rPr>
                <w:lang w:val="fr-BE"/>
              </w:rPr>
            </w:pPr>
            <w:r w:rsidRPr="00927455">
              <w:rPr>
                <w:lang w:val="fr-BE"/>
              </w:rPr>
              <w:t>L’intervention du service d’incendie doit pouvoir s’effectuer :</w:t>
            </w:r>
          </w:p>
          <w:p w14:paraId="7D5EB9F5" w14:textId="77777777" w:rsidR="00EC15E5" w:rsidRPr="00927455" w:rsidRDefault="00EC15E5" w:rsidP="00EC15E5">
            <w:pPr>
              <w:rPr>
                <w:lang w:val="fr-BE"/>
              </w:rPr>
            </w:pPr>
            <w:r w:rsidRPr="00927455">
              <w:rPr>
                <w:lang w:val="fr-BE"/>
              </w:rPr>
              <w:t>-</w:t>
            </w:r>
            <w:r w:rsidRPr="00927455">
              <w:rPr>
                <w:lang w:val="fr-BE"/>
              </w:rPr>
              <w:tab/>
              <w:t>soit via une rampe sans zones de stationnement de véhicules ;</w:t>
            </w:r>
          </w:p>
          <w:p w14:paraId="3610F19A" w14:textId="76F877A6" w:rsidR="00EC15E5" w:rsidRPr="00927455" w:rsidRDefault="00EC15E5" w:rsidP="00EC15E5">
            <w:pPr>
              <w:rPr>
                <w:lang w:val="fr-BE"/>
              </w:rPr>
            </w:pPr>
            <w:r w:rsidRPr="00927455">
              <w:rPr>
                <w:lang w:val="fr-BE"/>
              </w:rPr>
              <w:t>-</w:t>
            </w:r>
            <w:r w:rsidRPr="00927455">
              <w:rPr>
                <w:lang w:val="fr-BE"/>
              </w:rPr>
              <w:tab/>
              <w:t xml:space="preserve">soit directement depuis l’entrée du parking </w:t>
            </w:r>
            <w:r w:rsidR="00E41F9C" w:rsidRPr="00927455">
              <w:rPr>
                <w:lang w:val="fr-BE"/>
              </w:rPr>
              <w:t>destinée</w:t>
            </w:r>
            <w:r w:rsidRPr="00927455">
              <w:rPr>
                <w:lang w:val="fr-BE"/>
              </w:rPr>
              <w:t xml:space="preserve"> à l’intervention du service d’incendie (</w:t>
            </w:r>
            <w:proofErr w:type="spellStart"/>
            <w:r w:rsidRPr="00927455">
              <w:rPr>
                <w:lang w:val="fr-BE"/>
              </w:rPr>
              <w:t>cfr</w:t>
            </w:r>
            <w:proofErr w:type="spellEnd"/>
            <w:r w:rsidRPr="00927455">
              <w:rPr>
                <w:lang w:val="fr-BE"/>
              </w:rPr>
              <w:t>. point 7.2 de l’annexe 1).</w:t>
            </w:r>
          </w:p>
          <w:p w14:paraId="431175B0" w14:textId="77777777" w:rsidR="00EC15E5" w:rsidRPr="00927455" w:rsidRDefault="00EC15E5" w:rsidP="00EC15E5">
            <w:pPr>
              <w:rPr>
                <w:lang w:val="fr-BE"/>
              </w:rPr>
            </w:pPr>
          </w:p>
          <w:p w14:paraId="0FDCCB7D" w14:textId="36DFB552" w:rsidR="00EC15E5" w:rsidRPr="00927455" w:rsidRDefault="00EC15E5" w:rsidP="00EC15E5">
            <w:pPr>
              <w:rPr>
                <w:lang w:val="fr-BE"/>
              </w:rPr>
            </w:pPr>
            <w:r w:rsidRPr="00927455">
              <w:rPr>
                <w:lang w:val="fr-BE"/>
              </w:rPr>
              <w:t xml:space="preserve">Au niveau du sous-compartiment sinistré, l’accès à ce sous-compartiment depuis cette rampe ou l’entrée du parking </w:t>
            </w:r>
            <w:r w:rsidR="00E41F9C" w:rsidRPr="00927455">
              <w:rPr>
                <w:lang w:val="fr-BE"/>
              </w:rPr>
              <w:t>destinée</w:t>
            </w:r>
            <w:r w:rsidRPr="00927455">
              <w:rPr>
                <w:lang w:val="fr-BE"/>
              </w:rPr>
              <w:t xml:space="preserve"> à l’intervention du service d’incendie doit pouvoir s’effectuer :</w:t>
            </w:r>
          </w:p>
          <w:p w14:paraId="24773921" w14:textId="77777777" w:rsidR="00EC15E5" w:rsidRPr="00927455" w:rsidRDefault="00EC15E5" w:rsidP="00EC15E5">
            <w:pPr>
              <w:rPr>
                <w:lang w:val="fr-BE"/>
              </w:rPr>
            </w:pPr>
            <w:r w:rsidRPr="00927455">
              <w:rPr>
                <w:lang w:val="fr-BE"/>
              </w:rPr>
              <w:t>-</w:t>
            </w:r>
            <w:r w:rsidRPr="00927455">
              <w:rPr>
                <w:lang w:val="fr-BE"/>
              </w:rPr>
              <w:tab/>
              <w:t>soit directement ;</w:t>
            </w:r>
          </w:p>
          <w:p w14:paraId="0CD75BBE" w14:textId="77777777" w:rsidR="00EC15E5" w:rsidRPr="00927455" w:rsidRDefault="00EC15E5" w:rsidP="00EC15E5">
            <w:pPr>
              <w:rPr>
                <w:lang w:val="fr-BE"/>
              </w:rPr>
            </w:pPr>
            <w:r w:rsidRPr="00927455">
              <w:rPr>
                <w:lang w:val="fr-BE"/>
              </w:rPr>
              <w:t>-</w:t>
            </w:r>
            <w:r w:rsidRPr="00927455">
              <w:rPr>
                <w:lang w:val="fr-BE"/>
              </w:rPr>
              <w:tab/>
              <w:t>soit à travers au maximum un autre sous-compartiment.</w:t>
            </w:r>
          </w:p>
          <w:p w14:paraId="3CE736B4" w14:textId="77777777" w:rsidR="00EC15E5" w:rsidRPr="00927455" w:rsidRDefault="00EC15E5" w:rsidP="00EC15E5">
            <w:pPr>
              <w:rPr>
                <w:lang w:val="fr-BE"/>
              </w:rPr>
            </w:pPr>
          </w:p>
        </w:tc>
      </w:tr>
      <w:tr w:rsidR="0071410A" w:rsidRPr="00927455" w14:paraId="230FCDDD" w14:textId="77777777" w:rsidTr="004F667F">
        <w:tc>
          <w:tcPr>
            <w:tcW w:w="4538" w:type="dxa"/>
          </w:tcPr>
          <w:p w14:paraId="6499581F" w14:textId="77777777" w:rsidR="00FA2073" w:rsidRPr="00927455" w:rsidRDefault="00FA2073" w:rsidP="00EC15E5">
            <w:pPr>
              <w:rPr>
                <w:lang w:val="fr-BE"/>
              </w:rPr>
            </w:pPr>
          </w:p>
        </w:tc>
        <w:tc>
          <w:tcPr>
            <w:tcW w:w="4524" w:type="dxa"/>
          </w:tcPr>
          <w:p w14:paraId="69D68A94" w14:textId="77777777" w:rsidR="00EC15E5" w:rsidRPr="00927455" w:rsidRDefault="00EC15E5" w:rsidP="00EC15E5">
            <w:pPr>
              <w:rPr>
                <w:lang w:val="fr-BE"/>
              </w:rPr>
            </w:pPr>
            <w:r w:rsidRPr="00927455">
              <w:rPr>
                <w:lang w:val="fr-BE"/>
              </w:rPr>
              <w:t>3.8.1.2 Type de protection "Sprinklage"</w:t>
            </w:r>
          </w:p>
          <w:p w14:paraId="668F507E" w14:textId="77777777" w:rsidR="00EC15E5" w:rsidRPr="00927455" w:rsidRDefault="00EC15E5" w:rsidP="00EC15E5">
            <w:pPr>
              <w:rPr>
                <w:lang w:val="fr-BE"/>
              </w:rPr>
            </w:pPr>
          </w:p>
        </w:tc>
      </w:tr>
      <w:tr w:rsidR="0071410A" w:rsidRPr="00754BD6" w14:paraId="2F1B8625" w14:textId="77777777" w:rsidTr="004F667F">
        <w:tc>
          <w:tcPr>
            <w:tcW w:w="4538" w:type="dxa"/>
          </w:tcPr>
          <w:p w14:paraId="4E46A246" w14:textId="77777777" w:rsidR="00FA2073" w:rsidRPr="00927455" w:rsidRDefault="00FA2073" w:rsidP="00FA2073"/>
        </w:tc>
        <w:tc>
          <w:tcPr>
            <w:tcW w:w="4524" w:type="dxa"/>
          </w:tcPr>
          <w:p w14:paraId="06CC370B" w14:textId="77777777" w:rsidR="00EC15E5" w:rsidRPr="00927455" w:rsidRDefault="00EC15E5" w:rsidP="00EC15E5">
            <w:pPr>
              <w:rPr>
                <w:lang w:val="fr-BE"/>
              </w:rPr>
            </w:pPr>
            <w:r w:rsidRPr="00927455">
              <w:rPr>
                <w:lang w:val="fr-BE"/>
              </w:rPr>
              <w:t>L’intervention du service d’incendie doit pouvoir s’effectuer :</w:t>
            </w:r>
          </w:p>
          <w:p w14:paraId="63684BC7" w14:textId="77777777" w:rsidR="00EC15E5" w:rsidRPr="00927455" w:rsidRDefault="00EC15E5" w:rsidP="00EC15E5">
            <w:pPr>
              <w:rPr>
                <w:lang w:val="fr-BE"/>
              </w:rPr>
            </w:pPr>
            <w:r w:rsidRPr="00927455">
              <w:rPr>
                <w:lang w:val="fr-BE"/>
              </w:rPr>
              <w:t>-</w:t>
            </w:r>
            <w:r w:rsidRPr="00927455">
              <w:rPr>
                <w:lang w:val="fr-BE"/>
              </w:rPr>
              <w:tab/>
              <w:t>soit via une rampe sans zones de stationnement de véhicules ;</w:t>
            </w:r>
          </w:p>
          <w:p w14:paraId="333006A2" w14:textId="77777777" w:rsidR="00EC15E5" w:rsidRPr="00927455" w:rsidRDefault="00EC15E5" w:rsidP="00EC15E5">
            <w:pPr>
              <w:rPr>
                <w:lang w:val="fr-BE"/>
              </w:rPr>
            </w:pPr>
            <w:r w:rsidRPr="00927455">
              <w:rPr>
                <w:lang w:val="fr-BE"/>
              </w:rPr>
              <w:t>-</w:t>
            </w:r>
            <w:r w:rsidRPr="00927455">
              <w:rPr>
                <w:lang w:val="fr-BE"/>
              </w:rPr>
              <w:tab/>
              <w:t>soit via une sortie du parking (</w:t>
            </w:r>
            <w:proofErr w:type="spellStart"/>
            <w:r w:rsidRPr="00927455">
              <w:rPr>
                <w:lang w:val="fr-BE"/>
              </w:rPr>
              <w:t>cfr</w:t>
            </w:r>
            <w:proofErr w:type="spellEnd"/>
            <w:r w:rsidRPr="00927455">
              <w:rPr>
                <w:lang w:val="fr-BE"/>
              </w:rPr>
              <w:t>. point 3.7.1) ;</w:t>
            </w:r>
          </w:p>
          <w:p w14:paraId="547B398F" w14:textId="79095749" w:rsidR="00EC15E5" w:rsidRPr="00927455" w:rsidRDefault="00EC15E5" w:rsidP="00EC15E5">
            <w:pPr>
              <w:rPr>
                <w:lang w:val="fr-BE"/>
              </w:rPr>
            </w:pPr>
            <w:r w:rsidRPr="00927455">
              <w:rPr>
                <w:lang w:val="fr-BE"/>
              </w:rPr>
              <w:t>-</w:t>
            </w:r>
            <w:r w:rsidRPr="00927455">
              <w:rPr>
                <w:lang w:val="fr-BE"/>
              </w:rPr>
              <w:tab/>
              <w:t xml:space="preserve">soit directement depuis l’entrée du parking </w:t>
            </w:r>
            <w:r w:rsidR="00E41F9C" w:rsidRPr="00927455">
              <w:rPr>
                <w:lang w:val="fr-BE"/>
              </w:rPr>
              <w:t>destinée</w:t>
            </w:r>
            <w:r w:rsidRPr="00927455">
              <w:rPr>
                <w:lang w:val="fr-BE"/>
              </w:rPr>
              <w:t xml:space="preserve"> à l’intervention du service d’incendie (</w:t>
            </w:r>
            <w:proofErr w:type="spellStart"/>
            <w:r w:rsidRPr="00927455">
              <w:rPr>
                <w:lang w:val="fr-BE"/>
              </w:rPr>
              <w:t>cfr</w:t>
            </w:r>
            <w:proofErr w:type="spellEnd"/>
            <w:r w:rsidRPr="00927455">
              <w:rPr>
                <w:lang w:val="fr-BE"/>
              </w:rPr>
              <w:t>. point 7.2 de l’annexe 1).</w:t>
            </w:r>
          </w:p>
          <w:p w14:paraId="165C1272" w14:textId="77777777" w:rsidR="00EC15E5" w:rsidRPr="00927455" w:rsidRDefault="00EC15E5" w:rsidP="00EC15E5">
            <w:pPr>
              <w:rPr>
                <w:lang w:val="fr-BE"/>
              </w:rPr>
            </w:pPr>
          </w:p>
          <w:p w14:paraId="653C5DAD" w14:textId="54F18210" w:rsidR="00EC15E5" w:rsidRPr="00927455" w:rsidRDefault="00EC15E5" w:rsidP="00EC15E5">
            <w:pPr>
              <w:rPr>
                <w:lang w:val="fr-BE"/>
              </w:rPr>
            </w:pPr>
            <w:r w:rsidRPr="00927455">
              <w:rPr>
                <w:lang w:val="fr-BE"/>
              </w:rPr>
              <w:t xml:space="preserve">Au niveau du sous-compartiment sinistré, l’accès à ce sous-compartiment depuis cette rampe, la sortie du parking ou l’entrée du parking </w:t>
            </w:r>
            <w:r w:rsidR="00E41F9C" w:rsidRPr="00927455">
              <w:rPr>
                <w:lang w:val="fr-BE"/>
              </w:rPr>
              <w:t>destinée</w:t>
            </w:r>
            <w:r w:rsidRPr="00927455">
              <w:rPr>
                <w:lang w:val="fr-BE"/>
              </w:rPr>
              <w:t xml:space="preserve"> à l’intervention du service d’incendie doit être direct.</w:t>
            </w:r>
          </w:p>
          <w:p w14:paraId="57E2B3E0" w14:textId="77777777" w:rsidR="00EC15E5" w:rsidRPr="00927455" w:rsidRDefault="00EC15E5" w:rsidP="00EC15E5">
            <w:pPr>
              <w:rPr>
                <w:lang w:val="fr-BE"/>
              </w:rPr>
            </w:pPr>
          </w:p>
        </w:tc>
      </w:tr>
      <w:tr w:rsidR="0071410A" w:rsidRPr="00754BD6" w14:paraId="744E5AC6" w14:textId="77777777" w:rsidTr="004F667F">
        <w:tc>
          <w:tcPr>
            <w:tcW w:w="4538" w:type="dxa"/>
          </w:tcPr>
          <w:p w14:paraId="74E6DBF9" w14:textId="77777777" w:rsidR="00FA2073" w:rsidRPr="00927455" w:rsidRDefault="00FA2073" w:rsidP="00EC15E5">
            <w:pPr>
              <w:rPr>
                <w:lang w:val="fr-BE"/>
              </w:rPr>
            </w:pPr>
          </w:p>
        </w:tc>
        <w:tc>
          <w:tcPr>
            <w:tcW w:w="4524" w:type="dxa"/>
          </w:tcPr>
          <w:p w14:paraId="5791C49C" w14:textId="77777777" w:rsidR="00EC15E5" w:rsidRPr="00927455" w:rsidRDefault="00EC15E5" w:rsidP="00EC15E5">
            <w:pPr>
              <w:rPr>
                <w:lang w:val="fr-BE"/>
              </w:rPr>
            </w:pPr>
            <w:r w:rsidRPr="00927455">
              <w:rPr>
                <w:lang w:val="fr-BE"/>
              </w:rPr>
              <w:t xml:space="preserve">3.8.1.3 </w:t>
            </w:r>
            <w:r w:rsidR="00FA2073" w:rsidRPr="00927455">
              <w:rPr>
                <w:lang w:val="fr-BE"/>
              </w:rPr>
              <w:t>Type de protection « Baie de ventilation »</w:t>
            </w:r>
          </w:p>
          <w:p w14:paraId="0E3076E8" w14:textId="77777777" w:rsidR="00EC15E5" w:rsidRPr="00927455" w:rsidRDefault="00EC15E5" w:rsidP="00EC15E5">
            <w:pPr>
              <w:rPr>
                <w:lang w:val="fr-BE"/>
              </w:rPr>
            </w:pPr>
          </w:p>
        </w:tc>
      </w:tr>
      <w:tr w:rsidR="0071410A" w:rsidRPr="00754BD6" w14:paraId="2D4CD65C" w14:textId="77777777" w:rsidTr="004F667F">
        <w:tc>
          <w:tcPr>
            <w:tcW w:w="4538" w:type="dxa"/>
          </w:tcPr>
          <w:p w14:paraId="134C7A1D" w14:textId="77777777" w:rsidR="00FA2073" w:rsidRPr="00927455" w:rsidRDefault="00FA2073" w:rsidP="00FA2073"/>
        </w:tc>
        <w:tc>
          <w:tcPr>
            <w:tcW w:w="4524" w:type="dxa"/>
          </w:tcPr>
          <w:p w14:paraId="77F57071" w14:textId="77777777" w:rsidR="00EC15E5" w:rsidRPr="00927455" w:rsidRDefault="00EC15E5" w:rsidP="00EC15E5">
            <w:pPr>
              <w:rPr>
                <w:lang w:val="fr-BE"/>
              </w:rPr>
            </w:pPr>
            <w:r w:rsidRPr="00927455">
              <w:rPr>
                <w:lang w:val="fr-BE"/>
              </w:rPr>
              <w:t>L’intervention du service d’incendie doit pouvoir s’effectuer :</w:t>
            </w:r>
          </w:p>
          <w:p w14:paraId="1DE79674" w14:textId="77777777" w:rsidR="00EC15E5" w:rsidRPr="00927455" w:rsidRDefault="00EC15E5" w:rsidP="00EC15E5">
            <w:pPr>
              <w:rPr>
                <w:lang w:val="fr-BE"/>
              </w:rPr>
            </w:pPr>
            <w:r w:rsidRPr="00927455">
              <w:rPr>
                <w:lang w:val="fr-BE"/>
              </w:rPr>
              <w:t>-</w:t>
            </w:r>
            <w:r w:rsidRPr="00927455">
              <w:rPr>
                <w:lang w:val="fr-BE"/>
              </w:rPr>
              <w:tab/>
              <w:t>soit via une rampe sans zones de stationnement de véhicules</w:t>
            </w:r>
          </w:p>
          <w:p w14:paraId="58839184" w14:textId="3015C82B" w:rsidR="00EC15E5" w:rsidRPr="00927455" w:rsidRDefault="00EC15E5" w:rsidP="00EC15E5">
            <w:pPr>
              <w:rPr>
                <w:lang w:val="fr-BE"/>
              </w:rPr>
            </w:pPr>
            <w:r w:rsidRPr="00927455">
              <w:rPr>
                <w:lang w:val="fr-BE"/>
              </w:rPr>
              <w:t>-</w:t>
            </w:r>
            <w:r w:rsidRPr="00927455">
              <w:rPr>
                <w:lang w:val="fr-BE"/>
              </w:rPr>
              <w:tab/>
              <w:t xml:space="preserve">soit directement depuis l’entrée du parking </w:t>
            </w:r>
            <w:r w:rsidR="00E41F9C" w:rsidRPr="00927455">
              <w:rPr>
                <w:lang w:val="fr-BE"/>
              </w:rPr>
              <w:t>destinée</w:t>
            </w:r>
            <w:r w:rsidRPr="00927455">
              <w:rPr>
                <w:lang w:val="fr-BE"/>
              </w:rPr>
              <w:t xml:space="preserve"> à l’intervention du service d’incendie (</w:t>
            </w:r>
            <w:proofErr w:type="spellStart"/>
            <w:r w:rsidRPr="00927455">
              <w:rPr>
                <w:lang w:val="fr-BE"/>
              </w:rPr>
              <w:t>cfr</w:t>
            </w:r>
            <w:proofErr w:type="spellEnd"/>
            <w:r w:rsidRPr="00927455">
              <w:rPr>
                <w:lang w:val="fr-BE"/>
              </w:rPr>
              <w:t>. point 7.2 de l’annexe 1).</w:t>
            </w:r>
          </w:p>
          <w:p w14:paraId="4A7269B1" w14:textId="77777777" w:rsidR="00EC15E5" w:rsidRPr="00927455" w:rsidRDefault="00EC15E5" w:rsidP="00EC15E5">
            <w:pPr>
              <w:rPr>
                <w:lang w:val="fr-BE"/>
              </w:rPr>
            </w:pPr>
          </w:p>
          <w:p w14:paraId="224D84FE" w14:textId="5A3E9BF9" w:rsidR="00EC15E5" w:rsidRPr="00927455" w:rsidRDefault="00EC15E5" w:rsidP="00EC15E5">
            <w:pPr>
              <w:rPr>
                <w:lang w:val="fr-BE"/>
              </w:rPr>
            </w:pPr>
            <w:r w:rsidRPr="00927455">
              <w:rPr>
                <w:lang w:val="fr-BE"/>
              </w:rPr>
              <w:t xml:space="preserve">Au niveau du sous-compartiment sinistré, l’accès à ce sous-compartiment depuis cette rampe ou l’entrée du parking </w:t>
            </w:r>
            <w:r w:rsidR="00E41F9C" w:rsidRPr="00927455">
              <w:rPr>
                <w:lang w:val="fr-BE"/>
              </w:rPr>
              <w:t>destinée</w:t>
            </w:r>
            <w:r w:rsidRPr="00927455">
              <w:rPr>
                <w:lang w:val="fr-BE"/>
              </w:rPr>
              <w:t xml:space="preserve"> à l’intervention du service d’incendie doit être direct.</w:t>
            </w:r>
          </w:p>
          <w:p w14:paraId="12F3C803" w14:textId="77777777" w:rsidR="00EC15E5" w:rsidRPr="00927455" w:rsidRDefault="00EC15E5" w:rsidP="00EC15E5">
            <w:pPr>
              <w:rPr>
                <w:lang w:val="fr-BE"/>
              </w:rPr>
            </w:pPr>
          </w:p>
        </w:tc>
      </w:tr>
      <w:tr w:rsidR="0071410A" w:rsidRPr="00754BD6" w14:paraId="44894567" w14:textId="77777777" w:rsidTr="004F667F">
        <w:tc>
          <w:tcPr>
            <w:tcW w:w="4538" w:type="dxa"/>
          </w:tcPr>
          <w:p w14:paraId="5B6DCE59" w14:textId="77777777" w:rsidR="00FA2073" w:rsidRPr="00927455" w:rsidRDefault="00FA2073" w:rsidP="00EC15E5">
            <w:pPr>
              <w:rPr>
                <w:lang w:val="fr-BE"/>
              </w:rPr>
            </w:pPr>
          </w:p>
        </w:tc>
        <w:tc>
          <w:tcPr>
            <w:tcW w:w="4524" w:type="dxa"/>
          </w:tcPr>
          <w:p w14:paraId="1E922199" w14:textId="77777777" w:rsidR="00EC15E5" w:rsidRPr="00927455" w:rsidRDefault="00EC15E5" w:rsidP="00EC15E5">
            <w:pPr>
              <w:rPr>
                <w:lang w:val="fr-BE"/>
              </w:rPr>
            </w:pPr>
            <w:r w:rsidRPr="00927455">
              <w:rPr>
                <w:lang w:val="fr-BE"/>
              </w:rPr>
              <w:t>3.8.1.4</w:t>
            </w:r>
            <w:r w:rsidRPr="00927455">
              <w:rPr>
                <w:lang w:val="fr-BE"/>
              </w:rPr>
              <w:tab/>
              <w:t>Type « EFC &amp; Sprinklage » ou « Ouvert »</w:t>
            </w:r>
          </w:p>
          <w:p w14:paraId="671FA852" w14:textId="77777777" w:rsidR="00EC15E5" w:rsidRPr="00927455" w:rsidRDefault="00EC15E5" w:rsidP="00EC15E5">
            <w:pPr>
              <w:rPr>
                <w:lang w:val="fr-BE"/>
              </w:rPr>
            </w:pPr>
          </w:p>
        </w:tc>
      </w:tr>
      <w:tr w:rsidR="0071410A" w:rsidRPr="00754BD6" w14:paraId="65F9425D" w14:textId="77777777" w:rsidTr="004F667F">
        <w:tc>
          <w:tcPr>
            <w:tcW w:w="4538" w:type="dxa"/>
          </w:tcPr>
          <w:p w14:paraId="4437CE29" w14:textId="77777777" w:rsidR="00FA2073" w:rsidRPr="00927455" w:rsidRDefault="00FA2073" w:rsidP="00FA2073"/>
        </w:tc>
        <w:tc>
          <w:tcPr>
            <w:tcW w:w="4524" w:type="dxa"/>
          </w:tcPr>
          <w:p w14:paraId="2BECD722" w14:textId="77777777" w:rsidR="00EC15E5" w:rsidRPr="00927455" w:rsidRDefault="00EC15E5" w:rsidP="00EC15E5">
            <w:pPr>
              <w:rPr>
                <w:lang w:val="fr-BE"/>
              </w:rPr>
            </w:pPr>
            <w:r w:rsidRPr="00927455">
              <w:rPr>
                <w:lang w:val="fr-BE"/>
              </w:rPr>
              <w:t>L’intervention du service d’incendie doit pouvoir s’effectuer</w:t>
            </w:r>
          </w:p>
          <w:p w14:paraId="3805FDD5" w14:textId="77777777" w:rsidR="00EC15E5" w:rsidRPr="00927455" w:rsidRDefault="00EC15E5" w:rsidP="00EC15E5">
            <w:pPr>
              <w:rPr>
                <w:lang w:val="fr-BE"/>
              </w:rPr>
            </w:pPr>
            <w:r w:rsidRPr="00927455">
              <w:rPr>
                <w:lang w:val="fr-BE"/>
              </w:rPr>
              <w:t>-</w:t>
            </w:r>
            <w:r w:rsidRPr="00927455">
              <w:rPr>
                <w:lang w:val="fr-BE"/>
              </w:rPr>
              <w:tab/>
              <w:t>soit via une rampe sans zones de stationnement de véhicules ;</w:t>
            </w:r>
          </w:p>
          <w:p w14:paraId="58E79CFC" w14:textId="77777777" w:rsidR="00EC15E5" w:rsidRPr="00927455" w:rsidRDefault="00EC15E5" w:rsidP="00EC15E5">
            <w:pPr>
              <w:rPr>
                <w:lang w:val="fr-BE"/>
              </w:rPr>
            </w:pPr>
            <w:r w:rsidRPr="00927455">
              <w:rPr>
                <w:lang w:val="fr-BE"/>
              </w:rPr>
              <w:t>-</w:t>
            </w:r>
            <w:r w:rsidRPr="00927455">
              <w:rPr>
                <w:lang w:val="fr-BE"/>
              </w:rPr>
              <w:tab/>
              <w:t>soit via une sortie du parking (</w:t>
            </w:r>
            <w:proofErr w:type="spellStart"/>
            <w:r w:rsidRPr="00927455">
              <w:rPr>
                <w:lang w:val="fr-BE"/>
              </w:rPr>
              <w:t>cfr</w:t>
            </w:r>
            <w:proofErr w:type="spellEnd"/>
            <w:r w:rsidRPr="00927455">
              <w:rPr>
                <w:lang w:val="fr-BE"/>
              </w:rPr>
              <w:t>. point 3.7.1) ;</w:t>
            </w:r>
          </w:p>
          <w:p w14:paraId="487E49C3" w14:textId="26EAACDF" w:rsidR="00EC15E5" w:rsidRPr="00927455" w:rsidRDefault="00EC15E5" w:rsidP="00EC15E5">
            <w:pPr>
              <w:rPr>
                <w:lang w:val="fr-BE"/>
              </w:rPr>
            </w:pPr>
            <w:r w:rsidRPr="00927455">
              <w:rPr>
                <w:lang w:val="fr-BE"/>
              </w:rPr>
              <w:t>-</w:t>
            </w:r>
            <w:r w:rsidRPr="00927455">
              <w:rPr>
                <w:lang w:val="fr-BE"/>
              </w:rPr>
              <w:tab/>
              <w:t xml:space="preserve">soit directement depuis l’entrée du parking </w:t>
            </w:r>
            <w:r w:rsidR="00E41F9C" w:rsidRPr="00927455">
              <w:rPr>
                <w:lang w:val="fr-BE"/>
              </w:rPr>
              <w:t>destinée</w:t>
            </w:r>
            <w:r w:rsidRPr="00927455">
              <w:rPr>
                <w:lang w:val="fr-BE"/>
              </w:rPr>
              <w:t xml:space="preserve"> à l’intervention du service d’incendie (</w:t>
            </w:r>
            <w:proofErr w:type="spellStart"/>
            <w:r w:rsidRPr="00927455">
              <w:rPr>
                <w:lang w:val="fr-BE"/>
              </w:rPr>
              <w:t>cfr</w:t>
            </w:r>
            <w:proofErr w:type="spellEnd"/>
            <w:r w:rsidRPr="00927455">
              <w:rPr>
                <w:lang w:val="fr-BE"/>
              </w:rPr>
              <w:t>. point 7.2 de l’annexe 1).</w:t>
            </w:r>
          </w:p>
          <w:p w14:paraId="2FE08BFE" w14:textId="77777777" w:rsidR="00EC15E5" w:rsidRPr="00927455" w:rsidRDefault="00EC15E5" w:rsidP="00EC15E5">
            <w:pPr>
              <w:rPr>
                <w:lang w:val="fr-BE"/>
              </w:rPr>
            </w:pPr>
          </w:p>
          <w:p w14:paraId="5467540F" w14:textId="77777777" w:rsidR="00EC15E5" w:rsidRPr="00927455" w:rsidRDefault="00EC15E5" w:rsidP="00EC15E5">
            <w:pPr>
              <w:rPr>
                <w:lang w:val="fr-BE"/>
              </w:rPr>
            </w:pPr>
            <w:r w:rsidRPr="00927455">
              <w:rPr>
                <w:lang w:val="fr-BE"/>
              </w:rPr>
              <w:t>Le sous-compartimentage n’est pas d’application aux parkings de type "EFC &amp; Sprinklage" ou "Ouvert" (</w:t>
            </w:r>
            <w:proofErr w:type="spellStart"/>
            <w:r w:rsidRPr="00927455">
              <w:rPr>
                <w:lang w:val="fr-BE"/>
              </w:rPr>
              <w:t>cfr</w:t>
            </w:r>
            <w:proofErr w:type="spellEnd"/>
            <w:r w:rsidRPr="00927455">
              <w:rPr>
                <w:lang w:val="fr-BE"/>
              </w:rPr>
              <w:t>. point 3.3.5).</w:t>
            </w:r>
          </w:p>
          <w:p w14:paraId="1B10938D" w14:textId="77777777" w:rsidR="00EC15E5" w:rsidRPr="00927455" w:rsidRDefault="00EC15E5" w:rsidP="00EC15E5">
            <w:pPr>
              <w:rPr>
                <w:lang w:val="fr-BE"/>
              </w:rPr>
            </w:pPr>
          </w:p>
        </w:tc>
      </w:tr>
      <w:tr w:rsidR="0071410A" w:rsidRPr="00754BD6" w14:paraId="7F26F064" w14:textId="77777777" w:rsidTr="004F667F">
        <w:tc>
          <w:tcPr>
            <w:tcW w:w="4538" w:type="dxa"/>
          </w:tcPr>
          <w:p w14:paraId="479F63B0" w14:textId="77777777" w:rsidR="00AF1C10" w:rsidRPr="00927455" w:rsidRDefault="00AF1C10" w:rsidP="00EC15E5">
            <w:pPr>
              <w:rPr>
                <w:lang w:val="fr-BE"/>
              </w:rPr>
            </w:pPr>
          </w:p>
        </w:tc>
        <w:tc>
          <w:tcPr>
            <w:tcW w:w="4524" w:type="dxa"/>
          </w:tcPr>
          <w:p w14:paraId="48C02024" w14:textId="77777777" w:rsidR="00EC15E5" w:rsidRPr="00927455" w:rsidRDefault="00EC15E5" w:rsidP="00EC15E5">
            <w:pPr>
              <w:rPr>
                <w:lang w:val="fr-BE"/>
              </w:rPr>
            </w:pPr>
            <w:r w:rsidRPr="00927455">
              <w:rPr>
                <w:lang w:val="fr-BE"/>
              </w:rPr>
              <w:t>3.8.2 Poste central de contrôle et de commande</w:t>
            </w:r>
          </w:p>
          <w:p w14:paraId="0D9DF0AE" w14:textId="77777777" w:rsidR="00EC15E5" w:rsidRPr="00927455" w:rsidRDefault="00EC15E5" w:rsidP="00EC15E5">
            <w:pPr>
              <w:rPr>
                <w:lang w:val="fr-BE"/>
              </w:rPr>
            </w:pPr>
          </w:p>
        </w:tc>
      </w:tr>
      <w:tr w:rsidR="0071410A" w:rsidRPr="00754BD6" w14:paraId="52424235" w14:textId="77777777" w:rsidTr="004F667F">
        <w:tc>
          <w:tcPr>
            <w:tcW w:w="4538" w:type="dxa"/>
          </w:tcPr>
          <w:p w14:paraId="3DC16E65" w14:textId="77777777" w:rsidR="00AF1C10" w:rsidRPr="00927455" w:rsidRDefault="00AF1C10" w:rsidP="00EC15E5"/>
        </w:tc>
        <w:tc>
          <w:tcPr>
            <w:tcW w:w="4524" w:type="dxa"/>
          </w:tcPr>
          <w:p w14:paraId="40B4FBBF" w14:textId="701A9A77" w:rsidR="00EC15E5" w:rsidRPr="00927455" w:rsidRDefault="00EC15E5" w:rsidP="00EC15E5">
            <w:pPr>
              <w:rPr>
                <w:lang w:val="fr-BE"/>
              </w:rPr>
            </w:pPr>
            <w:r w:rsidRPr="00927455">
              <w:rPr>
                <w:lang w:val="fr-BE"/>
              </w:rPr>
              <w:t>A chaque entrée du parking</w:t>
            </w:r>
            <w:r w:rsidR="00E41F9C" w:rsidRPr="00927455">
              <w:rPr>
                <w:lang w:val="fr-BE"/>
              </w:rPr>
              <w:t xml:space="preserve"> destinée à l’intervention du service d’incendie</w:t>
            </w:r>
            <w:r w:rsidRPr="00927455">
              <w:rPr>
                <w:lang w:val="fr-BE"/>
              </w:rPr>
              <w:t>, une signalisation bien visible et reconnaissable par le service d’incendie indique si le parking dispose d’un poste central de contrôle et de commande et sa localisation dans le bâtiment.</w:t>
            </w:r>
          </w:p>
          <w:p w14:paraId="7A2AAD2B" w14:textId="77777777" w:rsidR="00EC15E5" w:rsidRPr="00927455" w:rsidRDefault="00EC15E5" w:rsidP="00EC15E5">
            <w:pPr>
              <w:rPr>
                <w:lang w:val="fr-BE"/>
              </w:rPr>
            </w:pPr>
          </w:p>
        </w:tc>
      </w:tr>
      <w:tr w:rsidR="0071410A" w:rsidRPr="00927455" w14:paraId="1C28201B" w14:textId="77777777" w:rsidTr="004F667F">
        <w:tc>
          <w:tcPr>
            <w:tcW w:w="4538" w:type="dxa"/>
          </w:tcPr>
          <w:p w14:paraId="45EA821E" w14:textId="77777777" w:rsidR="00AF1C10" w:rsidRPr="00927455" w:rsidRDefault="00AF1C10" w:rsidP="00EC15E5">
            <w:pPr>
              <w:rPr>
                <w:lang w:val="fr-BE"/>
              </w:rPr>
            </w:pPr>
          </w:p>
        </w:tc>
        <w:tc>
          <w:tcPr>
            <w:tcW w:w="4524" w:type="dxa"/>
          </w:tcPr>
          <w:p w14:paraId="508E8267" w14:textId="77777777" w:rsidR="00EC15E5" w:rsidRPr="00927455" w:rsidRDefault="00EC15E5" w:rsidP="00EC15E5">
            <w:pPr>
              <w:rPr>
                <w:lang w:val="fr-BE"/>
              </w:rPr>
            </w:pPr>
            <w:r w:rsidRPr="00927455">
              <w:rPr>
                <w:lang w:val="fr-BE"/>
              </w:rPr>
              <w:t>3.8.3 Plans du parking</w:t>
            </w:r>
          </w:p>
          <w:p w14:paraId="062D8A87" w14:textId="77777777" w:rsidR="00EC15E5" w:rsidRPr="00927455" w:rsidRDefault="00EC15E5" w:rsidP="00EC15E5">
            <w:pPr>
              <w:rPr>
                <w:lang w:val="fr-BE"/>
              </w:rPr>
            </w:pPr>
          </w:p>
        </w:tc>
      </w:tr>
      <w:tr w:rsidR="0071410A" w:rsidRPr="00754BD6" w14:paraId="108A8081" w14:textId="77777777" w:rsidTr="004F667F">
        <w:tc>
          <w:tcPr>
            <w:tcW w:w="4538" w:type="dxa"/>
          </w:tcPr>
          <w:p w14:paraId="697E4B07" w14:textId="77777777" w:rsidR="00AF1C10" w:rsidRPr="00927455" w:rsidRDefault="00AF1C10" w:rsidP="00AF1C10"/>
        </w:tc>
        <w:tc>
          <w:tcPr>
            <w:tcW w:w="4524" w:type="dxa"/>
          </w:tcPr>
          <w:p w14:paraId="2D1148AD" w14:textId="3817FD14" w:rsidR="00EC15E5" w:rsidRPr="00927455" w:rsidRDefault="00EC15E5" w:rsidP="00EC15E5">
            <w:pPr>
              <w:rPr>
                <w:lang w:val="fr-BE"/>
              </w:rPr>
            </w:pPr>
            <w:r w:rsidRPr="00927455">
              <w:rPr>
                <w:lang w:val="fr-BE"/>
              </w:rPr>
              <w:t>Un jeu de plan du parking (implantation, plans, coupes, ...) est mis à disposition du service d’incendie dans le poste central de contrôle et de commande, ou s’il ne dispose pas d’un tel poste, à chaque entrée du parking</w:t>
            </w:r>
            <w:r w:rsidR="00E41F9C" w:rsidRPr="00927455">
              <w:rPr>
                <w:lang w:val="fr-BE"/>
              </w:rPr>
              <w:t xml:space="preserve"> destinée à l’intervention du service d’incendie</w:t>
            </w:r>
            <w:r w:rsidRPr="00927455">
              <w:rPr>
                <w:lang w:val="fr-BE"/>
              </w:rPr>
              <w:t>.</w:t>
            </w:r>
          </w:p>
          <w:p w14:paraId="0B1DD55D" w14:textId="77777777" w:rsidR="00EC15E5" w:rsidRPr="00927455" w:rsidRDefault="00EC15E5" w:rsidP="00EC15E5">
            <w:pPr>
              <w:rPr>
                <w:lang w:val="fr-BE"/>
              </w:rPr>
            </w:pPr>
          </w:p>
          <w:p w14:paraId="128F1353" w14:textId="77777777" w:rsidR="00EC15E5" w:rsidRPr="00927455" w:rsidRDefault="00EC15E5" w:rsidP="00EC15E5">
            <w:pPr>
              <w:rPr>
                <w:lang w:val="fr-BE"/>
              </w:rPr>
            </w:pPr>
            <w:r w:rsidRPr="00927455">
              <w:rPr>
                <w:lang w:val="fr-BE"/>
              </w:rPr>
              <w:t>Les moyens de protection, moyens d’extinction et voies d’intervention sont indiqués sur ces plans.</w:t>
            </w:r>
          </w:p>
          <w:p w14:paraId="15E51605" w14:textId="77777777" w:rsidR="00EC15E5" w:rsidRPr="00927455" w:rsidRDefault="00EC15E5" w:rsidP="00EC15E5">
            <w:pPr>
              <w:rPr>
                <w:lang w:val="fr-BE"/>
              </w:rPr>
            </w:pPr>
          </w:p>
        </w:tc>
      </w:tr>
      <w:tr w:rsidR="0071410A" w:rsidRPr="00754BD6" w14:paraId="53B8A33A" w14:textId="77777777" w:rsidTr="004F667F">
        <w:tc>
          <w:tcPr>
            <w:tcW w:w="4538" w:type="dxa"/>
          </w:tcPr>
          <w:p w14:paraId="2C70A1AB" w14:textId="77777777" w:rsidR="00EC15E5" w:rsidRPr="00927455" w:rsidRDefault="00EC15E5" w:rsidP="00EC15E5">
            <w:pPr>
              <w:rPr>
                <w:lang w:val="fr-BE"/>
              </w:rPr>
            </w:pPr>
          </w:p>
        </w:tc>
        <w:tc>
          <w:tcPr>
            <w:tcW w:w="4524" w:type="dxa"/>
          </w:tcPr>
          <w:p w14:paraId="77F6D790" w14:textId="77777777" w:rsidR="00EC15E5" w:rsidRPr="00927455" w:rsidRDefault="00EC15E5" w:rsidP="00EC15E5">
            <w:pPr>
              <w:rPr>
                <w:lang w:val="fr-BE"/>
              </w:rPr>
            </w:pPr>
          </w:p>
        </w:tc>
      </w:tr>
      <w:tr w:rsidR="00A54DA4" w:rsidRPr="00754BD6" w14:paraId="10B221F8" w14:textId="77777777" w:rsidTr="002C47D6">
        <w:tc>
          <w:tcPr>
            <w:tcW w:w="4538" w:type="dxa"/>
          </w:tcPr>
          <w:p w14:paraId="79CE2765" w14:textId="77777777" w:rsidR="00A54DA4" w:rsidRPr="00927455" w:rsidRDefault="00A54DA4" w:rsidP="002C47D6"/>
        </w:tc>
        <w:tc>
          <w:tcPr>
            <w:tcW w:w="4524" w:type="dxa"/>
          </w:tcPr>
          <w:p w14:paraId="74CA4E57" w14:textId="6468640C" w:rsidR="00A54DA4" w:rsidRPr="00927455" w:rsidRDefault="00A54DA4" w:rsidP="002C47D6">
            <w:pPr>
              <w:rPr>
                <w:lang w:val="fr-BE"/>
              </w:rPr>
            </w:pPr>
            <w:r w:rsidRPr="00927455">
              <w:rPr>
                <w:b/>
                <w:lang w:val="fr-BE"/>
              </w:rPr>
              <w:t>Art. 42.</w:t>
            </w:r>
            <w:r w:rsidRPr="00927455">
              <w:rPr>
                <w:lang w:val="fr-BE"/>
              </w:rPr>
              <w:t xml:space="preserve"> Dans l’annexe 7 du même arrêté royal, il est inséré un point 4, comportant les points 4.1 à 4.9 rédigé comme suit :</w:t>
            </w:r>
          </w:p>
          <w:p w14:paraId="102C5B2A" w14:textId="77777777" w:rsidR="00A54DA4" w:rsidRPr="00927455" w:rsidRDefault="00A54DA4" w:rsidP="002C47D6">
            <w:pPr>
              <w:rPr>
                <w:lang w:val="fr-BE"/>
              </w:rPr>
            </w:pPr>
          </w:p>
        </w:tc>
      </w:tr>
      <w:tr w:rsidR="00A54DA4" w:rsidRPr="00754BD6" w14:paraId="60D2F704" w14:textId="77777777" w:rsidTr="002C47D6">
        <w:tc>
          <w:tcPr>
            <w:tcW w:w="4538" w:type="dxa"/>
          </w:tcPr>
          <w:p w14:paraId="1CCDD40E" w14:textId="77777777" w:rsidR="00A54DA4" w:rsidRPr="00927455" w:rsidRDefault="00A54DA4" w:rsidP="002C47D6">
            <w:pPr>
              <w:rPr>
                <w:b/>
                <w:lang w:val="fr-BE"/>
              </w:rPr>
            </w:pPr>
          </w:p>
        </w:tc>
        <w:tc>
          <w:tcPr>
            <w:tcW w:w="4524" w:type="dxa"/>
          </w:tcPr>
          <w:p w14:paraId="1F4CCFF7" w14:textId="77777777" w:rsidR="00A54DA4" w:rsidRPr="00927455" w:rsidRDefault="00A54DA4" w:rsidP="002C47D6">
            <w:pPr>
              <w:rPr>
                <w:b/>
                <w:lang w:val="fr-BE"/>
              </w:rPr>
            </w:pPr>
          </w:p>
        </w:tc>
      </w:tr>
      <w:tr w:rsidR="00A54DA4" w:rsidRPr="00927455" w14:paraId="65F27C13" w14:textId="77777777" w:rsidTr="002C47D6">
        <w:tc>
          <w:tcPr>
            <w:tcW w:w="4538" w:type="dxa"/>
          </w:tcPr>
          <w:p w14:paraId="01EB4CCB" w14:textId="77777777" w:rsidR="00A54DA4" w:rsidRPr="00927455" w:rsidRDefault="00A54DA4" w:rsidP="002C47D6">
            <w:pPr>
              <w:rPr>
                <w:b/>
              </w:rPr>
            </w:pPr>
          </w:p>
        </w:tc>
        <w:tc>
          <w:tcPr>
            <w:tcW w:w="4524" w:type="dxa"/>
          </w:tcPr>
          <w:p w14:paraId="3AEDC94F" w14:textId="6C3E5549" w:rsidR="00A54DA4" w:rsidRPr="00927455" w:rsidRDefault="00A54DA4" w:rsidP="002C47D6">
            <w:pPr>
              <w:rPr>
                <w:b/>
              </w:rPr>
            </w:pPr>
            <w:r w:rsidRPr="00927455">
              <w:rPr>
                <w:lang w:val="fr-BE"/>
              </w:rPr>
              <w:t>«</w:t>
            </w:r>
            <w:r w:rsidRPr="00927455">
              <w:rPr>
                <w:b/>
              </w:rPr>
              <w:t xml:space="preserve"> 4. LES CHAUFFERIES</w:t>
            </w:r>
          </w:p>
          <w:p w14:paraId="4F50B311" w14:textId="77777777" w:rsidR="00A54DA4" w:rsidRPr="00927455" w:rsidRDefault="00A54DA4" w:rsidP="002C47D6">
            <w:pPr>
              <w:rPr>
                <w:b/>
              </w:rPr>
            </w:pPr>
          </w:p>
        </w:tc>
      </w:tr>
      <w:tr w:rsidR="004848C7" w:rsidRPr="00927455" w14:paraId="0AA68A8F" w14:textId="77777777" w:rsidTr="002C47D6">
        <w:tc>
          <w:tcPr>
            <w:tcW w:w="4538" w:type="dxa"/>
          </w:tcPr>
          <w:p w14:paraId="726F8A01" w14:textId="7AAD7EAA" w:rsidR="004848C7" w:rsidRPr="00927455" w:rsidRDefault="004848C7" w:rsidP="004848C7"/>
        </w:tc>
        <w:tc>
          <w:tcPr>
            <w:tcW w:w="4524" w:type="dxa"/>
          </w:tcPr>
          <w:p w14:paraId="23682CA0" w14:textId="77777777" w:rsidR="004848C7" w:rsidRPr="00927455" w:rsidRDefault="004848C7" w:rsidP="004848C7">
            <w:pPr>
              <w:rPr>
                <w:b/>
                <w:lang w:val="fr-BE"/>
              </w:rPr>
            </w:pPr>
            <w:r w:rsidRPr="00927455">
              <w:rPr>
                <w:b/>
                <w:lang w:val="fr-BE"/>
              </w:rPr>
              <w:t>4.1 Objet</w:t>
            </w:r>
          </w:p>
          <w:p w14:paraId="3C0E462A" w14:textId="2769DDA1" w:rsidR="004848C7" w:rsidRPr="00927455" w:rsidRDefault="004848C7" w:rsidP="004848C7">
            <w:pPr>
              <w:rPr>
                <w:lang w:val="fr-BE"/>
              </w:rPr>
            </w:pPr>
          </w:p>
        </w:tc>
      </w:tr>
      <w:tr w:rsidR="004848C7" w:rsidRPr="00754BD6" w14:paraId="40A9B5AC" w14:textId="77777777" w:rsidTr="002C47D6">
        <w:tc>
          <w:tcPr>
            <w:tcW w:w="4538" w:type="dxa"/>
          </w:tcPr>
          <w:p w14:paraId="7F064A50" w14:textId="77777777" w:rsidR="004848C7" w:rsidRPr="00927455" w:rsidRDefault="004848C7" w:rsidP="004848C7"/>
        </w:tc>
        <w:tc>
          <w:tcPr>
            <w:tcW w:w="4524" w:type="dxa"/>
          </w:tcPr>
          <w:p w14:paraId="0725B16D" w14:textId="77777777" w:rsidR="004848C7" w:rsidRPr="00927455" w:rsidRDefault="004848C7" w:rsidP="004848C7">
            <w:pPr>
              <w:jc w:val="both"/>
              <w:rPr>
                <w:lang w:val="fr-BE"/>
              </w:rPr>
            </w:pPr>
            <w:r w:rsidRPr="00927455">
              <w:rPr>
                <w:lang w:val="fr-BE"/>
              </w:rPr>
              <w:t>Le présent chapitre fixe les conditions auxquelles doivent répondre la conception, la construction et l’aménagement des chaufferies afin de :</w:t>
            </w:r>
          </w:p>
          <w:p w14:paraId="4C146223" w14:textId="77777777" w:rsidR="004848C7" w:rsidRPr="00927455" w:rsidRDefault="004848C7" w:rsidP="004848C7">
            <w:pPr>
              <w:jc w:val="both"/>
              <w:rPr>
                <w:lang w:val="fr-BE"/>
              </w:rPr>
            </w:pPr>
          </w:p>
          <w:p w14:paraId="4505B3C1" w14:textId="77777777" w:rsidR="004848C7" w:rsidRPr="00927455" w:rsidRDefault="004848C7" w:rsidP="004848C7">
            <w:pPr>
              <w:numPr>
                <w:ilvl w:val="0"/>
                <w:numId w:val="31"/>
              </w:numPr>
              <w:jc w:val="both"/>
              <w:rPr>
                <w:lang w:val="fr-BE"/>
              </w:rPr>
            </w:pPr>
            <w:r w:rsidRPr="00927455">
              <w:rPr>
                <w:lang w:val="fr-BE"/>
              </w:rPr>
              <w:lastRenderedPageBreak/>
              <w:t>prévenir la naissance, le développement et la propagation d’un incendie;</w:t>
            </w:r>
          </w:p>
          <w:p w14:paraId="06CDC131" w14:textId="77777777" w:rsidR="004848C7" w:rsidRPr="00927455" w:rsidRDefault="004848C7" w:rsidP="004848C7">
            <w:pPr>
              <w:numPr>
                <w:ilvl w:val="0"/>
                <w:numId w:val="31"/>
              </w:numPr>
              <w:jc w:val="both"/>
              <w:rPr>
                <w:lang w:val="fr-BE"/>
              </w:rPr>
            </w:pPr>
            <w:r w:rsidRPr="00927455">
              <w:rPr>
                <w:lang w:val="fr-BE"/>
              </w:rPr>
              <w:t>assurer la sécurité des personnes;</w:t>
            </w:r>
          </w:p>
          <w:p w14:paraId="1E79329E" w14:textId="77777777" w:rsidR="004848C7" w:rsidRPr="00927455" w:rsidRDefault="004848C7" w:rsidP="004848C7">
            <w:pPr>
              <w:numPr>
                <w:ilvl w:val="0"/>
                <w:numId w:val="31"/>
              </w:numPr>
              <w:jc w:val="both"/>
              <w:rPr>
                <w:lang w:val="fr-BE"/>
              </w:rPr>
            </w:pPr>
            <w:r w:rsidRPr="00927455">
              <w:rPr>
                <w:lang w:val="fr-BE"/>
              </w:rPr>
              <w:t>faciliter de façon préventive l’intervention du service d’incendie.</w:t>
            </w:r>
          </w:p>
          <w:p w14:paraId="2F5DE868" w14:textId="77777777" w:rsidR="004848C7" w:rsidRPr="00927455" w:rsidRDefault="004848C7" w:rsidP="004848C7">
            <w:pPr>
              <w:rPr>
                <w:lang w:val="fr-BE"/>
              </w:rPr>
            </w:pPr>
          </w:p>
        </w:tc>
      </w:tr>
      <w:tr w:rsidR="004848C7" w:rsidRPr="00927455" w14:paraId="25BFCFC8" w14:textId="77777777" w:rsidTr="002C47D6">
        <w:tc>
          <w:tcPr>
            <w:tcW w:w="4538" w:type="dxa"/>
          </w:tcPr>
          <w:p w14:paraId="499BD9F7" w14:textId="2874C719" w:rsidR="004848C7" w:rsidRPr="00927455" w:rsidRDefault="004848C7" w:rsidP="004848C7"/>
        </w:tc>
        <w:tc>
          <w:tcPr>
            <w:tcW w:w="4524" w:type="dxa"/>
          </w:tcPr>
          <w:p w14:paraId="083CB644" w14:textId="77777777" w:rsidR="004848C7" w:rsidRPr="00927455" w:rsidRDefault="004848C7" w:rsidP="004848C7">
            <w:pPr>
              <w:rPr>
                <w:b/>
                <w:lang w:val="fr-BE"/>
              </w:rPr>
            </w:pPr>
            <w:r w:rsidRPr="00927455">
              <w:rPr>
                <w:b/>
                <w:lang w:val="fr-BE"/>
              </w:rPr>
              <w:t>4.2 Domaine d’application</w:t>
            </w:r>
          </w:p>
          <w:p w14:paraId="7B05BA0F" w14:textId="349D0E5C" w:rsidR="004848C7" w:rsidRPr="00927455" w:rsidRDefault="004848C7" w:rsidP="004848C7">
            <w:pPr>
              <w:rPr>
                <w:lang w:val="fr-BE"/>
              </w:rPr>
            </w:pPr>
          </w:p>
        </w:tc>
      </w:tr>
      <w:tr w:rsidR="004848C7" w:rsidRPr="00754BD6" w14:paraId="098ACFD8" w14:textId="77777777" w:rsidTr="002C47D6">
        <w:tc>
          <w:tcPr>
            <w:tcW w:w="4538" w:type="dxa"/>
          </w:tcPr>
          <w:p w14:paraId="01308442" w14:textId="6399415F" w:rsidR="004848C7" w:rsidRPr="00927455" w:rsidRDefault="004848C7" w:rsidP="004848C7"/>
        </w:tc>
        <w:tc>
          <w:tcPr>
            <w:tcW w:w="4524" w:type="dxa"/>
          </w:tcPr>
          <w:p w14:paraId="64E73AD1" w14:textId="77777777" w:rsidR="004848C7" w:rsidRPr="00927455" w:rsidRDefault="004848C7" w:rsidP="004848C7">
            <w:pPr>
              <w:rPr>
                <w:lang w:val="fr-BE"/>
              </w:rPr>
            </w:pPr>
            <w:r w:rsidRPr="00927455">
              <w:rPr>
                <w:lang w:val="fr-BE"/>
              </w:rPr>
              <w:t>Les dispositions du présent chapitre s’appliquent aux chaufferies visés par le point 5.1.2.2 des annexes 2/1, 3/1 et 4/1 du présent arrêté.</w:t>
            </w:r>
          </w:p>
          <w:p w14:paraId="3D4E8D2D" w14:textId="55EFA058" w:rsidR="004848C7" w:rsidRPr="00927455" w:rsidRDefault="004848C7" w:rsidP="004848C7">
            <w:pPr>
              <w:rPr>
                <w:lang w:val="fr-BE"/>
              </w:rPr>
            </w:pPr>
          </w:p>
        </w:tc>
      </w:tr>
      <w:tr w:rsidR="004848C7" w:rsidRPr="00927455" w14:paraId="259E8E2A" w14:textId="77777777" w:rsidTr="002C47D6">
        <w:tc>
          <w:tcPr>
            <w:tcW w:w="4538" w:type="dxa"/>
          </w:tcPr>
          <w:p w14:paraId="6DA2B145" w14:textId="404D20FE" w:rsidR="004848C7" w:rsidRPr="00927455" w:rsidRDefault="004848C7" w:rsidP="004848C7"/>
        </w:tc>
        <w:tc>
          <w:tcPr>
            <w:tcW w:w="4524" w:type="dxa"/>
          </w:tcPr>
          <w:p w14:paraId="0539904B" w14:textId="77777777" w:rsidR="004848C7" w:rsidRPr="00927455" w:rsidRDefault="004848C7" w:rsidP="004848C7">
            <w:pPr>
              <w:rPr>
                <w:b/>
                <w:lang w:val="fr-BE"/>
              </w:rPr>
            </w:pPr>
            <w:r w:rsidRPr="00927455">
              <w:rPr>
                <w:b/>
                <w:lang w:val="fr-BE"/>
              </w:rPr>
              <w:t>4.3 Généralités</w:t>
            </w:r>
          </w:p>
          <w:p w14:paraId="157787B9" w14:textId="74DAB408" w:rsidR="004848C7" w:rsidRPr="00927455" w:rsidRDefault="004848C7" w:rsidP="004848C7">
            <w:pPr>
              <w:rPr>
                <w:lang w:val="fr-BE"/>
              </w:rPr>
            </w:pPr>
          </w:p>
        </w:tc>
      </w:tr>
      <w:tr w:rsidR="004848C7" w:rsidRPr="00754BD6" w14:paraId="4C2E0C4A" w14:textId="77777777" w:rsidTr="002C47D6">
        <w:tc>
          <w:tcPr>
            <w:tcW w:w="4538" w:type="dxa"/>
          </w:tcPr>
          <w:p w14:paraId="6A776BEE" w14:textId="4F331C01" w:rsidR="004848C7" w:rsidRPr="00927455" w:rsidRDefault="004848C7" w:rsidP="004848C7"/>
        </w:tc>
        <w:tc>
          <w:tcPr>
            <w:tcW w:w="4524" w:type="dxa"/>
          </w:tcPr>
          <w:p w14:paraId="7E9E366F" w14:textId="77777777" w:rsidR="004848C7" w:rsidRPr="00927455" w:rsidRDefault="004848C7" w:rsidP="004848C7">
            <w:pPr>
              <w:rPr>
                <w:lang w:val="fr-BE"/>
              </w:rPr>
            </w:pPr>
            <w:r w:rsidRPr="00927455">
              <w:rPr>
                <w:lang w:val="fr-BE"/>
              </w:rPr>
              <w:t>Les appareils de combustion ne peuvent pas être installés dans les cages d’escaliers et les chemins d’évacuations.</w:t>
            </w:r>
          </w:p>
          <w:p w14:paraId="02748C11" w14:textId="6BD8FE3C" w:rsidR="004848C7" w:rsidRPr="00927455" w:rsidRDefault="004848C7" w:rsidP="004848C7">
            <w:pPr>
              <w:rPr>
                <w:lang w:val="fr-BE"/>
              </w:rPr>
            </w:pPr>
          </w:p>
        </w:tc>
      </w:tr>
      <w:tr w:rsidR="004848C7" w:rsidRPr="00754BD6" w14:paraId="0D3DA33C" w14:textId="77777777" w:rsidTr="002C47D6">
        <w:tc>
          <w:tcPr>
            <w:tcW w:w="4538" w:type="dxa"/>
          </w:tcPr>
          <w:p w14:paraId="1993B1B4" w14:textId="111A6BD1" w:rsidR="004848C7" w:rsidRPr="00927455" w:rsidRDefault="004848C7" w:rsidP="004848C7"/>
        </w:tc>
        <w:tc>
          <w:tcPr>
            <w:tcW w:w="4524" w:type="dxa"/>
          </w:tcPr>
          <w:p w14:paraId="5EB0D20B" w14:textId="77777777" w:rsidR="004848C7" w:rsidRPr="00927455" w:rsidRDefault="004848C7" w:rsidP="004848C7">
            <w:pPr>
              <w:rPr>
                <w:b/>
                <w:lang w:val="fr-BE"/>
              </w:rPr>
            </w:pPr>
            <w:r w:rsidRPr="00927455">
              <w:rPr>
                <w:b/>
                <w:lang w:val="fr-BE"/>
              </w:rPr>
              <w:t>4.4 Installations pour le stockage et la détente de gaz de pétrole liquéfié</w:t>
            </w:r>
          </w:p>
          <w:p w14:paraId="52151118" w14:textId="4BE3012C" w:rsidR="004848C7" w:rsidRPr="00927455" w:rsidRDefault="004848C7" w:rsidP="004848C7">
            <w:pPr>
              <w:rPr>
                <w:lang w:val="fr-BE"/>
              </w:rPr>
            </w:pPr>
          </w:p>
        </w:tc>
      </w:tr>
      <w:tr w:rsidR="004848C7" w:rsidRPr="00754BD6" w14:paraId="60C862AC" w14:textId="77777777" w:rsidTr="002C47D6">
        <w:tc>
          <w:tcPr>
            <w:tcW w:w="4538" w:type="dxa"/>
          </w:tcPr>
          <w:p w14:paraId="1B002AC4" w14:textId="21C0E4C6" w:rsidR="004848C7" w:rsidRPr="00927455" w:rsidRDefault="004848C7" w:rsidP="004848C7"/>
        </w:tc>
        <w:tc>
          <w:tcPr>
            <w:tcW w:w="4524" w:type="dxa"/>
          </w:tcPr>
          <w:p w14:paraId="70743C7E" w14:textId="77777777" w:rsidR="004848C7" w:rsidRPr="00927455" w:rsidRDefault="004848C7" w:rsidP="004848C7">
            <w:pPr>
              <w:jc w:val="both"/>
              <w:rPr>
                <w:lang w:val="fr-BE"/>
              </w:rPr>
            </w:pPr>
            <w:r w:rsidRPr="00927455">
              <w:rPr>
                <w:lang w:val="fr-BE"/>
              </w:rPr>
              <w:t>Les installations pour le stockage et la détente de gaz de pétrole liquéfié, utilisées pour le chauffage du bâtiment et la production d’eau chaude, sont placées en dehors du bâtiment.</w:t>
            </w:r>
          </w:p>
          <w:p w14:paraId="36419BB2" w14:textId="77777777" w:rsidR="004848C7" w:rsidRPr="00927455" w:rsidRDefault="004848C7" w:rsidP="004848C7">
            <w:pPr>
              <w:jc w:val="both"/>
              <w:rPr>
                <w:lang w:val="fr-BE"/>
              </w:rPr>
            </w:pPr>
          </w:p>
          <w:p w14:paraId="6AA89828" w14:textId="77777777" w:rsidR="004848C7" w:rsidRPr="00927455" w:rsidRDefault="004848C7" w:rsidP="004848C7">
            <w:pPr>
              <w:rPr>
                <w:lang w:val="fr-BE"/>
              </w:rPr>
            </w:pPr>
            <w:r w:rsidRPr="00927455">
              <w:rPr>
                <w:lang w:val="fr-BE"/>
              </w:rPr>
              <w:t>Cette prescription n’est pas d’application au(x) détenteur(s) secondaire(s) individuel(s) précédant immédiatement l’appareil de combustion d’une d’installation à double détente qui satisfait aux prescriptions de la norme NBN D 51-006.</w:t>
            </w:r>
          </w:p>
          <w:p w14:paraId="70755846" w14:textId="56D5FF1B" w:rsidR="004848C7" w:rsidRPr="00927455" w:rsidRDefault="004848C7" w:rsidP="004848C7">
            <w:pPr>
              <w:rPr>
                <w:lang w:val="fr-BE"/>
              </w:rPr>
            </w:pPr>
          </w:p>
        </w:tc>
      </w:tr>
      <w:tr w:rsidR="004848C7" w:rsidRPr="00754BD6" w14:paraId="01FBA3D5" w14:textId="77777777" w:rsidTr="002C47D6">
        <w:tc>
          <w:tcPr>
            <w:tcW w:w="4538" w:type="dxa"/>
          </w:tcPr>
          <w:p w14:paraId="15F7ED73" w14:textId="366BE42D" w:rsidR="004848C7" w:rsidRPr="00927455" w:rsidRDefault="004848C7" w:rsidP="004848C7"/>
        </w:tc>
        <w:tc>
          <w:tcPr>
            <w:tcW w:w="4524" w:type="dxa"/>
          </w:tcPr>
          <w:p w14:paraId="604436DB" w14:textId="77777777" w:rsidR="004848C7" w:rsidRPr="00927455" w:rsidRDefault="004848C7" w:rsidP="004848C7">
            <w:pPr>
              <w:rPr>
                <w:b/>
                <w:lang w:val="fr-BE"/>
              </w:rPr>
            </w:pPr>
            <w:r w:rsidRPr="00927455">
              <w:rPr>
                <w:b/>
                <w:lang w:val="fr-BE"/>
              </w:rPr>
              <w:t>4.5 Locaux de chauffe dans lesquels les appareils de combustion ont un débit calorifique cumulé supérieur ou égal à 75 kW</w:t>
            </w:r>
          </w:p>
          <w:p w14:paraId="635D00FC" w14:textId="3E33B219" w:rsidR="004848C7" w:rsidRPr="00927455" w:rsidRDefault="004848C7" w:rsidP="004848C7">
            <w:pPr>
              <w:rPr>
                <w:lang w:val="fr-BE"/>
              </w:rPr>
            </w:pPr>
          </w:p>
        </w:tc>
      </w:tr>
      <w:tr w:rsidR="004848C7" w:rsidRPr="00927455" w14:paraId="6A981538" w14:textId="77777777" w:rsidTr="002C47D6">
        <w:tc>
          <w:tcPr>
            <w:tcW w:w="4538" w:type="dxa"/>
          </w:tcPr>
          <w:p w14:paraId="76FD8D21" w14:textId="7DB70C29" w:rsidR="004848C7" w:rsidRPr="00927455" w:rsidRDefault="004848C7" w:rsidP="004848C7"/>
        </w:tc>
        <w:tc>
          <w:tcPr>
            <w:tcW w:w="4524" w:type="dxa"/>
          </w:tcPr>
          <w:p w14:paraId="7433E4BE" w14:textId="77777777" w:rsidR="004848C7" w:rsidRPr="00927455" w:rsidRDefault="004848C7" w:rsidP="004848C7">
            <w:pPr>
              <w:rPr>
                <w:b/>
                <w:lang w:val="fr-BE"/>
              </w:rPr>
            </w:pPr>
            <w:r w:rsidRPr="00927455">
              <w:rPr>
                <w:b/>
                <w:lang w:val="fr-BE"/>
              </w:rPr>
              <w:t>4.5.1 Equipements autorisés</w:t>
            </w:r>
          </w:p>
          <w:p w14:paraId="781C23D8" w14:textId="6FE66169" w:rsidR="004848C7" w:rsidRPr="00927455" w:rsidRDefault="004848C7" w:rsidP="004848C7">
            <w:pPr>
              <w:rPr>
                <w:lang w:val="fr-BE"/>
              </w:rPr>
            </w:pPr>
          </w:p>
        </w:tc>
      </w:tr>
      <w:tr w:rsidR="004848C7" w:rsidRPr="00754BD6" w14:paraId="2F740B4A" w14:textId="77777777" w:rsidTr="002C47D6">
        <w:tc>
          <w:tcPr>
            <w:tcW w:w="4538" w:type="dxa"/>
          </w:tcPr>
          <w:p w14:paraId="5CEA016A" w14:textId="7481DACD" w:rsidR="004848C7" w:rsidRPr="00927455" w:rsidRDefault="004848C7" w:rsidP="004848C7">
            <w:pPr>
              <w:jc w:val="both"/>
            </w:pPr>
          </w:p>
        </w:tc>
        <w:tc>
          <w:tcPr>
            <w:tcW w:w="4524" w:type="dxa"/>
          </w:tcPr>
          <w:p w14:paraId="3731F7F8" w14:textId="77777777" w:rsidR="004848C7" w:rsidRPr="00927455" w:rsidRDefault="004848C7" w:rsidP="004848C7">
            <w:pPr>
              <w:jc w:val="both"/>
              <w:rPr>
                <w:lang w:val="fr-BE"/>
              </w:rPr>
            </w:pPr>
            <w:r w:rsidRPr="00927455">
              <w:rPr>
                <w:lang w:val="fr-BE"/>
              </w:rPr>
              <w:t>Seuls les équipements suivants sont autorisés dans les locaux de chauffe dans lesquels les appareils de combustion ont un débit calorifique cumulé supérieur ou égal à 75 kW :</w:t>
            </w:r>
          </w:p>
          <w:p w14:paraId="1302BB27" w14:textId="77777777" w:rsidR="004848C7" w:rsidRPr="00927455" w:rsidRDefault="004848C7" w:rsidP="004848C7">
            <w:pPr>
              <w:numPr>
                <w:ilvl w:val="0"/>
                <w:numId w:val="14"/>
              </w:numPr>
              <w:jc w:val="both"/>
              <w:rPr>
                <w:lang w:val="fr-BE"/>
              </w:rPr>
            </w:pPr>
            <w:r w:rsidRPr="00927455">
              <w:rPr>
                <w:lang w:val="fr-BE"/>
              </w:rPr>
              <w:t>équipements directement liés au fonctionnement des appareils de combustion, tels que chargeur, dispositif de manutention des cendres et détenteur secondaire individuel visé par l’exception reprise au point 4.4 ;</w:t>
            </w:r>
          </w:p>
          <w:p w14:paraId="6AD27F10" w14:textId="77777777" w:rsidR="004848C7" w:rsidRPr="00927455" w:rsidRDefault="004848C7" w:rsidP="004848C7">
            <w:pPr>
              <w:numPr>
                <w:ilvl w:val="0"/>
                <w:numId w:val="14"/>
              </w:numPr>
              <w:jc w:val="both"/>
              <w:rPr>
                <w:lang w:val="fr-BE"/>
              </w:rPr>
            </w:pPr>
            <w:r w:rsidRPr="00927455">
              <w:rPr>
                <w:lang w:val="fr-BE"/>
              </w:rPr>
              <w:lastRenderedPageBreak/>
              <w:t>équipements électriques destinés au chauffage central ou à la production d’eau chaude, tels que pompes à chaleur électriques, chaudière électrique et chauffe-eau électrique ;</w:t>
            </w:r>
          </w:p>
          <w:p w14:paraId="286175FC" w14:textId="77777777" w:rsidR="004848C7" w:rsidRPr="00927455" w:rsidRDefault="004848C7" w:rsidP="004848C7">
            <w:pPr>
              <w:numPr>
                <w:ilvl w:val="0"/>
                <w:numId w:val="14"/>
              </w:numPr>
              <w:jc w:val="both"/>
              <w:rPr>
                <w:lang w:val="fr-BE"/>
              </w:rPr>
            </w:pPr>
            <w:r w:rsidRPr="00927455">
              <w:rPr>
                <w:lang w:val="fr-BE"/>
              </w:rPr>
              <w:t>équipements faisant partie de l'installation de chauffage central ou de production d'eau chaude, tels que pompe, circulateur, groupe hydrophore, échangeur de chaleur, accumulateur d'eau chaude, appareil de traitement du combustible (préchauffeur, filtre, pompe, …), débitmètre d’eau et tableau électrique qui dessert uniquement la chaufferie ;</w:t>
            </w:r>
          </w:p>
          <w:p w14:paraId="3DF8110D" w14:textId="77777777" w:rsidR="004848C7" w:rsidRPr="00927455" w:rsidRDefault="004848C7" w:rsidP="004848C7">
            <w:pPr>
              <w:numPr>
                <w:ilvl w:val="0"/>
                <w:numId w:val="14"/>
              </w:numPr>
              <w:jc w:val="both"/>
              <w:rPr>
                <w:lang w:val="fr-BE"/>
              </w:rPr>
            </w:pPr>
            <w:r w:rsidRPr="00927455">
              <w:rPr>
                <w:lang w:val="fr-BE"/>
              </w:rPr>
              <w:t>équipements fonctionnels, tels que éclairage artificiel et compteur gaz, et équipements de sécurité, tels que les moyens d’extinction des incendies, qui desservent uniquement la chaufferie ;</w:t>
            </w:r>
          </w:p>
          <w:p w14:paraId="6C6EFF9C" w14:textId="77777777" w:rsidR="004848C7" w:rsidRPr="00927455" w:rsidRDefault="004848C7" w:rsidP="004848C7">
            <w:pPr>
              <w:numPr>
                <w:ilvl w:val="0"/>
                <w:numId w:val="14"/>
              </w:numPr>
              <w:jc w:val="both"/>
              <w:rPr>
                <w:lang w:val="fr-BE"/>
              </w:rPr>
            </w:pPr>
            <w:r w:rsidRPr="00927455">
              <w:rPr>
                <w:lang w:val="fr-BE"/>
              </w:rPr>
              <w:t>équipements de ventilation qui desservent uniquement la chaufferie ;</w:t>
            </w:r>
          </w:p>
          <w:p w14:paraId="336F8E55" w14:textId="77777777" w:rsidR="004848C7" w:rsidRPr="00927455" w:rsidRDefault="004848C7" w:rsidP="004848C7">
            <w:pPr>
              <w:numPr>
                <w:ilvl w:val="0"/>
                <w:numId w:val="14"/>
              </w:numPr>
              <w:jc w:val="both"/>
              <w:rPr>
                <w:lang w:val="fr-BE"/>
              </w:rPr>
            </w:pPr>
            <w:r w:rsidRPr="00927455">
              <w:rPr>
                <w:lang w:val="fr-BE"/>
              </w:rPr>
              <w:t>équipements de traitement d’eau, tels que filtre et adoucisseur.</w:t>
            </w:r>
          </w:p>
          <w:p w14:paraId="1845239D" w14:textId="0D453785" w:rsidR="004848C7" w:rsidRPr="00927455" w:rsidRDefault="004848C7" w:rsidP="004848C7">
            <w:pPr>
              <w:jc w:val="both"/>
              <w:rPr>
                <w:lang w:val="fr-BE"/>
              </w:rPr>
            </w:pPr>
          </w:p>
        </w:tc>
      </w:tr>
      <w:tr w:rsidR="004848C7" w:rsidRPr="00754BD6" w14:paraId="72A454AA" w14:textId="77777777" w:rsidTr="002C47D6">
        <w:tc>
          <w:tcPr>
            <w:tcW w:w="4538" w:type="dxa"/>
          </w:tcPr>
          <w:p w14:paraId="7A2E0078" w14:textId="3B536EBD" w:rsidR="004848C7" w:rsidRPr="00927455" w:rsidRDefault="004848C7" w:rsidP="004848C7"/>
        </w:tc>
        <w:tc>
          <w:tcPr>
            <w:tcW w:w="4524" w:type="dxa"/>
          </w:tcPr>
          <w:p w14:paraId="5D46D473" w14:textId="77777777" w:rsidR="004848C7" w:rsidRPr="00927455" w:rsidRDefault="004848C7" w:rsidP="004848C7">
            <w:pPr>
              <w:rPr>
                <w:b/>
                <w:bCs/>
                <w:lang w:val="fr-BE"/>
              </w:rPr>
            </w:pPr>
            <w:r w:rsidRPr="00927455">
              <w:rPr>
                <w:b/>
                <w:bCs/>
                <w:lang w:val="fr-BE"/>
              </w:rPr>
              <w:t>4.5.2 Locaux de chauffe alimentés par un combustible gazeux</w:t>
            </w:r>
          </w:p>
          <w:p w14:paraId="51D4FABF" w14:textId="19D36142" w:rsidR="004848C7" w:rsidRPr="00927455" w:rsidRDefault="004848C7" w:rsidP="004848C7">
            <w:pPr>
              <w:rPr>
                <w:lang w:val="fr-BE"/>
              </w:rPr>
            </w:pPr>
          </w:p>
        </w:tc>
      </w:tr>
      <w:tr w:rsidR="000A1527" w:rsidRPr="00927455" w:rsidDel="00661C4C" w14:paraId="78A4A207" w14:textId="77777777" w:rsidTr="002C47D6">
        <w:tc>
          <w:tcPr>
            <w:tcW w:w="4538" w:type="dxa"/>
          </w:tcPr>
          <w:p w14:paraId="17EAFB48" w14:textId="249CBC4D" w:rsidR="000A1527" w:rsidRPr="00927455" w:rsidDel="00661C4C" w:rsidRDefault="000A1527" w:rsidP="000A1527">
            <w:pPr>
              <w:jc w:val="both"/>
            </w:pPr>
          </w:p>
        </w:tc>
        <w:tc>
          <w:tcPr>
            <w:tcW w:w="4524" w:type="dxa"/>
          </w:tcPr>
          <w:p w14:paraId="53D79147" w14:textId="77777777" w:rsidR="000A1527" w:rsidRPr="00927455" w:rsidRDefault="000A1527" w:rsidP="000A1527">
            <w:pPr>
              <w:jc w:val="both"/>
              <w:rPr>
                <w:bCs/>
                <w:lang w:val="fr-BE"/>
              </w:rPr>
            </w:pPr>
            <w:r w:rsidRPr="00927455">
              <w:rPr>
                <w:bCs/>
                <w:lang w:val="fr-BE"/>
              </w:rPr>
              <w:t>4.5.2.1 L’alimentation en énergie (électrique et combustible) du local de chauffe est équipée d’un dispositif de coupure automatique.</w:t>
            </w:r>
          </w:p>
          <w:p w14:paraId="0FED35CD" w14:textId="77777777" w:rsidR="000A1527" w:rsidRPr="00927455" w:rsidRDefault="000A1527" w:rsidP="000A1527">
            <w:pPr>
              <w:jc w:val="both"/>
              <w:rPr>
                <w:bCs/>
                <w:lang w:val="fr-BE"/>
              </w:rPr>
            </w:pPr>
          </w:p>
          <w:p w14:paraId="1A35A742" w14:textId="77777777" w:rsidR="000A1527" w:rsidRPr="00927455" w:rsidRDefault="000A1527" w:rsidP="000A1527">
            <w:pPr>
              <w:jc w:val="both"/>
              <w:rPr>
                <w:bCs/>
                <w:lang w:val="fr-BE"/>
              </w:rPr>
            </w:pPr>
            <w:r w:rsidRPr="00927455">
              <w:rPr>
                <w:bCs/>
                <w:lang w:val="fr-BE"/>
              </w:rPr>
              <w:t>L’interruption automatique de l’alimentation en combustible est assurée par une électrovanne située :</w:t>
            </w:r>
          </w:p>
          <w:p w14:paraId="175E41C8" w14:textId="77777777" w:rsidR="000A1527" w:rsidRPr="00927455" w:rsidRDefault="000A1527" w:rsidP="000A1527">
            <w:pPr>
              <w:numPr>
                <w:ilvl w:val="0"/>
                <w:numId w:val="33"/>
              </w:numPr>
              <w:jc w:val="both"/>
              <w:rPr>
                <w:bCs/>
                <w:lang w:val="fr-BE"/>
              </w:rPr>
            </w:pPr>
            <w:r w:rsidRPr="00927455">
              <w:rPr>
                <w:bCs/>
                <w:lang w:val="fr-BE"/>
              </w:rPr>
              <w:t>soit dans le local de chauffe au débouché de la conduite d’alimentation en gaz;</w:t>
            </w:r>
          </w:p>
          <w:p w14:paraId="4284D62B" w14:textId="77777777" w:rsidR="000A1527" w:rsidRPr="00927455" w:rsidRDefault="000A1527" w:rsidP="000A1527">
            <w:pPr>
              <w:jc w:val="both"/>
              <w:rPr>
                <w:bCs/>
                <w:lang w:val="fr-BE"/>
              </w:rPr>
            </w:pPr>
            <w:r w:rsidRPr="00927455">
              <w:rPr>
                <w:bCs/>
                <w:lang w:val="fr-BE"/>
              </w:rPr>
              <w:t>soit à l’air libre.</w:t>
            </w:r>
          </w:p>
          <w:p w14:paraId="2CB6B759" w14:textId="4344D3F9" w:rsidR="000A1527" w:rsidRPr="00927455" w:rsidDel="00661C4C" w:rsidRDefault="000A1527" w:rsidP="000A1527">
            <w:pPr>
              <w:jc w:val="both"/>
              <w:rPr>
                <w:rFonts w:cs="Times New Roman"/>
                <w:lang w:val="fr-BE" w:eastAsia="nl-NL"/>
              </w:rPr>
            </w:pPr>
          </w:p>
        </w:tc>
      </w:tr>
      <w:tr w:rsidR="000A1527" w:rsidRPr="00754BD6" w:rsidDel="00661C4C" w14:paraId="6E20849A" w14:textId="77777777" w:rsidTr="002C47D6">
        <w:tc>
          <w:tcPr>
            <w:tcW w:w="4538" w:type="dxa"/>
          </w:tcPr>
          <w:p w14:paraId="1CF1018F" w14:textId="1CCCFA6C" w:rsidR="000A1527" w:rsidRPr="00927455" w:rsidDel="00661C4C" w:rsidRDefault="000A1527" w:rsidP="000A1527">
            <w:pPr>
              <w:jc w:val="both"/>
            </w:pPr>
          </w:p>
        </w:tc>
        <w:tc>
          <w:tcPr>
            <w:tcW w:w="4524" w:type="dxa"/>
          </w:tcPr>
          <w:p w14:paraId="3DF8A4F0" w14:textId="77777777" w:rsidR="000A1527" w:rsidRPr="00927455" w:rsidRDefault="000A1527" w:rsidP="000A1527">
            <w:pPr>
              <w:jc w:val="both"/>
              <w:rPr>
                <w:lang w:val="fr-BE"/>
              </w:rPr>
            </w:pPr>
            <w:r w:rsidRPr="00927455">
              <w:rPr>
                <w:lang w:val="fr-BE"/>
              </w:rPr>
              <w:t>4.5.2.2 Le local de chauffe est équipé de deux orifices de ventilation, l’un en haut, l’autre en bas, d’une section d’au moins 4 dm² chacun. Ces orifices de ventilation relient le local de chauffe avec l’air libre, soit de manière directe, soit via un assemblage de conduits. De plus :</w:t>
            </w:r>
          </w:p>
          <w:p w14:paraId="06DC560B" w14:textId="77777777" w:rsidR="000A1527" w:rsidRPr="00927455" w:rsidRDefault="000A1527" w:rsidP="000A1527">
            <w:pPr>
              <w:pStyle w:val="Paragraphedeliste"/>
              <w:numPr>
                <w:ilvl w:val="1"/>
                <w:numId w:val="16"/>
              </w:numPr>
              <w:ind w:left="360"/>
              <w:jc w:val="both"/>
              <w:rPr>
                <w:lang w:val="fr-BE"/>
              </w:rPr>
            </w:pPr>
            <w:r w:rsidRPr="00927455">
              <w:rPr>
                <w:lang w:val="fr-BE"/>
              </w:rPr>
              <w:t>si le combustible est plus léger que l’air :</w:t>
            </w:r>
          </w:p>
          <w:p w14:paraId="4DDDA914" w14:textId="77777777" w:rsidR="000A1527" w:rsidRPr="00927455" w:rsidRDefault="000A1527" w:rsidP="000A1527">
            <w:pPr>
              <w:pStyle w:val="Paragraphedeliste"/>
              <w:numPr>
                <w:ilvl w:val="2"/>
                <w:numId w:val="16"/>
              </w:numPr>
              <w:ind w:left="720"/>
              <w:jc w:val="both"/>
              <w:rPr>
                <w:lang w:val="fr-BE"/>
              </w:rPr>
            </w:pPr>
            <w:r w:rsidRPr="00927455">
              <w:rPr>
                <w:lang w:val="fr-BE"/>
              </w:rPr>
              <w:t>le bord supérieur de l’orifice de ventilation supérieur est situé à moins de 30 cm du point le plus élevé du local de chauffe ;</w:t>
            </w:r>
          </w:p>
          <w:p w14:paraId="4BAC503D" w14:textId="77777777" w:rsidR="000A1527" w:rsidRPr="00927455" w:rsidRDefault="000A1527" w:rsidP="000A1527">
            <w:pPr>
              <w:pStyle w:val="Paragraphedeliste"/>
              <w:numPr>
                <w:ilvl w:val="2"/>
                <w:numId w:val="16"/>
              </w:numPr>
              <w:ind w:left="720"/>
              <w:jc w:val="both"/>
              <w:rPr>
                <w:lang w:val="fr-BE"/>
              </w:rPr>
            </w:pPr>
            <w:r w:rsidRPr="00927455">
              <w:rPr>
                <w:lang w:val="fr-BE"/>
              </w:rPr>
              <w:t xml:space="preserve">le bord inférieur de l’orifice de ventilation inférieur est situé à moins </w:t>
            </w:r>
            <w:r w:rsidRPr="00927455">
              <w:rPr>
                <w:lang w:val="fr-BE"/>
              </w:rPr>
              <w:lastRenderedPageBreak/>
              <w:t>de 30 cm du point le plus bas du local de chauffe</w:t>
            </w:r>
          </w:p>
          <w:p w14:paraId="2C8F042F" w14:textId="77777777" w:rsidR="000A1527" w:rsidRPr="00927455" w:rsidRDefault="000A1527" w:rsidP="000A1527">
            <w:pPr>
              <w:pStyle w:val="Paragraphedeliste"/>
              <w:numPr>
                <w:ilvl w:val="2"/>
                <w:numId w:val="16"/>
              </w:numPr>
              <w:ind w:left="720"/>
              <w:jc w:val="both"/>
              <w:rPr>
                <w:lang w:val="fr-BE"/>
              </w:rPr>
            </w:pPr>
            <w:r w:rsidRPr="00927455">
              <w:rPr>
                <w:lang w:val="fr-BE"/>
              </w:rPr>
              <w:t>le conduit ou l’assemblage de conduits de l’orifice de ventilation supérieur reliant le local de chauffe à l’air libre ne peut comporter de section descendante.</w:t>
            </w:r>
          </w:p>
          <w:p w14:paraId="05A0589E" w14:textId="77777777" w:rsidR="000A1527" w:rsidRPr="00927455" w:rsidRDefault="000A1527" w:rsidP="000A1527">
            <w:pPr>
              <w:pStyle w:val="Paragraphedeliste"/>
              <w:numPr>
                <w:ilvl w:val="1"/>
                <w:numId w:val="16"/>
              </w:numPr>
              <w:ind w:left="360"/>
              <w:jc w:val="both"/>
              <w:rPr>
                <w:lang w:val="fr-BE"/>
              </w:rPr>
            </w:pPr>
            <w:r w:rsidRPr="00927455">
              <w:rPr>
                <w:lang w:val="fr-BE"/>
              </w:rPr>
              <w:t>si le combustible est plus lourd que l’air :</w:t>
            </w:r>
          </w:p>
          <w:p w14:paraId="73745B32" w14:textId="77777777" w:rsidR="000A1527" w:rsidRPr="00927455" w:rsidRDefault="000A1527" w:rsidP="000A1527">
            <w:pPr>
              <w:pStyle w:val="Paragraphedeliste"/>
              <w:numPr>
                <w:ilvl w:val="2"/>
                <w:numId w:val="16"/>
              </w:numPr>
              <w:ind w:left="720"/>
              <w:jc w:val="both"/>
              <w:rPr>
                <w:lang w:val="fr-BE"/>
              </w:rPr>
            </w:pPr>
            <w:r w:rsidRPr="00927455">
              <w:rPr>
                <w:lang w:val="fr-BE"/>
              </w:rPr>
              <w:t>le bord supérieur de l’orifice de ventilation supérieur est situé à moins de 30 cm du point le plus élevé du local de chauffe ;</w:t>
            </w:r>
          </w:p>
          <w:p w14:paraId="51DB7709" w14:textId="77777777" w:rsidR="000A1527" w:rsidRPr="00927455" w:rsidRDefault="000A1527" w:rsidP="000A1527">
            <w:pPr>
              <w:pStyle w:val="Paragraphedeliste"/>
              <w:numPr>
                <w:ilvl w:val="2"/>
                <w:numId w:val="16"/>
              </w:numPr>
              <w:ind w:left="720"/>
              <w:jc w:val="both"/>
              <w:rPr>
                <w:lang w:val="fr-BE"/>
              </w:rPr>
            </w:pPr>
            <w:r w:rsidRPr="00927455">
              <w:rPr>
                <w:lang w:val="fr-BE"/>
              </w:rPr>
              <w:t>le bord inférieur de l’orifice de ventilation inférieur est situé au ras du plancher du local de chauffe ;</w:t>
            </w:r>
          </w:p>
          <w:p w14:paraId="6B72876F" w14:textId="77777777" w:rsidR="000A1527" w:rsidRPr="00927455" w:rsidRDefault="000A1527" w:rsidP="000A1527">
            <w:pPr>
              <w:pStyle w:val="Paragraphedeliste"/>
              <w:numPr>
                <w:ilvl w:val="2"/>
                <w:numId w:val="16"/>
              </w:numPr>
              <w:ind w:left="720"/>
              <w:jc w:val="both"/>
              <w:rPr>
                <w:lang w:val="fr-BE"/>
              </w:rPr>
            </w:pPr>
            <w:r w:rsidRPr="00927455">
              <w:rPr>
                <w:lang w:val="fr-BE"/>
              </w:rPr>
              <w:t>le conduit ou l’assemblage de conduits de l’orifice de ventilation inférieur reliant le local de chauffe à l’air libre ne peut comporter de section montante ;</w:t>
            </w:r>
          </w:p>
          <w:p w14:paraId="23C28E22" w14:textId="77777777" w:rsidR="000A1527" w:rsidRPr="00927455" w:rsidRDefault="000A1527" w:rsidP="000A1527">
            <w:pPr>
              <w:pStyle w:val="Paragraphedeliste"/>
              <w:numPr>
                <w:ilvl w:val="2"/>
                <w:numId w:val="16"/>
              </w:numPr>
              <w:ind w:left="720"/>
              <w:jc w:val="both"/>
              <w:rPr>
                <w:lang w:val="fr-BE"/>
              </w:rPr>
            </w:pPr>
            <w:r w:rsidRPr="00927455">
              <w:rPr>
                <w:lang w:val="fr-BE"/>
              </w:rPr>
              <w:t>les planchers des locaux contigus au local de chauffe et en communication avec celui-ci ne peuvent pas se situer à un niveau inférieur à celui du plancher du local de chauffe.</w:t>
            </w:r>
          </w:p>
          <w:p w14:paraId="79D37BE6" w14:textId="77777777" w:rsidR="000A1527" w:rsidRPr="00927455" w:rsidRDefault="000A1527" w:rsidP="000A1527">
            <w:pPr>
              <w:jc w:val="both"/>
              <w:rPr>
                <w:lang w:val="fr-BE"/>
              </w:rPr>
            </w:pPr>
          </w:p>
          <w:p w14:paraId="6A731225" w14:textId="77777777" w:rsidR="000A1527" w:rsidRPr="00927455" w:rsidRDefault="000A1527" w:rsidP="000A1527">
            <w:pPr>
              <w:jc w:val="both"/>
              <w:rPr>
                <w:lang w:val="fr-BE"/>
              </w:rPr>
            </w:pPr>
            <w:r w:rsidRPr="00927455">
              <w:rPr>
                <w:lang w:val="fr-BE"/>
              </w:rPr>
              <w:t>Les orifices de ventilation peuvent être munis de clapets de ventilation motorisés.</w:t>
            </w:r>
          </w:p>
          <w:p w14:paraId="64D58371" w14:textId="2ED2DCF3" w:rsidR="000A1527" w:rsidRPr="00927455" w:rsidDel="00661C4C" w:rsidRDefault="000A1527" w:rsidP="000A1527">
            <w:pPr>
              <w:jc w:val="both"/>
              <w:rPr>
                <w:rFonts w:cs="Times New Roman"/>
                <w:lang w:val="fr-BE" w:eastAsia="nl-NL"/>
              </w:rPr>
            </w:pPr>
          </w:p>
        </w:tc>
      </w:tr>
      <w:tr w:rsidR="000A1527" w:rsidRPr="00754BD6" w:rsidDel="00661C4C" w14:paraId="172310FA" w14:textId="77777777" w:rsidTr="002C47D6">
        <w:tc>
          <w:tcPr>
            <w:tcW w:w="4538" w:type="dxa"/>
          </w:tcPr>
          <w:p w14:paraId="280905AF" w14:textId="6117B3E4" w:rsidR="000A1527" w:rsidRPr="00927455" w:rsidDel="00661C4C" w:rsidRDefault="000A1527" w:rsidP="000A1527">
            <w:pPr>
              <w:jc w:val="both"/>
            </w:pPr>
          </w:p>
        </w:tc>
        <w:tc>
          <w:tcPr>
            <w:tcW w:w="4524" w:type="dxa"/>
          </w:tcPr>
          <w:p w14:paraId="14E9D26E" w14:textId="77777777" w:rsidR="000A1527" w:rsidRPr="00927455" w:rsidRDefault="000A1527" w:rsidP="000A1527">
            <w:pPr>
              <w:jc w:val="both"/>
              <w:rPr>
                <w:rFonts w:cs="Times New Roman"/>
                <w:lang w:val="fr-BE" w:eastAsia="nl-NL"/>
              </w:rPr>
            </w:pPr>
            <w:r w:rsidRPr="00927455">
              <w:rPr>
                <w:lang w:val="fr-BE"/>
              </w:rPr>
              <w:t xml:space="preserve">4.5.2.3 L’interruption automatique de l’alimentation en énergie et l’ouverture des éventuels clapets de ventilation motorisés </w:t>
            </w:r>
            <w:r w:rsidRPr="00927455">
              <w:rPr>
                <w:rFonts w:cs="Times New Roman"/>
                <w:lang w:val="fr-BE" w:eastAsia="nl-NL"/>
              </w:rPr>
              <w:t>est commandée des manières suivantes :</w:t>
            </w:r>
          </w:p>
          <w:p w14:paraId="693A8B0B" w14:textId="77777777" w:rsidR="000A1527" w:rsidRPr="00927455" w:rsidRDefault="000A1527" w:rsidP="000A1527">
            <w:pPr>
              <w:pStyle w:val="Paragraphedeliste"/>
              <w:numPr>
                <w:ilvl w:val="0"/>
                <w:numId w:val="15"/>
              </w:numPr>
              <w:jc w:val="both"/>
              <w:rPr>
                <w:lang w:val="fr-BE"/>
              </w:rPr>
            </w:pPr>
            <w:r w:rsidRPr="00927455">
              <w:rPr>
                <w:lang w:val="fr-BE"/>
              </w:rPr>
              <w:t>automatiquement en cas de détection d'une fuite de gaz dans le local de chauffe ;</w:t>
            </w:r>
          </w:p>
          <w:p w14:paraId="05F510F9" w14:textId="77777777" w:rsidR="000A1527" w:rsidRPr="00927455" w:rsidRDefault="000A1527" w:rsidP="000A1527">
            <w:pPr>
              <w:pStyle w:val="Paragraphedeliste"/>
              <w:numPr>
                <w:ilvl w:val="0"/>
                <w:numId w:val="15"/>
              </w:numPr>
              <w:jc w:val="both"/>
              <w:rPr>
                <w:lang w:val="fr-BE"/>
              </w:rPr>
            </w:pPr>
            <w:r w:rsidRPr="00927455">
              <w:rPr>
                <w:lang w:val="fr-BE"/>
              </w:rPr>
              <w:t>automatiquement en cas de détection d'un incendie dans le local de chauffe ;</w:t>
            </w:r>
          </w:p>
          <w:p w14:paraId="0B23E51C" w14:textId="77777777" w:rsidR="000A1527" w:rsidRPr="00927455" w:rsidRDefault="000A1527" w:rsidP="000A1527">
            <w:pPr>
              <w:jc w:val="both"/>
              <w:rPr>
                <w:lang w:val="fr-BE"/>
              </w:rPr>
            </w:pPr>
            <w:r w:rsidRPr="00927455">
              <w:rPr>
                <w:lang w:val="fr-BE"/>
              </w:rPr>
              <w:t>automatiquement en cas de défaillance de la source d’énergie, du dispositif d’alimentation ou du dispositif de commande (appareil à sécurité positive).</w:t>
            </w:r>
          </w:p>
          <w:p w14:paraId="7D2BDF51" w14:textId="326C9885" w:rsidR="000A1527" w:rsidRPr="00927455" w:rsidDel="00661C4C" w:rsidRDefault="000A1527" w:rsidP="000A1527">
            <w:pPr>
              <w:jc w:val="both"/>
              <w:rPr>
                <w:rFonts w:cs="Times New Roman"/>
                <w:lang w:val="fr-BE" w:eastAsia="nl-NL"/>
              </w:rPr>
            </w:pPr>
          </w:p>
        </w:tc>
      </w:tr>
      <w:tr w:rsidR="000A1527" w:rsidRPr="00754BD6" w:rsidDel="00661C4C" w14:paraId="76FAF495" w14:textId="77777777" w:rsidTr="002C47D6">
        <w:tc>
          <w:tcPr>
            <w:tcW w:w="4538" w:type="dxa"/>
          </w:tcPr>
          <w:p w14:paraId="5CEA051D" w14:textId="6A8C49CE" w:rsidR="000A1527" w:rsidRPr="00927455" w:rsidDel="00661C4C" w:rsidRDefault="000A1527" w:rsidP="000A1527">
            <w:pPr>
              <w:jc w:val="both"/>
            </w:pPr>
          </w:p>
        </w:tc>
        <w:tc>
          <w:tcPr>
            <w:tcW w:w="4524" w:type="dxa"/>
          </w:tcPr>
          <w:p w14:paraId="718EBA6F" w14:textId="77777777" w:rsidR="000A1527" w:rsidRPr="00927455" w:rsidRDefault="000A1527" w:rsidP="000A1527">
            <w:pPr>
              <w:jc w:val="both"/>
              <w:rPr>
                <w:lang w:val="fr-BE"/>
              </w:rPr>
            </w:pPr>
            <w:r w:rsidRPr="00927455">
              <w:rPr>
                <w:lang w:val="fr-BE"/>
              </w:rPr>
              <w:t>4.5.2.4 En outre l’alimentation en énergie (électrique et combustible) doit pouvoir être interrompue manuellement via une commande située à l’extérieur du local de chauffe.</w:t>
            </w:r>
          </w:p>
          <w:p w14:paraId="0B9336DA" w14:textId="77777777" w:rsidR="000A1527" w:rsidRPr="00927455" w:rsidRDefault="000A1527" w:rsidP="000A1527">
            <w:pPr>
              <w:jc w:val="both"/>
              <w:rPr>
                <w:lang w:val="fr-BE"/>
              </w:rPr>
            </w:pPr>
          </w:p>
          <w:p w14:paraId="29AC0CDB" w14:textId="77777777" w:rsidR="000A1527" w:rsidRPr="00927455" w:rsidRDefault="000A1527" w:rsidP="000A1527">
            <w:pPr>
              <w:jc w:val="both"/>
              <w:rPr>
                <w:lang w:val="fr-BE"/>
              </w:rPr>
            </w:pPr>
            <w:r w:rsidRPr="00927455">
              <w:rPr>
                <w:lang w:val="fr-BE"/>
              </w:rPr>
              <w:t xml:space="preserve">L’interruption manuelle de l’alimentation en combustible est assurée par un robinet de sectionnement manuel placé dans l’amenée de gaz en direction de la chaufferie, de sorte qu’en cas de danger l’amenée de gaz puisse être actionnée sans outils à l’extérieur de la </w:t>
            </w:r>
            <w:r w:rsidRPr="00927455">
              <w:rPr>
                <w:lang w:val="fr-BE"/>
              </w:rPr>
              <w:lastRenderedPageBreak/>
              <w:t>chaufferie, à un endroit accessible situé en dehors du bâtiment ou un endroit à l’intérieur du bâtiment accessible sans clef, à une distance de maximum 20 m de la chaufferie.</w:t>
            </w:r>
          </w:p>
          <w:p w14:paraId="48760839" w14:textId="77777777" w:rsidR="000A1527" w:rsidRPr="00927455" w:rsidRDefault="000A1527" w:rsidP="000A1527">
            <w:pPr>
              <w:jc w:val="both"/>
              <w:rPr>
                <w:lang w:val="fr-BE"/>
              </w:rPr>
            </w:pPr>
          </w:p>
          <w:p w14:paraId="4BDC3445" w14:textId="77777777" w:rsidR="000A1527" w:rsidRPr="00927455" w:rsidRDefault="000A1527" w:rsidP="000A1527">
            <w:pPr>
              <w:jc w:val="both"/>
              <w:rPr>
                <w:lang w:val="fr-BE"/>
              </w:rPr>
            </w:pPr>
            <w:r w:rsidRPr="00927455">
              <w:rPr>
                <w:lang w:val="fr-BE"/>
              </w:rPr>
              <w:t>Le robinet du compteur de gaz ou du compteur de passage peut remplir la fonction de robinet de sectionnement lorsqu’il répond aux conditions ci-dessus.</w:t>
            </w:r>
          </w:p>
          <w:p w14:paraId="18D32339" w14:textId="6BBCFA53" w:rsidR="000A1527" w:rsidRPr="00927455" w:rsidDel="00661C4C" w:rsidRDefault="000A1527" w:rsidP="000A1527">
            <w:pPr>
              <w:jc w:val="both"/>
              <w:rPr>
                <w:rFonts w:cs="Times New Roman"/>
                <w:lang w:val="fr-BE" w:eastAsia="nl-NL"/>
              </w:rPr>
            </w:pPr>
          </w:p>
        </w:tc>
      </w:tr>
      <w:tr w:rsidR="004848C7" w:rsidRPr="00927455" w14:paraId="24FF62E6" w14:textId="77777777" w:rsidTr="002C47D6">
        <w:tc>
          <w:tcPr>
            <w:tcW w:w="4538" w:type="dxa"/>
          </w:tcPr>
          <w:p w14:paraId="4DFE75F1" w14:textId="5070BDB1" w:rsidR="004848C7" w:rsidRPr="00927455" w:rsidRDefault="004848C7" w:rsidP="004848C7"/>
        </w:tc>
        <w:tc>
          <w:tcPr>
            <w:tcW w:w="4524" w:type="dxa"/>
          </w:tcPr>
          <w:p w14:paraId="65DAD5EA" w14:textId="77777777" w:rsidR="004848C7" w:rsidRPr="00927455" w:rsidRDefault="004848C7" w:rsidP="004848C7">
            <w:pPr>
              <w:rPr>
                <w:b/>
                <w:lang w:val="fr-BE"/>
              </w:rPr>
            </w:pPr>
            <w:r w:rsidRPr="00927455">
              <w:rPr>
                <w:b/>
                <w:lang w:val="fr-BE"/>
              </w:rPr>
              <w:t xml:space="preserve">4.6 </w:t>
            </w:r>
            <w:proofErr w:type="spellStart"/>
            <w:r w:rsidRPr="00927455">
              <w:rPr>
                <w:b/>
                <w:lang w:val="fr-BE"/>
              </w:rPr>
              <w:t>Soutes</w:t>
            </w:r>
            <w:proofErr w:type="spellEnd"/>
            <w:r w:rsidRPr="00927455">
              <w:rPr>
                <w:b/>
                <w:lang w:val="fr-BE"/>
              </w:rPr>
              <w:t xml:space="preserve"> à combustible</w:t>
            </w:r>
          </w:p>
          <w:p w14:paraId="35FF7A30" w14:textId="4D5C37F0" w:rsidR="004848C7" w:rsidRPr="00927455" w:rsidRDefault="004848C7" w:rsidP="004848C7">
            <w:pPr>
              <w:rPr>
                <w:lang w:val="fr-BE"/>
              </w:rPr>
            </w:pPr>
          </w:p>
        </w:tc>
      </w:tr>
      <w:tr w:rsidR="004848C7" w:rsidRPr="00927455" w14:paraId="2BB2D88D" w14:textId="77777777" w:rsidTr="002C47D6">
        <w:tc>
          <w:tcPr>
            <w:tcW w:w="4538" w:type="dxa"/>
          </w:tcPr>
          <w:p w14:paraId="5F2E5BB1" w14:textId="75F2E922" w:rsidR="004848C7" w:rsidRPr="00927455" w:rsidRDefault="004848C7" w:rsidP="004848C7"/>
        </w:tc>
        <w:tc>
          <w:tcPr>
            <w:tcW w:w="4524" w:type="dxa"/>
          </w:tcPr>
          <w:p w14:paraId="0F6DB871" w14:textId="77777777" w:rsidR="004848C7" w:rsidRPr="00927455" w:rsidRDefault="004848C7" w:rsidP="004848C7">
            <w:pPr>
              <w:rPr>
                <w:b/>
                <w:lang w:val="fr-BE"/>
              </w:rPr>
            </w:pPr>
            <w:r w:rsidRPr="00927455">
              <w:rPr>
                <w:b/>
                <w:lang w:val="fr-BE"/>
              </w:rPr>
              <w:t>4.6.1 Equipements autorisés</w:t>
            </w:r>
          </w:p>
          <w:p w14:paraId="1080791C" w14:textId="4A3286E4" w:rsidR="004848C7" w:rsidRPr="00927455" w:rsidRDefault="004848C7" w:rsidP="004848C7">
            <w:pPr>
              <w:rPr>
                <w:lang w:val="fr-BE"/>
              </w:rPr>
            </w:pPr>
          </w:p>
        </w:tc>
      </w:tr>
      <w:tr w:rsidR="004848C7" w:rsidRPr="00754BD6" w14:paraId="1D6BF0E4" w14:textId="77777777" w:rsidTr="002C47D6">
        <w:tc>
          <w:tcPr>
            <w:tcW w:w="4538" w:type="dxa"/>
          </w:tcPr>
          <w:p w14:paraId="22C7436A" w14:textId="2624CFE1" w:rsidR="004848C7" w:rsidRPr="00927455" w:rsidRDefault="004848C7" w:rsidP="004848C7"/>
        </w:tc>
        <w:tc>
          <w:tcPr>
            <w:tcW w:w="4524" w:type="dxa"/>
          </w:tcPr>
          <w:p w14:paraId="418CC9D7" w14:textId="77777777" w:rsidR="004848C7" w:rsidRPr="00927455" w:rsidRDefault="004848C7" w:rsidP="004848C7">
            <w:pPr>
              <w:jc w:val="both"/>
              <w:rPr>
                <w:lang w:val="fr-BE"/>
              </w:rPr>
            </w:pPr>
            <w:r w:rsidRPr="00927455">
              <w:rPr>
                <w:lang w:val="fr-BE"/>
              </w:rPr>
              <w:t xml:space="preserve">Seuls les équipements suivants sont autorisés dans les </w:t>
            </w:r>
            <w:proofErr w:type="spellStart"/>
            <w:r w:rsidRPr="00927455">
              <w:rPr>
                <w:lang w:val="fr-BE"/>
              </w:rPr>
              <w:t>soutes</w:t>
            </w:r>
            <w:proofErr w:type="spellEnd"/>
            <w:r w:rsidRPr="00927455">
              <w:rPr>
                <w:lang w:val="fr-BE"/>
              </w:rPr>
              <w:t xml:space="preserve"> à combustibles :</w:t>
            </w:r>
          </w:p>
          <w:p w14:paraId="512823FB" w14:textId="77777777" w:rsidR="004848C7" w:rsidRPr="00927455" w:rsidRDefault="004848C7" w:rsidP="004848C7">
            <w:pPr>
              <w:numPr>
                <w:ilvl w:val="0"/>
                <w:numId w:val="14"/>
              </w:numPr>
              <w:jc w:val="both"/>
              <w:rPr>
                <w:lang w:val="fr-BE"/>
              </w:rPr>
            </w:pPr>
            <w:r w:rsidRPr="00927455">
              <w:rPr>
                <w:lang w:val="fr-BE"/>
              </w:rPr>
              <w:t>équipements destinés à l'entreposage ou au transport des combustibles ;</w:t>
            </w:r>
          </w:p>
          <w:p w14:paraId="1FF3A1E4" w14:textId="77777777" w:rsidR="004848C7" w:rsidRPr="00927455" w:rsidRDefault="004848C7" w:rsidP="004848C7">
            <w:pPr>
              <w:numPr>
                <w:ilvl w:val="0"/>
                <w:numId w:val="14"/>
              </w:numPr>
              <w:jc w:val="both"/>
              <w:rPr>
                <w:lang w:val="fr-BE"/>
              </w:rPr>
            </w:pPr>
            <w:r w:rsidRPr="00927455">
              <w:rPr>
                <w:lang w:val="fr-BE"/>
              </w:rPr>
              <w:t>équipements fonctionnels, tels que éclairage artificiel et compteur gaz, et équipements de sécurité, tels que les moyens d’extinction des incendies, qui desservent uniquement la chaufferie ;</w:t>
            </w:r>
          </w:p>
          <w:p w14:paraId="045AF9BC" w14:textId="1A829DFD" w:rsidR="004848C7" w:rsidRPr="00927455" w:rsidRDefault="004848C7" w:rsidP="004848C7">
            <w:pPr>
              <w:numPr>
                <w:ilvl w:val="0"/>
                <w:numId w:val="14"/>
              </w:numPr>
              <w:jc w:val="both"/>
              <w:rPr>
                <w:lang w:val="fr-BE"/>
              </w:rPr>
            </w:pPr>
            <w:r w:rsidRPr="00927455">
              <w:rPr>
                <w:lang w:val="fr-BE"/>
              </w:rPr>
              <w:t>équipements de ventilation qui desservent uniquement la chaufferie.</w:t>
            </w:r>
          </w:p>
          <w:p w14:paraId="5171FFB7" w14:textId="7CC7497B" w:rsidR="004848C7" w:rsidRPr="00927455" w:rsidRDefault="004848C7" w:rsidP="004848C7">
            <w:pPr>
              <w:rPr>
                <w:lang w:val="fr-BE"/>
              </w:rPr>
            </w:pPr>
          </w:p>
        </w:tc>
      </w:tr>
      <w:tr w:rsidR="004848C7" w:rsidRPr="00927455" w14:paraId="40B2841E" w14:textId="77777777" w:rsidTr="002C47D6">
        <w:tc>
          <w:tcPr>
            <w:tcW w:w="4538" w:type="dxa"/>
          </w:tcPr>
          <w:p w14:paraId="5B3E8754" w14:textId="287620F5" w:rsidR="004848C7" w:rsidRPr="00927455" w:rsidRDefault="004848C7" w:rsidP="004848C7"/>
        </w:tc>
        <w:tc>
          <w:tcPr>
            <w:tcW w:w="4524" w:type="dxa"/>
          </w:tcPr>
          <w:p w14:paraId="52DCB307" w14:textId="77777777" w:rsidR="004848C7" w:rsidRPr="00927455" w:rsidRDefault="004848C7" w:rsidP="004848C7">
            <w:pPr>
              <w:rPr>
                <w:b/>
                <w:lang w:val="fr-BE"/>
              </w:rPr>
            </w:pPr>
            <w:r w:rsidRPr="00927455">
              <w:rPr>
                <w:b/>
                <w:lang w:val="fr-BE"/>
              </w:rPr>
              <w:t xml:space="preserve">4.6.2 </w:t>
            </w:r>
            <w:proofErr w:type="spellStart"/>
            <w:r w:rsidRPr="00927455">
              <w:rPr>
                <w:b/>
                <w:lang w:val="fr-BE"/>
              </w:rPr>
              <w:t>Soutes</w:t>
            </w:r>
            <w:proofErr w:type="spellEnd"/>
            <w:r w:rsidRPr="00927455">
              <w:rPr>
                <w:b/>
                <w:lang w:val="fr-BE"/>
              </w:rPr>
              <w:t xml:space="preserve"> à combustible liquide</w:t>
            </w:r>
          </w:p>
          <w:p w14:paraId="08DA7B22" w14:textId="14A32C07" w:rsidR="004848C7" w:rsidRPr="00927455" w:rsidRDefault="004848C7" w:rsidP="004848C7">
            <w:pPr>
              <w:rPr>
                <w:lang w:val="fr-BE"/>
              </w:rPr>
            </w:pPr>
          </w:p>
        </w:tc>
      </w:tr>
      <w:tr w:rsidR="004848C7" w:rsidRPr="00754BD6" w14:paraId="103DB688" w14:textId="77777777" w:rsidTr="002C47D6">
        <w:tc>
          <w:tcPr>
            <w:tcW w:w="4538" w:type="dxa"/>
          </w:tcPr>
          <w:p w14:paraId="46C8C28E" w14:textId="227392BC" w:rsidR="004848C7" w:rsidRPr="00927455" w:rsidRDefault="004848C7" w:rsidP="004848C7"/>
        </w:tc>
        <w:tc>
          <w:tcPr>
            <w:tcW w:w="4524" w:type="dxa"/>
          </w:tcPr>
          <w:p w14:paraId="0BDCCAA0" w14:textId="77777777" w:rsidR="004848C7" w:rsidRPr="00927455" w:rsidRDefault="004848C7" w:rsidP="004848C7">
            <w:pPr>
              <w:jc w:val="both"/>
              <w:rPr>
                <w:lang w:val="fr-BE"/>
              </w:rPr>
            </w:pPr>
            <w:r w:rsidRPr="00927455">
              <w:rPr>
                <w:lang w:val="fr-BE"/>
              </w:rPr>
              <w:t xml:space="preserve">Les prescriptions du titre 5 "Dépôts de liquides inflammables" du livre III du code du bien-être au travail sont d’application aux </w:t>
            </w:r>
            <w:proofErr w:type="spellStart"/>
            <w:r w:rsidRPr="00927455">
              <w:rPr>
                <w:lang w:val="fr-BE"/>
              </w:rPr>
              <w:t>soute</w:t>
            </w:r>
            <w:proofErr w:type="spellEnd"/>
            <w:r w:rsidRPr="00927455">
              <w:rPr>
                <w:lang w:val="fr-BE"/>
              </w:rPr>
              <w:t xml:space="preserve"> à combustible.</w:t>
            </w:r>
          </w:p>
          <w:p w14:paraId="30562482" w14:textId="77777777" w:rsidR="004848C7" w:rsidRPr="00927455" w:rsidRDefault="004848C7" w:rsidP="004848C7">
            <w:pPr>
              <w:jc w:val="both"/>
              <w:rPr>
                <w:lang w:val="fr-BE"/>
              </w:rPr>
            </w:pPr>
          </w:p>
          <w:p w14:paraId="73C35488" w14:textId="77777777" w:rsidR="004848C7" w:rsidRPr="00927455" w:rsidRDefault="004848C7" w:rsidP="004848C7">
            <w:pPr>
              <w:jc w:val="both"/>
              <w:rPr>
                <w:lang w:val="fr-BE"/>
              </w:rPr>
            </w:pPr>
            <w:r w:rsidRPr="00927455">
              <w:rPr>
                <w:lang w:val="fr-BE"/>
              </w:rPr>
              <w:t xml:space="preserve">Ces prescriptions sont également d’application </w:t>
            </w:r>
            <w:proofErr w:type="spellStart"/>
            <w:r w:rsidRPr="00927455">
              <w:rPr>
                <w:lang w:val="fr-BE"/>
              </w:rPr>
              <w:t>soute</w:t>
            </w:r>
            <w:proofErr w:type="spellEnd"/>
            <w:r w:rsidRPr="00927455">
              <w:rPr>
                <w:lang w:val="fr-BE"/>
              </w:rPr>
              <w:t xml:space="preserve"> à combustible dans les bâtiments où il n’y a pas de lieux de travail, avec toutefois les modifications suivantes :</w:t>
            </w:r>
          </w:p>
          <w:p w14:paraId="547C6C2A" w14:textId="77777777" w:rsidR="004848C7" w:rsidRPr="00927455" w:rsidRDefault="004848C7" w:rsidP="004848C7">
            <w:pPr>
              <w:pStyle w:val="Paragraphedeliste"/>
              <w:numPr>
                <w:ilvl w:val="0"/>
                <w:numId w:val="17"/>
              </w:numPr>
              <w:jc w:val="both"/>
              <w:rPr>
                <w:lang w:val="fr-BE"/>
              </w:rPr>
            </w:pPr>
            <w:r w:rsidRPr="00927455">
              <w:rPr>
                <w:lang w:val="fr-BE"/>
              </w:rPr>
              <w:t>l’article III.5-8 et le point 2.1 de l’annexe III.5-1, qui renvoient aux prescriptions de l’article 52 du Règlement général pour la protection du travail (RGPT), ne sont pas d’application ;</w:t>
            </w:r>
          </w:p>
          <w:p w14:paraId="711B1F9B" w14:textId="635F2788" w:rsidR="004848C7" w:rsidRPr="00927455" w:rsidRDefault="004848C7" w:rsidP="004848C7">
            <w:pPr>
              <w:pStyle w:val="Paragraphedeliste"/>
              <w:numPr>
                <w:ilvl w:val="0"/>
                <w:numId w:val="17"/>
              </w:numPr>
              <w:jc w:val="both"/>
              <w:rPr>
                <w:lang w:val="fr-BE"/>
              </w:rPr>
            </w:pPr>
            <w:r w:rsidRPr="00927455">
              <w:rPr>
                <w:lang w:val="fr-BE"/>
              </w:rPr>
              <w:t>le gestionnaire du bâtiment tient les rapports des épreuves et essais d'étanchéité à la disposition des fonctionnaires chargés de la surveillance.</w:t>
            </w:r>
          </w:p>
          <w:p w14:paraId="1EDC9B47" w14:textId="1B824EF0" w:rsidR="004848C7" w:rsidRPr="00927455" w:rsidRDefault="004848C7" w:rsidP="004848C7">
            <w:pPr>
              <w:rPr>
                <w:lang w:val="fr-BE"/>
              </w:rPr>
            </w:pPr>
          </w:p>
        </w:tc>
      </w:tr>
      <w:tr w:rsidR="004848C7" w:rsidRPr="00927455" w14:paraId="6F24809A" w14:textId="77777777" w:rsidTr="002C47D6">
        <w:tc>
          <w:tcPr>
            <w:tcW w:w="4538" w:type="dxa"/>
          </w:tcPr>
          <w:p w14:paraId="17DC76F8" w14:textId="5964E9E0" w:rsidR="004848C7" w:rsidRPr="00927455" w:rsidRDefault="004848C7" w:rsidP="004848C7"/>
        </w:tc>
        <w:tc>
          <w:tcPr>
            <w:tcW w:w="4524" w:type="dxa"/>
          </w:tcPr>
          <w:p w14:paraId="0E5290E5" w14:textId="77777777" w:rsidR="004848C7" w:rsidRPr="00927455" w:rsidRDefault="004848C7" w:rsidP="004848C7">
            <w:pPr>
              <w:rPr>
                <w:b/>
                <w:lang w:val="fr-BE"/>
              </w:rPr>
            </w:pPr>
            <w:r w:rsidRPr="00927455">
              <w:rPr>
                <w:b/>
                <w:lang w:val="fr-BE"/>
              </w:rPr>
              <w:t xml:space="preserve">4.6.3 </w:t>
            </w:r>
            <w:proofErr w:type="spellStart"/>
            <w:r w:rsidRPr="00927455">
              <w:rPr>
                <w:b/>
                <w:lang w:val="fr-BE"/>
              </w:rPr>
              <w:t>Soutes</w:t>
            </w:r>
            <w:proofErr w:type="spellEnd"/>
            <w:r w:rsidRPr="00927455">
              <w:rPr>
                <w:b/>
                <w:lang w:val="fr-BE"/>
              </w:rPr>
              <w:t xml:space="preserve"> à combustible solide</w:t>
            </w:r>
          </w:p>
          <w:p w14:paraId="7FCCCEBF" w14:textId="57E88566" w:rsidR="004848C7" w:rsidRPr="00927455" w:rsidRDefault="004848C7" w:rsidP="004848C7">
            <w:pPr>
              <w:rPr>
                <w:lang w:val="fr-BE"/>
              </w:rPr>
            </w:pPr>
          </w:p>
        </w:tc>
      </w:tr>
      <w:tr w:rsidR="004848C7" w:rsidRPr="00754BD6" w14:paraId="5916F6F8" w14:textId="77777777" w:rsidTr="002C47D6">
        <w:tc>
          <w:tcPr>
            <w:tcW w:w="4538" w:type="dxa"/>
          </w:tcPr>
          <w:p w14:paraId="02DACA9E" w14:textId="0F68ABDE" w:rsidR="004848C7" w:rsidRPr="00927455" w:rsidRDefault="004848C7" w:rsidP="004848C7"/>
        </w:tc>
        <w:tc>
          <w:tcPr>
            <w:tcW w:w="4524" w:type="dxa"/>
          </w:tcPr>
          <w:p w14:paraId="2463B9AC" w14:textId="77777777" w:rsidR="004848C7" w:rsidRPr="00927455" w:rsidRDefault="004848C7" w:rsidP="004848C7">
            <w:pPr>
              <w:rPr>
                <w:b/>
                <w:lang w:val="fr-BE"/>
              </w:rPr>
            </w:pPr>
            <w:r w:rsidRPr="00927455">
              <w:rPr>
                <w:b/>
                <w:lang w:val="fr-BE"/>
              </w:rPr>
              <w:t>4.6.3.1 Protection contre le retour de flamme</w:t>
            </w:r>
          </w:p>
          <w:p w14:paraId="1E9BC666" w14:textId="0CEABD10" w:rsidR="004848C7" w:rsidRPr="00927455" w:rsidRDefault="004848C7" w:rsidP="004848C7">
            <w:pPr>
              <w:rPr>
                <w:lang w:val="fr-BE"/>
              </w:rPr>
            </w:pPr>
          </w:p>
        </w:tc>
      </w:tr>
      <w:tr w:rsidR="004848C7" w:rsidRPr="00754BD6" w14:paraId="763EC1A3" w14:textId="77777777" w:rsidTr="002C47D6">
        <w:tc>
          <w:tcPr>
            <w:tcW w:w="4538" w:type="dxa"/>
          </w:tcPr>
          <w:p w14:paraId="1869E261" w14:textId="76B35DD3" w:rsidR="004848C7" w:rsidRPr="00927455" w:rsidRDefault="004848C7" w:rsidP="004848C7"/>
        </w:tc>
        <w:tc>
          <w:tcPr>
            <w:tcW w:w="4524" w:type="dxa"/>
          </w:tcPr>
          <w:p w14:paraId="0CCEBA30" w14:textId="10CE6190" w:rsidR="004848C7" w:rsidRPr="00927455" w:rsidRDefault="004848C7" w:rsidP="004848C7">
            <w:pPr>
              <w:rPr>
                <w:lang w:val="fr-BE"/>
              </w:rPr>
            </w:pPr>
            <w:r w:rsidRPr="00927455">
              <w:rPr>
                <w:lang w:val="fr-BE"/>
              </w:rPr>
              <w:t xml:space="preserve">Le dispositif de transport entre le local de chauffe et la </w:t>
            </w:r>
            <w:proofErr w:type="spellStart"/>
            <w:r w:rsidRPr="00927455">
              <w:rPr>
                <w:lang w:val="fr-BE"/>
              </w:rPr>
              <w:t>soute</w:t>
            </w:r>
            <w:proofErr w:type="spellEnd"/>
            <w:r w:rsidRPr="00927455">
              <w:rPr>
                <w:lang w:val="fr-BE"/>
              </w:rPr>
              <w:t xml:space="preserve"> à combustible doit être pourvus d’un équipement approprié contre le retour de flamme censé d’empêcher la propagation d</w:t>
            </w:r>
            <w:r w:rsidR="00A31C60" w:rsidRPr="00927455">
              <w:rPr>
                <w:lang w:val="fr-BE"/>
              </w:rPr>
              <w:t>u</w:t>
            </w:r>
            <w:r w:rsidRPr="00927455">
              <w:rPr>
                <w:lang w:val="fr-BE"/>
              </w:rPr>
              <w:t xml:space="preserve"> feu.</w:t>
            </w:r>
          </w:p>
          <w:p w14:paraId="311E6613" w14:textId="2517601B" w:rsidR="004848C7" w:rsidRPr="00927455" w:rsidRDefault="004848C7" w:rsidP="004848C7">
            <w:pPr>
              <w:rPr>
                <w:lang w:val="fr-BE"/>
              </w:rPr>
            </w:pPr>
          </w:p>
        </w:tc>
      </w:tr>
      <w:tr w:rsidR="004848C7" w:rsidRPr="00754BD6" w14:paraId="026EC2D4" w14:textId="77777777" w:rsidTr="002C47D6">
        <w:tc>
          <w:tcPr>
            <w:tcW w:w="4538" w:type="dxa"/>
          </w:tcPr>
          <w:p w14:paraId="29EA2D24" w14:textId="42F9CECC" w:rsidR="004848C7" w:rsidRPr="00927455" w:rsidRDefault="004848C7" w:rsidP="004848C7"/>
        </w:tc>
        <w:tc>
          <w:tcPr>
            <w:tcW w:w="4524" w:type="dxa"/>
          </w:tcPr>
          <w:p w14:paraId="29E61BC0" w14:textId="77777777" w:rsidR="004848C7" w:rsidRPr="00927455" w:rsidRDefault="004848C7" w:rsidP="004848C7">
            <w:pPr>
              <w:rPr>
                <w:b/>
                <w:lang w:val="fr-BE"/>
              </w:rPr>
            </w:pPr>
            <w:r w:rsidRPr="00927455">
              <w:rPr>
                <w:b/>
                <w:lang w:val="fr-BE"/>
              </w:rPr>
              <w:t xml:space="preserve">4.6.3.2 </w:t>
            </w:r>
            <w:proofErr w:type="spellStart"/>
            <w:r w:rsidRPr="00927455">
              <w:rPr>
                <w:b/>
                <w:lang w:val="fr-BE"/>
              </w:rPr>
              <w:t>Soute</w:t>
            </w:r>
            <w:proofErr w:type="spellEnd"/>
            <w:r w:rsidRPr="00927455">
              <w:rPr>
                <w:b/>
                <w:lang w:val="fr-BE"/>
              </w:rPr>
              <w:t xml:space="preserve"> à combustible de grande taille</w:t>
            </w:r>
          </w:p>
          <w:p w14:paraId="17D28616" w14:textId="70DB58AF" w:rsidR="004848C7" w:rsidRPr="00927455" w:rsidRDefault="004848C7" w:rsidP="004848C7">
            <w:pPr>
              <w:rPr>
                <w:lang w:val="fr-BE"/>
              </w:rPr>
            </w:pPr>
          </w:p>
        </w:tc>
      </w:tr>
      <w:tr w:rsidR="004848C7" w:rsidRPr="00754BD6" w14:paraId="0B2AFAA0" w14:textId="77777777" w:rsidTr="002C47D6">
        <w:tc>
          <w:tcPr>
            <w:tcW w:w="4538" w:type="dxa"/>
          </w:tcPr>
          <w:p w14:paraId="3BBFFB92" w14:textId="0F98307F" w:rsidR="000A1527" w:rsidRPr="00927455" w:rsidRDefault="000A1527" w:rsidP="004848C7"/>
        </w:tc>
        <w:tc>
          <w:tcPr>
            <w:tcW w:w="4524" w:type="dxa"/>
          </w:tcPr>
          <w:p w14:paraId="111CF5E0" w14:textId="77777777" w:rsidR="004848C7" w:rsidRPr="00927455" w:rsidRDefault="004848C7" w:rsidP="004848C7">
            <w:pPr>
              <w:jc w:val="both"/>
              <w:rPr>
                <w:lang w:val="fr-BE"/>
              </w:rPr>
            </w:pPr>
            <w:r w:rsidRPr="00927455">
              <w:rPr>
                <w:lang w:val="fr-BE"/>
              </w:rPr>
              <w:t xml:space="preserve">Dans les </w:t>
            </w:r>
            <w:proofErr w:type="spellStart"/>
            <w:r w:rsidRPr="00927455">
              <w:rPr>
                <w:lang w:val="fr-BE"/>
              </w:rPr>
              <w:t>soutes</w:t>
            </w:r>
            <w:proofErr w:type="spellEnd"/>
            <w:r w:rsidRPr="00927455">
              <w:rPr>
                <w:lang w:val="fr-BE"/>
              </w:rPr>
              <w:t xml:space="preserve"> à combustible dont la capacité est telle que la charge calorifique totale de la </w:t>
            </w:r>
            <w:proofErr w:type="spellStart"/>
            <w:r w:rsidRPr="00927455">
              <w:rPr>
                <w:lang w:val="fr-BE"/>
              </w:rPr>
              <w:t>soute</w:t>
            </w:r>
            <w:proofErr w:type="spellEnd"/>
            <w:r w:rsidRPr="00927455">
              <w:rPr>
                <w:lang w:val="fr-BE"/>
              </w:rPr>
              <w:t xml:space="preserve"> à combustible est supérieure à 187,5 GJ :</w:t>
            </w:r>
          </w:p>
          <w:p w14:paraId="35613924" w14:textId="581A7754" w:rsidR="004848C7" w:rsidRPr="00927455" w:rsidRDefault="004848C7" w:rsidP="004848C7">
            <w:pPr>
              <w:pStyle w:val="Paragraphedeliste"/>
              <w:numPr>
                <w:ilvl w:val="0"/>
                <w:numId w:val="18"/>
              </w:numPr>
              <w:jc w:val="both"/>
              <w:rPr>
                <w:lang w:val="fr-BE"/>
              </w:rPr>
            </w:pPr>
            <w:r w:rsidRPr="00927455">
              <w:rPr>
                <w:lang w:val="fr-BE"/>
              </w:rPr>
              <w:t>les appareils doivent être au minimum de catégorie 3 (</w:t>
            </w:r>
            <w:r w:rsidRPr="00927455">
              <w:rPr>
                <w:color w:val="000000"/>
                <w:lang w:val="fr-BE"/>
              </w:rPr>
              <w:t>appareils conçus pour assurer un niveau normal de protection dans un environnement où les atmosphères explosives ont une faible probabilité et pour une courte période) conformément à la règlementation ATEX ;</w:t>
            </w:r>
          </w:p>
          <w:p w14:paraId="452196C6" w14:textId="0A60BA58" w:rsidR="004848C7" w:rsidRPr="00927455" w:rsidRDefault="004848C7" w:rsidP="004848C7">
            <w:pPr>
              <w:pStyle w:val="Paragraphedeliste"/>
              <w:numPr>
                <w:ilvl w:val="0"/>
                <w:numId w:val="18"/>
              </w:numPr>
              <w:jc w:val="both"/>
              <w:rPr>
                <w:lang w:val="fr-BE"/>
              </w:rPr>
            </w:pPr>
            <w:r w:rsidRPr="00927455">
              <w:rPr>
                <w:lang w:val="fr-BE"/>
              </w:rPr>
              <w:t>les appareils électriques doivent être au minimum IP 54.</w:t>
            </w:r>
          </w:p>
          <w:p w14:paraId="0D0E6707" w14:textId="77777777" w:rsidR="004848C7" w:rsidRPr="00927455" w:rsidRDefault="004848C7" w:rsidP="004848C7">
            <w:pPr>
              <w:jc w:val="both"/>
              <w:rPr>
                <w:lang w:val="fr-BE"/>
              </w:rPr>
            </w:pPr>
          </w:p>
          <w:p w14:paraId="16AC10BD" w14:textId="77777777" w:rsidR="000A1527" w:rsidRPr="00927455" w:rsidRDefault="000A1527" w:rsidP="004848C7">
            <w:pPr>
              <w:jc w:val="both"/>
              <w:rPr>
                <w:lang w:val="fr-BE"/>
              </w:rPr>
            </w:pPr>
            <w:r w:rsidRPr="00927455">
              <w:rPr>
                <w:lang w:val="fr-BE"/>
              </w:rPr>
              <w:t xml:space="preserve">En outre, ces </w:t>
            </w:r>
            <w:proofErr w:type="spellStart"/>
            <w:r w:rsidRPr="00927455">
              <w:rPr>
                <w:lang w:val="fr-BE"/>
              </w:rPr>
              <w:t>soutes</w:t>
            </w:r>
            <w:proofErr w:type="spellEnd"/>
            <w:r w:rsidRPr="00927455">
              <w:rPr>
                <w:lang w:val="fr-BE"/>
              </w:rPr>
              <w:t xml:space="preserve"> à combustible doivent être accessible pour permettre l’intervention du service d’incendie et l’évacuation des combustibles après l’extinction d’un incendie.</w:t>
            </w:r>
          </w:p>
          <w:p w14:paraId="4F22F557" w14:textId="03600BA9" w:rsidR="000A1527" w:rsidRPr="00927455" w:rsidRDefault="000A1527" w:rsidP="004848C7">
            <w:pPr>
              <w:jc w:val="both"/>
              <w:rPr>
                <w:lang w:val="fr-BE"/>
              </w:rPr>
            </w:pPr>
          </w:p>
        </w:tc>
      </w:tr>
      <w:tr w:rsidR="004848C7" w:rsidRPr="00754BD6" w14:paraId="4A01DB67" w14:textId="77777777" w:rsidTr="002C47D6">
        <w:tc>
          <w:tcPr>
            <w:tcW w:w="4538" w:type="dxa"/>
          </w:tcPr>
          <w:p w14:paraId="78855C78" w14:textId="383EEC40" w:rsidR="004848C7" w:rsidRPr="00927455" w:rsidRDefault="004848C7" w:rsidP="004848C7"/>
        </w:tc>
        <w:tc>
          <w:tcPr>
            <w:tcW w:w="4524" w:type="dxa"/>
          </w:tcPr>
          <w:p w14:paraId="23C142DC" w14:textId="77777777" w:rsidR="004848C7" w:rsidRPr="00927455" w:rsidRDefault="004848C7" w:rsidP="004848C7">
            <w:pPr>
              <w:rPr>
                <w:b/>
                <w:lang w:val="fr-BE"/>
              </w:rPr>
            </w:pPr>
            <w:r w:rsidRPr="00927455">
              <w:rPr>
                <w:b/>
                <w:lang w:val="fr-BE"/>
              </w:rPr>
              <w:t>4.6.3.3 Dispositions particulières pour les silos de pellets</w:t>
            </w:r>
          </w:p>
          <w:p w14:paraId="2F39731D" w14:textId="31EE7312" w:rsidR="004848C7" w:rsidRPr="00927455" w:rsidRDefault="004848C7" w:rsidP="004848C7">
            <w:pPr>
              <w:rPr>
                <w:lang w:val="fr-BE"/>
              </w:rPr>
            </w:pPr>
          </w:p>
        </w:tc>
      </w:tr>
      <w:tr w:rsidR="004848C7" w:rsidRPr="00754BD6" w14:paraId="4B6C7F02" w14:textId="77777777" w:rsidTr="002C47D6">
        <w:tc>
          <w:tcPr>
            <w:tcW w:w="4538" w:type="dxa"/>
          </w:tcPr>
          <w:p w14:paraId="0EB5CA86" w14:textId="27DC8ABB" w:rsidR="004848C7" w:rsidRPr="00927455" w:rsidRDefault="004848C7" w:rsidP="004848C7"/>
        </w:tc>
        <w:tc>
          <w:tcPr>
            <w:tcW w:w="4524" w:type="dxa"/>
          </w:tcPr>
          <w:p w14:paraId="651D62A8" w14:textId="77777777" w:rsidR="004848C7" w:rsidRPr="00927455" w:rsidRDefault="004848C7" w:rsidP="004848C7">
            <w:pPr>
              <w:rPr>
                <w:lang w:val="fr-BE"/>
              </w:rPr>
            </w:pPr>
            <w:r w:rsidRPr="00927455">
              <w:rPr>
                <w:lang w:val="fr-BE"/>
              </w:rPr>
              <w:t xml:space="preserve">Les pellets sont entreposés dans des silos. Dans le bâtiment, ces silos doivent être placés dans une </w:t>
            </w:r>
            <w:proofErr w:type="spellStart"/>
            <w:r w:rsidRPr="00927455">
              <w:rPr>
                <w:lang w:val="fr-BE"/>
              </w:rPr>
              <w:t>soute</w:t>
            </w:r>
            <w:proofErr w:type="spellEnd"/>
            <w:r w:rsidRPr="00927455">
              <w:rPr>
                <w:lang w:val="fr-BE"/>
              </w:rPr>
              <w:t xml:space="preserve"> à combustible. La </w:t>
            </w:r>
            <w:proofErr w:type="spellStart"/>
            <w:r w:rsidRPr="00927455">
              <w:rPr>
                <w:lang w:val="fr-BE"/>
              </w:rPr>
              <w:t>soute</w:t>
            </w:r>
            <w:proofErr w:type="spellEnd"/>
            <w:r w:rsidRPr="00927455">
              <w:rPr>
                <w:lang w:val="fr-BE"/>
              </w:rPr>
              <w:t xml:space="preserve"> à combustible peut aussi directement assurer la fonction de silo (silo sur mesure).</w:t>
            </w:r>
          </w:p>
          <w:p w14:paraId="6F2722BC" w14:textId="1D83D209" w:rsidR="004848C7" w:rsidRPr="00927455" w:rsidRDefault="004848C7" w:rsidP="004848C7">
            <w:pPr>
              <w:rPr>
                <w:lang w:val="fr-BE"/>
              </w:rPr>
            </w:pPr>
          </w:p>
        </w:tc>
      </w:tr>
      <w:tr w:rsidR="004848C7" w:rsidRPr="00927455" w14:paraId="69D381E5" w14:textId="77777777" w:rsidTr="002C47D6">
        <w:tc>
          <w:tcPr>
            <w:tcW w:w="4538" w:type="dxa"/>
          </w:tcPr>
          <w:p w14:paraId="751CFBAF" w14:textId="25EE008F" w:rsidR="00B1457B" w:rsidRPr="00927455" w:rsidRDefault="00B1457B" w:rsidP="004848C7"/>
        </w:tc>
        <w:tc>
          <w:tcPr>
            <w:tcW w:w="4524" w:type="dxa"/>
          </w:tcPr>
          <w:p w14:paraId="1E108A0A" w14:textId="77777777" w:rsidR="004848C7" w:rsidRPr="00927455" w:rsidRDefault="00B1457B" w:rsidP="004848C7">
            <w:pPr>
              <w:rPr>
                <w:b/>
                <w:lang w:val="fr-BE"/>
              </w:rPr>
            </w:pPr>
            <w:r w:rsidRPr="00927455">
              <w:rPr>
                <w:b/>
                <w:lang w:val="fr-BE"/>
              </w:rPr>
              <w:t xml:space="preserve">4.6.3.3.1 </w:t>
            </w:r>
            <w:r w:rsidR="004848C7" w:rsidRPr="00927455">
              <w:rPr>
                <w:b/>
                <w:lang w:val="fr-BE"/>
              </w:rPr>
              <w:t>Chargement des silos</w:t>
            </w:r>
          </w:p>
          <w:p w14:paraId="73F06EB1" w14:textId="3DE1E4BA" w:rsidR="00B1457B" w:rsidRPr="00927455" w:rsidRDefault="00B1457B" w:rsidP="004848C7">
            <w:pPr>
              <w:rPr>
                <w:lang w:val="fr-BE"/>
              </w:rPr>
            </w:pPr>
          </w:p>
        </w:tc>
      </w:tr>
      <w:tr w:rsidR="004848C7" w:rsidRPr="00754BD6" w14:paraId="2A99DB15" w14:textId="77777777" w:rsidTr="002C47D6">
        <w:tc>
          <w:tcPr>
            <w:tcW w:w="4538" w:type="dxa"/>
          </w:tcPr>
          <w:p w14:paraId="7DCB59B2" w14:textId="638BE11C" w:rsidR="00B1457B" w:rsidRPr="00927455" w:rsidRDefault="00B1457B" w:rsidP="004848C7"/>
        </w:tc>
        <w:tc>
          <w:tcPr>
            <w:tcW w:w="4524" w:type="dxa"/>
          </w:tcPr>
          <w:p w14:paraId="0AF810C8" w14:textId="77777777" w:rsidR="004848C7" w:rsidRPr="00927455" w:rsidRDefault="004848C7" w:rsidP="004848C7">
            <w:pPr>
              <w:jc w:val="both"/>
              <w:rPr>
                <w:lang w:val="fr-BE"/>
              </w:rPr>
            </w:pPr>
            <w:r w:rsidRPr="00927455">
              <w:rPr>
                <w:lang w:val="fr-BE"/>
              </w:rPr>
              <w:t>Dans le cas du remplissage pneumatique, il ne peut y avoir ni surpression ni dépression dans un silo. Il est nécessaire d'équiper la silo d’au moins un raccord pour le soufflage des pellets et un raccord pour l’aspiration.</w:t>
            </w:r>
          </w:p>
          <w:p w14:paraId="69A8753D" w14:textId="77777777" w:rsidR="004848C7" w:rsidRPr="00927455" w:rsidRDefault="004848C7" w:rsidP="004848C7">
            <w:pPr>
              <w:jc w:val="both"/>
              <w:rPr>
                <w:lang w:val="fr-BE"/>
              </w:rPr>
            </w:pPr>
          </w:p>
          <w:p w14:paraId="2E5F9B46" w14:textId="77777777" w:rsidR="004848C7" w:rsidRPr="00927455" w:rsidRDefault="004848C7" w:rsidP="004848C7">
            <w:pPr>
              <w:rPr>
                <w:lang w:val="fr-BE"/>
              </w:rPr>
            </w:pPr>
            <w:r w:rsidRPr="00927455">
              <w:rPr>
                <w:lang w:val="fr-BE"/>
              </w:rPr>
              <w:t xml:space="preserve">Les conduites de transport et leurs suspentes doivent être en acier et raccordées à la borne principale de terre par un conducteur principal d’équipotentialité conformément au </w:t>
            </w:r>
            <w:r w:rsidRPr="00927455">
              <w:rPr>
                <w:rFonts w:cs="Times New Roman"/>
                <w:lang w:val="fr-BE" w:eastAsia="nl-NL"/>
              </w:rPr>
              <w:t>Règlement général sur les installations électriques (R.G.I.E.)</w:t>
            </w:r>
            <w:r w:rsidRPr="00927455">
              <w:rPr>
                <w:lang w:val="fr-BE"/>
              </w:rPr>
              <w:t>.</w:t>
            </w:r>
          </w:p>
          <w:p w14:paraId="7D3D0FF3" w14:textId="30D31F2C" w:rsidR="00B1457B" w:rsidRPr="00927455" w:rsidRDefault="00B1457B" w:rsidP="004848C7">
            <w:pPr>
              <w:rPr>
                <w:lang w:val="fr-BE"/>
              </w:rPr>
            </w:pPr>
          </w:p>
        </w:tc>
      </w:tr>
      <w:tr w:rsidR="004848C7" w:rsidRPr="00927455" w14:paraId="5E469BE3" w14:textId="77777777" w:rsidTr="002C47D6">
        <w:tc>
          <w:tcPr>
            <w:tcW w:w="4538" w:type="dxa"/>
          </w:tcPr>
          <w:p w14:paraId="337E42B9" w14:textId="10C3B0C9" w:rsidR="00B1457B" w:rsidRPr="00927455" w:rsidRDefault="00B1457B" w:rsidP="004848C7"/>
        </w:tc>
        <w:tc>
          <w:tcPr>
            <w:tcW w:w="4524" w:type="dxa"/>
          </w:tcPr>
          <w:p w14:paraId="1231FDA8" w14:textId="77777777" w:rsidR="004848C7" w:rsidRPr="00927455" w:rsidRDefault="00B1457B" w:rsidP="004848C7">
            <w:pPr>
              <w:rPr>
                <w:b/>
                <w:lang w:val="fr-BE"/>
              </w:rPr>
            </w:pPr>
            <w:r w:rsidRPr="00927455">
              <w:rPr>
                <w:b/>
                <w:lang w:val="fr-BE"/>
              </w:rPr>
              <w:t xml:space="preserve">4.6.3.3.2 </w:t>
            </w:r>
            <w:r w:rsidR="004848C7" w:rsidRPr="00927455">
              <w:rPr>
                <w:b/>
                <w:lang w:val="fr-BE"/>
              </w:rPr>
              <w:t>Protection contre les gaz toxiques</w:t>
            </w:r>
          </w:p>
          <w:p w14:paraId="0DD277B2" w14:textId="68514E34" w:rsidR="00B1457B" w:rsidRPr="00927455" w:rsidRDefault="00B1457B" w:rsidP="004848C7">
            <w:pPr>
              <w:rPr>
                <w:lang w:val="fr-BE"/>
              </w:rPr>
            </w:pPr>
          </w:p>
        </w:tc>
      </w:tr>
      <w:tr w:rsidR="004848C7" w:rsidRPr="00754BD6" w14:paraId="37BA90B9" w14:textId="77777777" w:rsidTr="002C47D6">
        <w:tc>
          <w:tcPr>
            <w:tcW w:w="4538" w:type="dxa"/>
          </w:tcPr>
          <w:p w14:paraId="393FC9EF" w14:textId="56CD894E" w:rsidR="00B1457B" w:rsidRPr="00927455" w:rsidRDefault="00B1457B" w:rsidP="004848C7"/>
        </w:tc>
        <w:tc>
          <w:tcPr>
            <w:tcW w:w="4524" w:type="dxa"/>
          </w:tcPr>
          <w:p w14:paraId="400B65AF" w14:textId="77777777" w:rsidR="004848C7" w:rsidRPr="00927455" w:rsidRDefault="004848C7" w:rsidP="004848C7">
            <w:pPr>
              <w:jc w:val="both"/>
              <w:rPr>
                <w:lang w:val="fr-BE"/>
              </w:rPr>
            </w:pPr>
            <w:r w:rsidRPr="00927455">
              <w:rPr>
                <w:lang w:val="fr-BE"/>
              </w:rPr>
              <w:t>Le dégazage des pellets et les dysfonctionnements de l'appareil de combustion peuvent provoquer des dégagements de gaz toxiques, tels que le monoxyde de carbone, dans le silo. Dès lors </w:t>
            </w:r>
            <w:r w:rsidRPr="00927455">
              <w:rPr>
                <w:szCs w:val="16"/>
                <w:lang w:val="fr-BE"/>
              </w:rPr>
              <w:t>l'une des deux dispositions suivantes est d'application :</w:t>
            </w:r>
          </w:p>
          <w:p w14:paraId="1048CE62" w14:textId="77777777" w:rsidR="004848C7" w:rsidRPr="00927455" w:rsidRDefault="004848C7" w:rsidP="004848C7">
            <w:pPr>
              <w:pStyle w:val="Paragraphedeliste"/>
              <w:numPr>
                <w:ilvl w:val="0"/>
                <w:numId w:val="19"/>
              </w:numPr>
              <w:jc w:val="both"/>
              <w:rPr>
                <w:lang w:val="fr-BE"/>
              </w:rPr>
            </w:pPr>
            <w:r w:rsidRPr="00927455">
              <w:rPr>
                <w:lang w:val="fr-BE"/>
              </w:rPr>
              <w:t>soit le silo doit être hermétique ;</w:t>
            </w:r>
          </w:p>
          <w:p w14:paraId="542236FA" w14:textId="77777777" w:rsidR="004848C7" w:rsidRPr="00927455" w:rsidRDefault="004848C7" w:rsidP="004848C7">
            <w:pPr>
              <w:pStyle w:val="Paragraphedeliste"/>
              <w:numPr>
                <w:ilvl w:val="0"/>
                <w:numId w:val="19"/>
              </w:numPr>
              <w:jc w:val="both"/>
              <w:rPr>
                <w:lang w:val="fr-BE"/>
              </w:rPr>
            </w:pPr>
            <w:r w:rsidRPr="00927455">
              <w:rPr>
                <w:lang w:val="fr-BE"/>
              </w:rPr>
              <w:t xml:space="preserve">soit la </w:t>
            </w:r>
            <w:proofErr w:type="spellStart"/>
            <w:r w:rsidRPr="00927455">
              <w:rPr>
                <w:lang w:val="fr-BE"/>
              </w:rPr>
              <w:t>soute</w:t>
            </w:r>
            <w:proofErr w:type="spellEnd"/>
            <w:r w:rsidRPr="00927455">
              <w:rPr>
                <w:lang w:val="fr-BE"/>
              </w:rPr>
              <w:t xml:space="preserve"> à combustible doit être hermétique par rapport au reste du bâtiment et ventilée vers l’extérieur, soit de manière directe, soit via un assemblage de conduits, afin d'éviter l'accumulation de gaz toxiques.</w:t>
            </w:r>
          </w:p>
          <w:p w14:paraId="3FA4098F" w14:textId="77777777" w:rsidR="004848C7" w:rsidRPr="00927455" w:rsidRDefault="004848C7" w:rsidP="004848C7">
            <w:pPr>
              <w:jc w:val="both"/>
              <w:rPr>
                <w:lang w:val="fr-BE"/>
              </w:rPr>
            </w:pPr>
          </w:p>
          <w:p w14:paraId="130F8CA4" w14:textId="77777777" w:rsidR="004848C7" w:rsidRPr="00927455" w:rsidRDefault="004848C7" w:rsidP="004848C7">
            <w:pPr>
              <w:jc w:val="both"/>
              <w:rPr>
                <w:lang w:val="fr-BE"/>
              </w:rPr>
            </w:pPr>
            <w:r w:rsidRPr="00927455">
              <w:rPr>
                <w:lang w:val="fr-BE"/>
              </w:rPr>
              <w:t xml:space="preserve">Une signalisation spécifique est placée à l’entrée de la </w:t>
            </w:r>
            <w:proofErr w:type="spellStart"/>
            <w:r w:rsidRPr="00927455">
              <w:rPr>
                <w:lang w:val="fr-BE"/>
              </w:rPr>
              <w:t>soute</w:t>
            </w:r>
            <w:proofErr w:type="spellEnd"/>
            <w:r w:rsidRPr="00927455">
              <w:rPr>
                <w:lang w:val="fr-BE"/>
              </w:rPr>
              <w:t xml:space="preserve"> à combustible qui indique les règles de sécurité :</w:t>
            </w:r>
          </w:p>
          <w:p w14:paraId="42E96B44" w14:textId="77777777" w:rsidR="00B1457B" w:rsidRPr="00927455" w:rsidRDefault="004848C7" w:rsidP="00B1457B">
            <w:pPr>
              <w:pStyle w:val="Paragraphedeliste"/>
              <w:numPr>
                <w:ilvl w:val="0"/>
                <w:numId w:val="18"/>
              </w:numPr>
              <w:jc w:val="both"/>
              <w:rPr>
                <w:lang w:val="fr-BE"/>
              </w:rPr>
            </w:pPr>
            <w:r w:rsidRPr="00927455">
              <w:rPr>
                <w:lang w:val="fr-BE"/>
              </w:rPr>
              <w:t xml:space="preserve">l’accès à la </w:t>
            </w:r>
            <w:proofErr w:type="spellStart"/>
            <w:r w:rsidRPr="00927455">
              <w:rPr>
                <w:lang w:val="fr-BE"/>
              </w:rPr>
              <w:t>soute</w:t>
            </w:r>
            <w:proofErr w:type="spellEnd"/>
            <w:r w:rsidRPr="00927455">
              <w:rPr>
                <w:lang w:val="fr-BE"/>
              </w:rPr>
              <w:t xml:space="preserve"> à combustible est réservé aux personnes compétentes ;</w:t>
            </w:r>
          </w:p>
          <w:p w14:paraId="63073B3B" w14:textId="46FBBF5F" w:rsidR="004848C7" w:rsidRPr="00927455" w:rsidRDefault="004848C7" w:rsidP="00B1457B">
            <w:pPr>
              <w:pStyle w:val="Paragraphedeliste"/>
              <w:numPr>
                <w:ilvl w:val="0"/>
                <w:numId w:val="18"/>
              </w:numPr>
              <w:jc w:val="both"/>
              <w:rPr>
                <w:lang w:val="fr-BE"/>
              </w:rPr>
            </w:pPr>
            <w:r w:rsidRPr="00927455">
              <w:rPr>
                <w:lang w:val="fr-BE"/>
              </w:rPr>
              <w:t xml:space="preserve">avant d’y pénétrer, la </w:t>
            </w:r>
            <w:proofErr w:type="spellStart"/>
            <w:r w:rsidRPr="00927455">
              <w:rPr>
                <w:lang w:val="fr-BE"/>
              </w:rPr>
              <w:t>soute</w:t>
            </w:r>
            <w:proofErr w:type="spellEnd"/>
            <w:r w:rsidRPr="00927455">
              <w:rPr>
                <w:lang w:val="fr-BE"/>
              </w:rPr>
              <w:t xml:space="preserve"> à combustible doit être aérés de manière à éviter une concentration dangereuse de gaz toxiques.</w:t>
            </w:r>
          </w:p>
          <w:p w14:paraId="5F32B79B" w14:textId="0BDE1CE5" w:rsidR="00B1457B" w:rsidRPr="00927455" w:rsidRDefault="00B1457B" w:rsidP="004848C7">
            <w:pPr>
              <w:rPr>
                <w:lang w:val="fr-BE"/>
              </w:rPr>
            </w:pPr>
          </w:p>
        </w:tc>
      </w:tr>
      <w:tr w:rsidR="004848C7" w:rsidRPr="00754BD6" w14:paraId="3445135B" w14:textId="77777777" w:rsidTr="002C47D6">
        <w:tc>
          <w:tcPr>
            <w:tcW w:w="4538" w:type="dxa"/>
          </w:tcPr>
          <w:p w14:paraId="500A3D2A" w14:textId="23255121" w:rsidR="00B1457B" w:rsidRPr="00927455" w:rsidRDefault="00B1457B" w:rsidP="004848C7"/>
        </w:tc>
        <w:tc>
          <w:tcPr>
            <w:tcW w:w="4524" w:type="dxa"/>
          </w:tcPr>
          <w:p w14:paraId="46559605" w14:textId="77777777" w:rsidR="004848C7" w:rsidRPr="00927455" w:rsidRDefault="00B1457B" w:rsidP="004848C7">
            <w:pPr>
              <w:rPr>
                <w:b/>
                <w:lang w:val="fr-BE"/>
              </w:rPr>
            </w:pPr>
            <w:r w:rsidRPr="00927455">
              <w:rPr>
                <w:b/>
                <w:lang w:val="fr-BE"/>
              </w:rPr>
              <w:t xml:space="preserve">4.7 </w:t>
            </w:r>
            <w:r w:rsidR="004848C7" w:rsidRPr="00927455">
              <w:rPr>
                <w:b/>
                <w:lang w:val="fr-BE"/>
              </w:rPr>
              <w:t xml:space="preserve">Conduites et conduits dans les locaux de chauffe dans lesquels les appareils de combustion ont un débit calorifique cumulé supérieur ou égal à 75 kW  et les </w:t>
            </w:r>
            <w:proofErr w:type="spellStart"/>
            <w:r w:rsidR="004848C7" w:rsidRPr="00927455">
              <w:rPr>
                <w:b/>
                <w:lang w:val="fr-BE"/>
              </w:rPr>
              <w:t>soutes</w:t>
            </w:r>
            <w:proofErr w:type="spellEnd"/>
            <w:r w:rsidR="004848C7" w:rsidRPr="00927455">
              <w:rPr>
                <w:b/>
                <w:lang w:val="fr-BE"/>
              </w:rPr>
              <w:t xml:space="preserve"> à combustibles</w:t>
            </w:r>
          </w:p>
          <w:p w14:paraId="33D95956" w14:textId="109BDC0D" w:rsidR="00B1457B" w:rsidRPr="00927455" w:rsidRDefault="00B1457B" w:rsidP="004848C7">
            <w:pPr>
              <w:rPr>
                <w:lang w:val="fr-BE"/>
              </w:rPr>
            </w:pPr>
          </w:p>
        </w:tc>
      </w:tr>
      <w:tr w:rsidR="004848C7" w:rsidRPr="00754BD6" w14:paraId="4861E697" w14:textId="77777777" w:rsidTr="002C47D6">
        <w:tc>
          <w:tcPr>
            <w:tcW w:w="4538" w:type="dxa"/>
          </w:tcPr>
          <w:p w14:paraId="3AB5CE6C" w14:textId="683049B1" w:rsidR="00B1457B" w:rsidRPr="00927455" w:rsidRDefault="00B1457B" w:rsidP="004848C7"/>
        </w:tc>
        <w:tc>
          <w:tcPr>
            <w:tcW w:w="4524" w:type="dxa"/>
          </w:tcPr>
          <w:p w14:paraId="52A9D6E0" w14:textId="77777777" w:rsidR="004848C7" w:rsidRPr="00927455" w:rsidRDefault="004848C7" w:rsidP="004848C7">
            <w:pPr>
              <w:jc w:val="both"/>
              <w:rPr>
                <w:lang w:val="fr-BE"/>
              </w:rPr>
            </w:pPr>
            <w:r w:rsidRPr="00927455">
              <w:rPr>
                <w:lang w:val="fr-BE"/>
              </w:rPr>
              <w:t>Les conduites de gaz, de fluides, de solides, d’électricité et d’ondes électromagnétiques et les conduits de ventilation, de fumée et d’amenée d’air comburant sont autorisés seulement s’ils ne servent qu’au fonctionnement des équipements installés dans ces chaufferies.</w:t>
            </w:r>
          </w:p>
          <w:p w14:paraId="58A51E33" w14:textId="77777777" w:rsidR="004848C7" w:rsidRPr="00927455" w:rsidRDefault="004848C7" w:rsidP="004848C7">
            <w:pPr>
              <w:jc w:val="both"/>
              <w:rPr>
                <w:lang w:val="fr-BE"/>
              </w:rPr>
            </w:pPr>
          </w:p>
          <w:p w14:paraId="518467AA" w14:textId="77777777" w:rsidR="004848C7" w:rsidRPr="00927455" w:rsidRDefault="004848C7" w:rsidP="004848C7">
            <w:pPr>
              <w:jc w:val="both"/>
              <w:rPr>
                <w:lang w:val="fr-BE"/>
              </w:rPr>
            </w:pPr>
            <w:r w:rsidRPr="00927455">
              <w:rPr>
                <w:lang w:val="fr-BE"/>
              </w:rPr>
              <w:t>Les conduites d’eau et d’évacuation d’eau sont autorisées dans ces chaufferies.</w:t>
            </w:r>
          </w:p>
          <w:p w14:paraId="5F89B621" w14:textId="77777777" w:rsidR="004848C7" w:rsidRPr="00927455" w:rsidRDefault="004848C7" w:rsidP="004848C7">
            <w:pPr>
              <w:jc w:val="both"/>
              <w:rPr>
                <w:lang w:val="fr-BE"/>
              </w:rPr>
            </w:pPr>
          </w:p>
          <w:p w14:paraId="6473E1ED" w14:textId="77777777" w:rsidR="004848C7" w:rsidRPr="00927455" w:rsidRDefault="004848C7" w:rsidP="004848C7">
            <w:pPr>
              <w:rPr>
                <w:lang w:val="fr-BE"/>
              </w:rPr>
            </w:pPr>
            <w:r w:rsidRPr="00927455">
              <w:rPr>
                <w:lang w:val="fr-BE"/>
              </w:rPr>
              <w:t>Tout autre conduite est interdite dans ces chaufferies.</w:t>
            </w:r>
          </w:p>
          <w:p w14:paraId="6BBCE31E" w14:textId="10172F07" w:rsidR="00B1457B" w:rsidRPr="00927455" w:rsidRDefault="00B1457B" w:rsidP="004848C7">
            <w:pPr>
              <w:rPr>
                <w:lang w:val="fr-BE"/>
              </w:rPr>
            </w:pPr>
          </w:p>
        </w:tc>
      </w:tr>
      <w:tr w:rsidR="004848C7" w:rsidRPr="00754BD6" w14:paraId="3CC141A7" w14:textId="77777777" w:rsidTr="002C47D6">
        <w:tc>
          <w:tcPr>
            <w:tcW w:w="4538" w:type="dxa"/>
          </w:tcPr>
          <w:p w14:paraId="69E980C1" w14:textId="07771563" w:rsidR="00B1457B" w:rsidRPr="00927455" w:rsidRDefault="00B1457B" w:rsidP="004848C7"/>
        </w:tc>
        <w:tc>
          <w:tcPr>
            <w:tcW w:w="4524" w:type="dxa"/>
          </w:tcPr>
          <w:p w14:paraId="2D7D4233" w14:textId="77777777" w:rsidR="004848C7" w:rsidRPr="00927455" w:rsidRDefault="00B1457B" w:rsidP="004848C7">
            <w:pPr>
              <w:rPr>
                <w:b/>
                <w:bCs/>
                <w:lang w:val="fr-BE"/>
              </w:rPr>
            </w:pPr>
            <w:r w:rsidRPr="00927455">
              <w:rPr>
                <w:b/>
                <w:bCs/>
                <w:lang w:val="fr-BE"/>
              </w:rPr>
              <w:t xml:space="preserve">4.8 </w:t>
            </w:r>
            <w:r w:rsidR="004848C7" w:rsidRPr="00927455">
              <w:rPr>
                <w:b/>
                <w:bCs/>
                <w:lang w:val="fr-BE"/>
              </w:rPr>
              <w:t>Conduits de fumée et d’amenée d’air comburant</w:t>
            </w:r>
          </w:p>
          <w:p w14:paraId="3DFD62BA" w14:textId="3A0002EE" w:rsidR="00B1457B" w:rsidRPr="00927455" w:rsidRDefault="00B1457B" w:rsidP="004848C7">
            <w:pPr>
              <w:rPr>
                <w:lang w:val="fr-BE"/>
              </w:rPr>
            </w:pPr>
          </w:p>
        </w:tc>
      </w:tr>
      <w:tr w:rsidR="004848C7" w:rsidRPr="00754BD6" w14:paraId="02C8A887" w14:textId="77777777" w:rsidTr="002C47D6">
        <w:tc>
          <w:tcPr>
            <w:tcW w:w="4538" w:type="dxa"/>
          </w:tcPr>
          <w:p w14:paraId="5FC7E8A8" w14:textId="27FCD57A" w:rsidR="00B1457B" w:rsidRPr="00927455" w:rsidRDefault="00B1457B" w:rsidP="004848C7"/>
        </w:tc>
        <w:tc>
          <w:tcPr>
            <w:tcW w:w="4524" w:type="dxa"/>
          </w:tcPr>
          <w:p w14:paraId="203115AE" w14:textId="77777777" w:rsidR="004848C7" w:rsidRPr="00927455" w:rsidRDefault="004848C7" w:rsidP="004848C7">
            <w:pPr>
              <w:jc w:val="both"/>
              <w:rPr>
                <w:lang w:val="fr-BE"/>
              </w:rPr>
            </w:pPr>
            <w:r w:rsidRPr="00927455">
              <w:rPr>
                <w:lang w:val="fr-BE"/>
              </w:rPr>
              <w:t>Les conduits de fumée :</w:t>
            </w:r>
          </w:p>
          <w:p w14:paraId="161967EA" w14:textId="77777777" w:rsidR="004848C7" w:rsidRPr="00927455" w:rsidRDefault="004848C7" w:rsidP="004848C7">
            <w:pPr>
              <w:pStyle w:val="Paragraphedeliste"/>
              <w:numPr>
                <w:ilvl w:val="0"/>
                <w:numId w:val="20"/>
              </w:numPr>
              <w:jc w:val="both"/>
              <w:rPr>
                <w:lang w:val="fr-BE"/>
              </w:rPr>
            </w:pPr>
            <w:r w:rsidRPr="00927455">
              <w:rPr>
                <w:lang w:val="fr-BE"/>
              </w:rPr>
              <w:t>Soit présentent le même degré de résistance au feu que celui exigé pour les gaines techniques ;</w:t>
            </w:r>
          </w:p>
          <w:p w14:paraId="67B43C38" w14:textId="77777777" w:rsidR="004848C7" w:rsidRPr="00927455" w:rsidRDefault="004848C7" w:rsidP="004848C7">
            <w:pPr>
              <w:pStyle w:val="Paragraphedeliste"/>
              <w:numPr>
                <w:ilvl w:val="0"/>
                <w:numId w:val="20"/>
              </w:numPr>
              <w:jc w:val="both"/>
              <w:rPr>
                <w:lang w:val="fr-BE"/>
              </w:rPr>
            </w:pPr>
            <w:r w:rsidRPr="00927455">
              <w:rPr>
                <w:lang w:val="fr-BE"/>
              </w:rPr>
              <w:lastRenderedPageBreak/>
              <w:t>Soit sont placés dans une gaine technique qui leur est propre ;</w:t>
            </w:r>
          </w:p>
          <w:p w14:paraId="087723BD" w14:textId="77777777" w:rsidR="004848C7" w:rsidRPr="00927455" w:rsidRDefault="004848C7" w:rsidP="004848C7">
            <w:pPr>
              <w:pStyle w:val="Paragraphedeliste"/>
              <w:numPr>
                <w:ilvl w:val="0"/>
                <w:numId w:val="20"/>
              </w:numPr>
              <w:jc w:val="both"/>
              <w:rPr>
                <w:lang w:val="fr-BE"/>
              </w:rPr>
            </w:pPr>
            <w:r w:rsidRPr="00927455">
              <w:rPr>
                <w:lang w:val="fr-BE"/>
              </w:rPr>
              <w:t>Soit dans une gaine technique commune à d’autres conduites et conduits, mais séparés de ceux-ci par une paroi EI 30.</w:t>
            </w:r>
          </w:p>
          <w:p w14:paraId="5DA2B2A5" w14:textId="77777777" w:rsidR="004848C7" w:rsidRPr="00927455" w:rsidRDefault="004848C7" w:rsidP="004848C7">
            <w:pPr>
              <w:jc w:val="both"/>
              <w:rPr>
                <w:lang w:val="fr-BE"/>
              </w:rPr>
            </w:pPr>
          </w:p>
          <w:p w14:paraId="45AC4B7E" w14:textId="77777777" w:rsidR="004848C7" w:rsidRPr="00927455" w:rsidRDefault="004848C7" w:rsidP="004848C7">
            <w:pPr>
              <w:jc w:val="both"/>
              <w:rPr>
                <w:lang w:val="fr-BE"/>
              </w:rPr>
            </w:pPr>
            <w:r w:rsidRPr="00927455">
              <w:rPr>
                <w:lang w:val="fr-BE"/>
              </w:rPr>
              <w:t>Dans les cas 2 et 3, les conduits d’amenée d’air comburant peuvent être placé dans la même gaine ou partie de gaine que les conduits de fumée.</w:t>
            </w:r>
          </w:p>
          <w:p w14:paraId="7DD8FBA8" w14:textId="77777777" w:rsidR="004848C7" w:rsidRPr="00927455" w:rsidRDefault="004848C7" w:rsidP="004848C7">
            <w:pPr>
              <w:jc w:val="both"/>
              <w:rPr>
                <w:lang w:val="fr-BE"/>
              </w:rPr>
            </w:pPr>
          </w:p>
          <w:p w14:paraId="083B68E6" w14:textId="77777777" w:rsidR="004848C7" w:rsidRPr="00927455" w:rsidRDefault="004848C7" w:rsidP="004848C7">
            <w:pPr>
              <w:jc w:val="both"/>
              <w:rPr>
                <w:lang w:val="fr-BE"/>
              </w:rPr>
            </w:pPr>
            <w:r w:rsidRPr="00927455">
              <w:rPr>
                <w:lang w:val="fr-BE"/>
              </w:rPr>
              <w:t>La conception, l’installation et la mise en œuvre des conduits de fumée et d’amenée d’air comburant doivent satisfaire aux règles de bonne pratique et aux normes en vigueur en la matière.</w:t>
            </w:r>
          </w:p>
          <w:p w14:paraId="6A34059C" w14:textId="77777777" w:rsidR="004848C7" w:rsidRPr="00927455" w:rsidRDefault="004848C7" w:rsidP="004848C7">
            <w:pPr>
              <w:jc w:val="both"/>
              <w:rPr>
                <w:lang w:val="fr-BE"/>
              </w:rPr>
            </w:pPr>
          </w:p>
          <w:p w14:paraId="24A714BE" w14:textId="77777777" w:rsidR="004848C7" w:rsidRPr="00927455" w:rsidRDefault="004848C7" w:rsidP="004848C7">
            <w:pPr>
              <w:rPr>
                <w:lang w:val="fr-BE"/>
              </w:rPr>
            </w:pPr>
            <w:r w:rsidRPr="00927455">
              <w:rPr>
                <w:lang w:val="fr-BE"/>
              </w:rPr>
              <w:t>Les traversées de parois résistant au feu par des conduits de fumée et d’amenée d’air comburant dont la conception et la réalisation satisfont aux règles de bonne pratique et aux normes en vigueur en la matière sont présumées répondre aux prescriptions du point 3.1 des annexes 2/1, 3/1 et 4/1.</w:t>
            </w:r>
          </w:p>
          <w:p w14:paraId="1335674D" w14:textId="1D0A0679" w:rsidR="00B1457B" w:rsidRPr="00927455" w:rsidRDefault="00B1457B" w:rsidP="004848C7">
            <w:pPr>
              <w:rPr>
                <w:lang w:val="fr-BE"/>
              </w:rPr>
            </w:pPr>
          </w:p>
        </w:tc>
      </w:tr>
      <w:tr w:rsidR="004848C7" w:rsidRPr="00927455" w14:paraId="08D36F08" w14:textId="77777777" w:rsidTr="002C47D6">
        <w:tc>
          <w:tcPr>
            <w:tcW w:w="4538" w:type="dxa"/>
          </w:tcPr>
          <w:p w14:paraId="0D86F8DB" w14:textId="62462A89" w:rsidR="00B1457B" w:rsidRPr="00927455" w:rsidRDefault="00B1457B" w:rsidP="004848C7"/>
        </w:tc>
        <w:tc>
          <w:tcPr>
            <w:tcW w:w="4524" w:type="dxa"/>
          </w:tcPr>
          <w:p w14:paraId="2F8B71F3" w14:textId="77777777" w:rsidR="004848C7" w:rsidRPr="00927455" w:rsidRDefault="00B1457B" w:rsidP="004848C7">
            <w:pPr>
              <w:rPr>
                <w:b/>
                <w:lang w:val="fr-BE"/>
              </w:rPr>
            </w:pPr>
            <w:r w:rsidRPr="00927455">
              <w:rPr>
                <w:b/>
                <w:lang w:val="fr-BE"/>
              </w:rPr>
              <w:t xml:space="preserve">4.9 </w:t>
            </w:r>
            <w:r w:rsidR="004848C7" w:rsidRPr="00927455">
              <w:rPr>
                <w:b/>
                <w:lang w:val="fr-BE"/>
              </w:rPr>
              <w:t>Dispositions dérogatoires</w:t>
            </w:r>
          </w:p>
          <w:p w14:paraId="0E059FE3" w14:textId="3534396A" w:rsidR="00B1457B" w:rsidRPr="00927455" w:rsidRDefault="00B1457B" w:rsidP="004848C7">
            <w:pPr>
              <w:rPr>
                <w:lang w:val="fr-BE"/>
              </w:rPr>
            </w:pPr>
          </w:p>
        </w:tc>
      </w:tr>
      <w:tr w:rsidR="004848C7" w:rsidRPr="00927455" w14:paraId="1625DA46" w14:textId="77777777" w:rsidTr="002C47D6">
        <w:tc>
          <w:tcPr>
            <w:tcW w:w="4538" w:type="dxa"/>
          </w:tcPr>
          <w:p w14:paraId="434008E8" w14:textId="4E04EEE7" w:rsidR="00B1457B" w:rsidRPr="00927455" w:rsidRDefault="00B1457B" w:rsidP="00B1457B">
            <w:pPr>
              <w:jc w:val="both"/>
            </w:pPr>
          </w:p>
        </w:tc>
        <w:tc>
          <w:tcPr>
            <w:tcW w:w="4524" w:type="dxa"/>
          </w:tcPr>
          <w:p w14:paraId="6094ED0A" w14:textId="77777777" w:rsidR="004848C7" w:rsidRPr="00927455" w:rsidRDefault="004848C7" w:rsidP="004848C7">
            <w:pPr>
              <w:jc w:val="both"/>
              <w:rPr>
                <w:lang w:val="fr-BE"/>
              </w:rPr>
            </w:pPr>
            <w:r w:rsidRPr="00927455">
              <w:rPr>
                <w:lang w:val="fr-BE"/>
              </w:rPr>
              <w:t>Pour les bâtiments pour lesquels la demande de construction a été introduite avant le 1</w:t>
            </w:r>
            <w:r w:rsidRPr="00927455">
              <w:rPr>
                <w:vertAlign w:val="superscript"/>
                <w:lang w:val="fr-BE"/>
              </w:rPr>
              <w:t>er</w:t>
            </w:r>
            <w:r w:rsidRPr="00927455">
              <w:rPr>
                <w:lang w:val="fr-BE"/>
              </w:rPr>
              <w:t xml:space="preserve"> juillet 2022, les dispositions dérogatoires suivantes s’appliquent :</w:t>
            </w:r>
          </w:p>
          <w:p w14:paraId="4C5693BD" w14:textId="77777777" w:rsidR="004848C7" w:rsidRPr="00927455" w:rsidRDefault="004848C7" w:rsidP="004848C7">
            <w:pPr>
              <w:jc w:val="both"/>
              <w:rPr>
                <w:lang w:val="fr-BE"/>
              </w:rPr>
            </w:pPr>
          </w:p>
          <w:p w14:paraId="306EA436" w14:textId="77777777" w:rsidR="004848C7" w:rsidRPr="00927455" w:rsidRDefault="004848C7" w:rsidP="004848C7">
            <w:pPr>
              <w:pStyle w:val="Paragraphedeliste"/>
              <w:numPr>
                <w:ilvl w:val="0"/>
                <w:numId w:val="21"/>
              </w:numPr>
              <w:jc w:val="both"/>
              <w:rPr>
                <w:lang w:val="fr-BE"/>
              </w:rPr>
            </w:pPr>
            <w:r w:rsidRPr="00927455">
              <w:rPr>
                <w:lang w:val="fr-BE"/>
              </w:rPr>
              <w:t>Point 4.3 : Pas d’application aux appareils de combustion installés avant le 1</w:t>
            </w:r>
            <w:r w:rsidRPr="00927455">
              <w:rPr>
                <w:vertAlign w:val="superscript"/>
                <w:lang w:val="fr-BE"/>
              </w:rPr>
              <w:t>er</w:t>
            </w:r>
            <w:r w:rsidRPr="00927455">
              <w:rPr>
                <w:lang w:val="fr-BE"/>
              </w:rPr>
              <w:t xml:space="preserve"> juillet 2022 ;</w:t>
            </w:r>
          </w:p>
          <w:p w14:paraId="1F9E6A56" w14:textId="77777777" w:rsidR="004848C7" w:rsidRPr="00927455" w:rsidRDefault="004848C7" w:rsidP="004848C7">
            <w:pPr>
              <w:pStyle w:val="Paragraphedeliste"/>
              <w:numPr>
                <w:ilvl w:val="0"/>
                <w:numId w:val="21"/>
              </w:numPr>
              <w:jc w:val="both"/>
              <w:rPr>
                <w:lang w:val="fr-BE"/>
              </w:rPr>
            </w:pPr>
            <w:r w:rsidRPr="00927455">
              <w:rPr>
                <w:lang w:val="fr-BE"/>
              </w:rPr>
              <w:t>Points 4.5.1 et 4.6.1 : Pas d’application  aux équipements installés avant le 1</w:t>
            </w:r>
            <w:r w:rsidRPr="00927455">
              <w:rPr>
                <w:vertAlign w:val="superscript"/>
                <w:lang w:val="fr-BE"/>
              </w:rPr>
              <w:t>er</w:t>
            </w:r>
            <w:r w:rsidRPr="00927455">
              <w:rPr>
                <w:lang w:val="fr-BE"/>
              </w:rPr>
              <w:t xml:space="preserve"> juillet 2022 ;</w:t>
            </w:r>
          </w:p>
          <w:p w14:paraId="79D06299" w14:textId="10431734" w:rsidR="004848C7" w:rsidRPr="00927455" w:rsidRDefault="004848C7" w:rsidP="005B5D65">
            <w:pPr>
              <w:pStyle w:val="Paragraphedeliste"/>
              <w:numPr>
                <w:ilvl w:val="0"/>
                <w:numId w:val="21"/>
              </w:numPr>
              <w:jc w:val="both"/>
              <w:rPr>
                <w:lang w:val="fr-BE"/>
              </w:rPr>
            </w:pPr>
            <w:r w:rsidRPr="00927455">
              <w:rPr>
                <w:lang w:val="fr-BE"/>
              </w:rPr>
              <w:t>Point</w:t>
            </w:r>
            <w:r w:rsidR="005B5D65" w:rsidRPr="00927455">
              <w:rPr>
                <w:lang w:val="fr-BE"/>
              </w:rPr>
              <w:t>s</w:t>
            </w:r>
            <w:r w:rsidRPr="00927455">
              <w:rPr>
                <w:lang w:val="fr-BE"/>
              </w:rPr>
              <w:t xml:space="preserve"> 4.5.2</w:t>
            </w:r>
            <w:r w:rsidR="005B5D65" w:rsidRPr="00927455">
              <w:rPr>
                <w:lang w:val="fr-BE"/>
              </w:rPr>
              <w:t>.1, 4.5.2.3 et 4.5.2.4</w:t>
            </w:r>
            <w:r w:rsidRPr="00927455">
              <w:rPr>
                <w:lang w:val="fr-BE"/>
              </w:rPr>
              <w:t> : D’application uniquement aux locaux de chauffe où un ou plusieurs appareils de combustion sont installés ou modernisés à partir du 1</w:t>
            </w:r>
            <w:r w:rsidRPr="00927455">
              <w:rPr>
                <w:vertAlign w:val="superscript"/>
                <w:lang w:val="fr-BE"/>
              </w:rPr>
              <w:t>er</w:t>
            </w:r>
            <w:r w:rsidRPr="00927455">
              <w:rPr>
                <w:lang w:val="fr-BE"/>
              </w:rPr>
              <w:t xml:space="preserve"> juillet 2022 ;</w:t>
            </w:r>
          </w:p>
          <w:p w14:paraId="01C2F594" w14:textId="2279ACDE" w:rsidR="004848C7" w:rsidRPr="00927455" w:rsidRDefault="004848C7" w:rsidP="004848C7">
            <w:pPr>
              <w:pStyle w:val="Paragraphedeliste"/>
              <w:numPr>
                <w:ilvl w:val="0"/>
                <w:numId w:val="21"/>
              </w:numPr>
              <w:jc w:val="both"/>
              <w:rPr>
                <w:lang w:val="fr-BE"/>
              </w:rPr>
            </w:pPr>
            <w:r w:rsidRPr="00927455">
              <w:rPr>
                <w:lang w:val="fr-BE"/>
              </w:rPr>
              <w:t xml:space="preserve">Points </w:t>
            </w:r>
            <w:r w:rsidR="005B5D65" w:rsidRPr="00927455">
              <w:rPr>
                <w:lang w:val="fr-BE"/>
              </w:rPr>
              <w:t xml:space="preserve">4.5.2.2, </w:t>
            </w:r>
            <w:r w:rsidRPr="00927455">
              <w:rPr>
                <w:lang w:val="fr-BE"/>
              </w:rPr>
              <w:t>4.6.2, 4.6.3 et 4.7 : Pas d’application.</w:t>
            </w:r>
          </w:p>
          <w:p w14:paraId="0AA279C3" w14:textId="19CDA86C" w:rsidR="00B1457B" w:rsidRPr="00927455" w:rsidRDefault="00B1457B" w:rsidP="00B1457B">
            <w:pPr>
              <w:jc w:val="both"/>
              <w:rPr>
                <w:lang w:val="fr-BE"/>
              </w:rPr>
            </w:pPr>
          </w:p>
        </w:tc>
      </w:tr>
      <w:tr w:rsidR="004848C7" w:rsidRPr="00927455" w14:paraId="3CC4F5DC" w14:textId="77777777" w:rsidTr="002A0E41">
        <w:tc>
          <w:tcPr>
            <w:tcW w:w="4538" w:type="dxa"/>
          </w:tcPr>
          <w:p w14:paraId="1F81CCE5" w14:textId="77777777" w:rsidR="004848C7" w:rsidRPr="00927455" w:rsidRDefault="004848C7" w:rsidP="004848C7">
            <w:pPr>
              <w:rPr>
                <w:b/>
                <w:lang w:val="fr-BE"/>
              </w:rPr>
            </w:pPr>
          </w:p>
        </w:tc>
        <w:tc>
          <w:tcPr>
            <w:tcW w:w="4524" w:type="dxa"/>
          </w:tcPr>
          <w:p w14:paraId="519E30DA" w14:textId="77777777" w:rsidR="004848C7" w:rsidRPr="00927455" w:rsidRDefault="004848C7" w:rsidP="004848C7">
            <w:pPr>
              <w:rPr>
                <w:b/>
                <w:lang w:val="fr-FR"/>
              </w:rPr>
            </w:pPr>
          </w:p>
        </w:tc>
      </w:tr>
      <w:tr w:rsidR="004848C7" w:rsidRPr="00927455" w14:paraId="35284A75" w14:textId="77777777" w:rsidTr="002A0E41">
        <w:tc>
          <w:tcPr>
            <w:tcW w:w="4538" w:type="dxa"/>
          </w:tcPr>
          <w:p w14:paraId="311E22BD" w14:textId="77777777" w:rsidR="004848C7" w:rsidRPr="00927455" w:rsidRDefault="004848C7" w:rsidP="004848C7">
            <w:pPr>
              <w:rPr>
                <w:b/>
              </w:rPr>
            </w:pPr>
          </w:p>
        </w:tc>
        <w:tc>
          <w:tcPr>
            <w:tcW w:w="4524" w:type="dxa"/>
          </w:tcPr>
          <w:p w14:paraId="6C277F01" w14:textId="77777777" w:rsidR="004848C7" w:rsidRPr="00927455" w:rsidRDefault="004848C7" w:rsidP="004848C7">
            <w:pPr>
              <w:rPr>
                <w:b/>
                <w:lang w:val="fr-FR"/>
              </w:rPr>
            </w:pPr>
            <w:r w:rsidRPr="00927455">
              <w:rPr>
                <w:b/>
                <w:lang w:val="fr-FR"/>
              </w:rPr>
              <w:t>Chapitre 9. Dispositions finales</w:t>
            </w:r>
          </w:p>
          <w:p w14:paraId="42403B1B" w14:textId="77777777" w:rsidR="004848C7" w:rsidRPr="00927455" w:rsidRDefault="004848C7" w:rsidP="004848C7">
            <w:pPr>
              <w:rPr>
                <w:b/>
                <w:lang w:val="fr-FR"/>
              </w:rPr>
            </w:pPr>
          </w:p>
        </w:tc>
      </w:tr>
      <w:tr w:rsidR="004848C7" w:rsidRPr="00754BD6" w14:paraId="6A5CAF68" w14:textId="77777777" w:rsidTr="002A0E41">
        <w:tc>
          <w:tcPr>
            <w:tcW w:w="4538" w:type="dxa"/>
          </w:tcPr>
          <w:p w14:paraId="296F5015" w14:textId="77777777" w:rsidR="004848C7" w:rsidRPr="00927455" w:rsidRDefault="004848C7" w:rsidP="004848C7"/>
        </w:tc>
        <w:tc>
          <w:tcPr>
            <w:tcW w:w="4524" w:type="dxa"/>
          </w:tcPr>
          <w:p w14:paraId="2E5FF744" w14:textId="6CFAD305" w:rsidR="004848C7" w:rsidRPr="00927455" w:rsidRDefault="004848C7" w:rsidP="004848C7">
            <w:pPr>
              <w:rPr>
                <w:lang w:val="fr-BE"/>
              </w:rPr>
            </w:pPr>
            <w:r w:rsidRPr="00927455">
              <w:rPr>
                <w:b/>
                <w:lang w:val="fr-BE"/>
              </w:rPr>
              <w:t xml:space="preserve">Art. </w:t>
            </w:r>
            <w:r w:rsidR="00B1457B" w:rsidRPr="00927455">
              <w:rPr>
                <w:b/>
                <w:lang w:val="fr-BE"/>
              </w:rPr>
              <w:t>43</w:t>
            </w:r>
            <w:r w:rsidRPr="00927455">
              <w:rPr>
                <w:b/>
                <w:lang w:val="fr-BE"/>
              </w:rPr>
              <w:t>.</w:t>
            </w:r>
            <w:r w:rsidRPr="00927455">
              <w:rPr>
                <w:lang w:val="fr-BE"/>
              </w:rPr>
              <w:t xml:space="preserve"> Le présent arrêté entre en vigueur le 1er juillet 2022.</w:t>
            </w:r>
          </w:p>
          <w:p w14:paraId="329DCA0A" w14:textId="77777777" w:rsidR="004848C7" w:rsidRPr="00927455" w:rsidRDefault="004848C7" w:rsidP="004848C7">
            <w:pPr>
              <w:rPr>
                <w:lang w:val="fr-BE"/>
              </w:rPr>
            </w:pPr>
          </w:p>
        </w:tc>
      </w:tr>
      <w:tr w:rsidR="004848C7" w:rsidRPr="00754BD6" w14:paraId="1DEFA494" w14:textId="77777777" w:rsidTr="002A0E41">
        <w:tc>
          <w:tcPr>
            <w:tcW w:w="4538" w:type="dxa"/>
          </w:tcPr>
          <w:p w14:paraId="310A7B7B" w14:textId="77777777" w:rsidR="004848C7" w:rsidRPr="00927455" w:rsidRDefault="004848C7" w:rsidP="004848C7"/>
        </w:tc>
        <w:tc>
          <w:tcPr>
            <w:tcW w:w="4524" w:type="dxa"/>
          </w:tcPr>
          <w:p w14:paraId="7A2FFC51" w14:textId="25A1D839" w:rsidR="004848C7" w:rsidRPr="00927455" w:rsidRDefault="004848C7" w:rsidP="004848C7">
            <w:pPr>
              <w:rPr>
                <w:lang w:val="fr-FR"/>
              </w:rPr>
            </w:pPr>
            <w:r w:rsidRPr="00927455">
              <w:rPr>
                <w:b/>
                <w:lang w:val="fr-FR"/>
              </w:rPr>
              <w:t xml:space="preserve">Art. </w:t>
            </w:r>
            <w:r w:rsidR="00B1457B" w:rsidRPr="00927455">
              <w:rPr>
                <w:b/>
                <w:lang w:val="fr-FR"/>
              </w:rPr>
              <w:t>44</w:t>
            </w:r>
            <w:r w:rsidRPr="00927455">
              <w:rPr>
                <w:b/>
                <w:lang w:val="fr-FR"/>
              </w:rPr>
              <w:t>.</w:t>
            </w:r>
            <w:r w:rsidRPr="00927455">
              <w:rPr>
                <w:lang w:val="fr-FR"/>
              </w:rPr>
              <w:t xml:space="preserve"> Le ministre qui a l’Intérieur dans ses attributions est chargé de l’exécution du présent arrêté.</w:t>
            </w:r>
          </w:p>
        </w:tc>
      </w:tr>
      <w:tr w:rsidR="004848C7" w:rsidRPr="00927455" w14:paraId="4D468963" w14:textId="77777777" w:rsidTr="002A0E41">
        <w:tc>
          <w:tcPr>
            <w:tcW w:w="4538" w:type="dxa"/>
          </w:tcPr>
          <w:p w14:paraId="0D898847" w14:textId="520DA5E6" w:rsidR="004848C7" w:rsidRPr="00927455" w:rsidRDefault="004848C7" w:rsidP="004848C7"/>
        </w:tc>
        <w:tc>
          <w:tcPr>
            <w:tcW w:w="4524" w:type="dxa"/>
          </w:tcPr>
          <w:p w14:paraId="703DBC58" w14:textId="77777777" w:rsidR="004848C7" w:rsidRPr="00927455" w:rsidRDefault="004848C7" w:rsidP="004848C7">
            <w:pPr>
              <w:rPr>
                <w:lang w:val="fr-FR"/>
              </w:rPr>
            </w:pPr>
            <w:r w:rsidRPr="00927455">
              <w:rPr>
                <w:lang w:val="fr-FR"/>
              </w:rPr>
              <w:t>Bruxelles, le</w:t>
            </w:r>
          </w:p>
          <w:p w14:paraId="0B6F70C9" w14:textId="77777777" w:rsidR="004848C7" w:rsidRPr="00927455" w:rsidRDefault="004848C7" w:rsidP="004848C7">
            <w:pPr>
              <w:rPr>
                <w:lang w:val="fr-FR"/>
              </w:rPr>
            </w:pPr>
          </w:p>
        </w:tc>
      </w:tr>
      <w:tr w:rsidR="004848C7" w:rsidRPr="00927455" w14:paraId="0997D389" w14:textId="77777777" w:rsidTr="002A0E41">
        <w:trPr>
          <w:cantSplit/>
          <w:trHeight w:val="2835"/>
        </w:trPr>
        <w:tc>
          <w:tcPr>
            <w:tcW w:w="9062" w:type="dxa"/>
            <w:gridSpan w:val="2"/>
          </w:tcPr>
          <w:p w14:paraId="261187EA" w14:textId="77777777" w:rsidR="004848C7" w:rsidRPr="00927455" w:rsidRDefault="004848C7" w:rsidP="004848C7">
            <w:pPr>
              <w:jc w:val="center"/>
              <w:rPr>
                <w:strike/>
                <w:sz w:val="18"/>
                <w:lang w:val="fr-FR"/>
              </w:rPr>
            </w:pPr>
          </w:p>
        </w:tc>
      </w:tr>
      <w:tr w:rsidR="004848C7" w:rsidRPr="00927455" w14:paraId="0325F77F" w14:textId="77777777" w:rsidTr="002A0E41">
        <w:tc>
          <w:tcPr>
            <w:tcW w:w="4538" w:type="dxa"/>
          </w:tcPr>
          <w:p w14:paraId="6E935754" w14:textId="77777777" w:rsidR="004848C7" w:rsidRPr="00927455" w:rsidRDefault="004848C7" w:rsidP="004848C7"/>
        </w:tc>
        <w:tc>
          <w:tcPr>
            <w:tcW w:w="4524" w:type="dxa"/>
          </w:tcPr>
          <w:p w14:paraId="258A13F9" w14:textId="77777777" w:rsidR="004848C7" w:rsidRPr="00927455" w:rsidRDefault="004848C7" w:rsidP="004848C7">
            <w:pPr>
              <w:rPr>
                <w:lang w:val="fr-FR"/>
              </w:rPr>
            </w:pPr>
            <w:r w:rsidRPr="00927455">
              <w:rPr>
                <w:lang w:val="fr-FR"/>
              </w:rPr>
              <w:t>Par le Roi :</w:t>
            </w:r>
          </w:p>
          <w:p w14:paraId="3D2D0502" w14:textId="77777777" w:rsidR="004848C7" w:rsidRPr="00927455" w:rsidRDefault="004848C7" w:rsidP="004848C7">
            <w:pPr>
              <w:rPr>
                <w:lang w:val="fr-FR"/>
              </w:rPr>
            </w:pPr>
          </w:p>
        </w:tc>
      </w:tr>
      <w:tr w:rsidR="004848C7" w:rsidRPr="00927455" w14:paraId="48606428" w14:textId="77777777" w:rsidTr="002A0E41">
        <w:tc>
          <w:tcPr>
            <w:tcW w:w="4538" w:type="dxa"/>
          </w:tcPr>
          <w:p w14:paraId="725290D5" w14:textId="77777777" w:rsidR="004848C7" w:rsidRPr="00927455" w:rsidRDefault="004848C7" w:rsidP="004848C7"/>
        </w:tc>
        <w:tc>
          <w:tcPr>
            <w:tcW w:w="4524" w:type="dxa"/>
          </w:tcPr>
          <w:p w14:paraId="648B203B" w14:textId="77777777" w:rsidR="004848C7" w:rsidRPr="00927455" w:rsidRDefault="004848C7" w:rsidP="004848C7">
            <w:pPr>
              <w:rPr>
                <w:lang w:val="fr-FR"/>
              </w:rPr>
            </w:pPr>
            <w:r w:rsidRPr="00927455">
              <w:rPr>
                <w:lang w:val="fr-FR"/>
              </w:rPr>
              <w:t>La Ministre de l’Intérieur,</w:t>
            </w:r>
          </w:p>
        </w:tc>
      </w:tr>
      <w:tr w:rsidR="004848C7" w:rsidRPr="00927455" w14:paraId="53FF4748" w14:textId="77777777" w:rsidTr="002A0E41">
        <w:trPr>
          <w:cantSplit/>
          <w:trHeight w:val="2835"/>
        </w:trPr>
        <w:tc>
          <w:tcPr>
            <w:tcW w:w="9062" w:type="dxa"/>
            <w:gridSpan w:val="2"/>
          </w:tcPr>
          <w:p w14:paraId="34EF1B83" w14:textId="77777777" w:rsidR="004848C7" w:rsidRPr="00927455" w:rsidRDefault="004848C7" w:rsidP="004848C7">
            <w:pPr>
              <w:jc w:val="center"/>
              <w:rPr>
                <w:strike/>
                <w:sz w:val="18"/>
                <w:lang w:val="fr-FR"/>
              </w:rPr>
            </w:pPr>
          </w:p>
        </w:tc>
      </w:tr>
      <w:tr w:rsidR="004848C7" w:rsidRPr="00927455" w14:paraId="6274773B" w14:textId="77777777" w:rsidTr="002A0E41">
        <w:tc>
          <w:tcPr>
            <w:tcW w:w="9062" w:type="dxa"/>
            <w:gridSpan w:val="2"/>
          </w:tcPr>
          <w:p w14:paraId="035E7512" w14:textId="77777777" w:rsidR="004848C7" w:rsidRPr="00927455" w:rsidRDefault="004848C7" w:rsidP="004848C7">
            <w:pPr>
              <w:jc w:val="center"/>
            </w:pPr>
            <w:r w:rsidRPr="00927455">
              <w:t>Annelies VERLINDEN</w:t>
            </w:r>
          </w:p>
          <w:p w14:paraId="59BDD3D5" w14:textId="77777777" w:rsidR="004848C7" w:rsidRPr="00927455" w:rsidRDefault="004848C7" w:rsidP="004848C7">
            <w:pPr>
              <w:jc w:val="center"/>
            </w:pPr>
          </w:p>
        </w:tc>
      </w:tr>
    </w:tbl>
    <w:p w14:paraId="290EFF02" w14:textId="77777777" w:rsidR="00C10CD5" w:rsidRPr="00927455" w:rsidRDefault="00C10CD5">
      <w:pPr>
        <w:rPr>
          <w:lang w:val="fr-FR"/>
        </w:rPr>
      </w:pPr>
    </w:p>
    <w:p w14:paraId="3F59AAC5" w14:textId="77777777" w:rsidR="00C10CD5" w:rsidRPr="00927455" w:rsidRDefault="00C10CD5">
      <w:pPr>
        <w:rPr>
          <w:lang w:val="fr-FR"/>
        </w:rPr>
      </w:pPr>
      <w:r w:rsidRPr="00927455">
        <w:rPr>
          <w:lang w:val="fr-FR"/>
        </w:rPr>
        <w:br w:type="page"/>
      </w:r>
    </w:p>
    <w:tbl>
      <w:tblPr>
        <w:tblStyle w:val="Grilledutableau"/>
        <w:tblW w:w="0" w:type="auto"/>
        <w:tblLook w:val="04A0" w:firstRow="1" w:lastRow="0" w:firstColumn="1" w:lastColumn="0" w:noHBand="0" w:noVBand="1"/>
      </w:tblPr>
      <w:tblGrid>
        <w:gridCol w:w="4531"/>
      </w:tblGrid>
      <w:tr w:rsidR="007522B5" w:rsidRPr="00754BD6" w14:paraId="67273029" w14:textId="77777777" w:rsidTr="00C10CD5">
        <w:tc>
          <w:tcPr>
            <w:tcW w:w="4531" w:type="dxa"/>
          </w:tcPr>
          <w:p w14:paraId="5B65B03E" w14:textId="48331374" w:rsidR="007522B5" w:rsidRPr="00927455" w:rsidRDefault="007522B5">
            <w:pPr>
              <w:rPr>
                <w:b/>
                <w:lang w:val="fr-BE"/>
              </w:rPr>
            </w:pPr>
            <w:r w:rsidRPr="00927455">
              <w:rPr>
                <w:b/>
                <w:lang w:val="fr-BE"/>
              </w:rPr>
              <w:lastRenderedPageBreak/>
              <w:t xml:space="preserve">Annexe 1 à l’arrêté royal du ** ******** </w:t>
            </w:r>
            <w:r>
              <w:rPr>
                <w:b/>
                <w:lang w:val="fr-BE"/>
              </w:rPr>
              <w:t>2022</w:t>
            </w:r>
            <w:r w:rsidRPr="00927455">
              <w:rPr>
                <w:b/>
                <w:lang w:val="fr-BE"/>
              </w:rPr>
              <w:t xml:space="preserve"> modifiant l'arrêté royal du 7 juillet 1994 fixant les normes de base en matière de prévention contre l'incendie et l'explosion, auxquelles les </w:t>
            </w:r>
            <w:r>
              <w:rPr>
                <w:b/>
                <w:lang w:val="fr-BE"/>
              </w:rPr>
              <w:t>bâtiments</w:t>
            </w:r>
            <w:r w:rsidRPr="00927455">
              <w:rPr>
                <w:b/>
                <w:lang w:val="fr-BE"/>
              </w:rPr>
              <w:t xml:space="preserve"> doivent satisfaire.</w:t>
            </w:r>
          </w:p>
        </w:tc>
      </w:tr>
      <w:tr w:rsidR="007522B5" w:rsidRPr="00754BD6" w14:paraId="1DA57799" w14:textId="77777777" w:rsidTr="00C10CD5">
        <w:tc>
          <w:tcPr>
            <w:tcW w:w="4531" w:type="dxa"/>
          </w:tcPr>
          <w:p w14:paraId="4E1884A4" w14:textId="114E56CC" w:rsidR="007522B5" w:rsidRPr="00927455" w:rsidRDefault="007522B5" w:rsidP="001469AB">
            <w:pPr>
              <w:rPr>
                <w:b/>
                <w:lang w:val="fr-BE"/>
              </w:rPr>
            </w:pPr>
            <w:r w:rsidRPr="00927455">
              <w:rPr>
                <w:b/>
                <w:lang w:val="fr-BE"/>
              </w:rPr>
              <w:t xml:space="preserve">Annexe 2/1 à l’arrêté royal du ** ******** </w:t>
            </w:r>
            <w:r>
              <w:rPr>
                <w:b/>
                <w:lang w:val="fr-BE"/>
              </w:rPr>
              <w:t>2022</w:t>
            </w:r>
            <w:r w:rsidRPr="00927455">
              <w:rPr>
                <w:b/>
                <w:lang w:val="fr-BE"/>
              </w:rPr>
              <w:t xml:space="preserve"> modifiant l'arrêté royal du 7 juillet 1994 fixant les normes de base en matière de prévention contre l'incendie et l'explosion, auxquelles les </w:t>
            </w:r>
            <w:r>
              <w:rPr>
                <w:b/>
                <w:lang w:val="fr-BE"/>
              </w:rPr>
              <w:t>bâtiments</w:t>
            </w:r>
            <w:r w:rsidRPr="00927455">
              <w:rPr>
                <w:b/>
                <w:lang w:val="fr-BE"/>
              </w:rPr>
              <w:t xml:space="preserve"> doivent satisfaire.</w:t>
            </w:r>
          </w:p>
        </w:tc>
      </w:tr>
      <w:tr w:rsidR="007522B5" w:rsidRPr="00927455" w14:paraId="7366C938" w14:textId="77777777" w:rsidTr="00C10CD5">
        <w:tc>
          <w:tcPr>
            <w:tcW w:w="4531" w:type="dxa"/>
          </w:tcPr>
          <w:p w14:paraId="3DF176C9" w14:textId="77777777" w:rsidR="007522B5" w:rsidRPr="00927455" w:rsidRDefault="007522B5">
            <w:pPr>
              <w:rPr>
                <w:b/>
              </w:rPr>
            </w:pPr>
            <w:r w:rsidRPr="00927455">
              <w:rPr>
                <w:b/>
              </w:rPr>
              <w:t xml:space="preserve">ANNEXE 2/1: BATIMENTS BAS </w:t>
            </w:r>
          </w:p>
        </w:tc>
      </w:tr>
      <w:tr w:rsidR="007522B5" w:rsidRPr="00927455" w14:paraId="6AE31F26" w14:textId="77777777" w:rsidTr="00C10CD5">
        <w:tc>
          <w:tcPr>
            <w:tcW w:w="4531" w:type="dxa"/>
          </w:tcPr>
          <w:p w14:paraId="7E1E48FD" w14:textId="77777777" w:rsidR="007522B5" w:rsidRPr="00927455" w:rsidRDefault="007522B5" w:rsidP="00C10CD5">
            <w:pPr>
              <w:rPr>
                <w:i/>
              </w:rPr>
            </w:pPr>
            <w:proofErr w:type="spellStart"/>
            <w:r w:rsidRPr="00927455">
              <w:rPr>
                <w:i/>
              </w:rPr>
              <w:t>Voyez</w:t>
            </w:r>
            <w:proofErr w:type="spellEnd"/>
            <w:r w:rsidRPr="00927455">
              <w:rPr>
                <w:i/>
              </w:rPr>
              <w:t xml:space="preserve"> </w:t>
            </w:r>
            <w:proofErr w:type="spellStart"/>
            <w:r w:rsidRPr="00927455">
              <w:rPr>
                <w:i/>
              </w:rPr>
              <w:t>autre</w:t>
            </w:r>
            <w:proofErr w:type="spellEnd"/>
            <w:r w:rsidRPr="00927455">
              <w:rPr>
                <w:i/>
              </w:rPr>
              <w:t xml:space="preserve"> document</w:t>
            </w:r>
          </w:p>
        </w:tc>
      </w:tr>
      <w:tr w:rsidR="007522B5" w:rsidRPr="00927455" w14:paraId="48D20B36" w14:textId="77777777" w:rsidTr="00C10CD5">
        <w:tc>
          <w:tcPr>
            <w:tcW w:w="4531" w:type="dxa"/>
          </w:tcPr>
          <w:p w14:paraId="6EFF0790" w14:textId="77777777" w:rsidR="007522B5" w:rsidRPr="00927455" w:rsidRDefault="007522B5" w:rsidP="00C10CD5"/>
        </w:tc>
      </w:tr>
    </w:tbl>
    <w:p w14:paraId="3D04DFAC" w14:textId="77777777" w:rsidR="004D353D" w:rsidRPr="00927455" w:rsidRDefault="004D353D"/>
    <w:tbl>
      <w:tblPr>
        <w:tblStyle w:val="Grilledutableau"/>
        <w:tblW w:w="0" w:type="auto"/>
        <w:tblLook w:val="04A0" w:firstRow="1" w:lastRow="0" w:firstColumn="1" w:lastColumn="0" w:noHBand="0" w:noVBand="1"/>
      </w:tblPr>
      <w:tblGrid>
        <w:gridCol w:w="4531"/>
      </w:tblGrid>
      <w:tr w:rsidR="007522B5" w:rsidRPr="00754BD6" w14:paraId="62821E6E" w14:textId="77777777" w:rsidTr="001E3710">
        <w:tc>
          <w:tcPr>
            <w:tcW w:w="4531" w:type="dxa"/>
          </w:tcPr>
          <w:p w14:paraId="2CCA288B" w14:textId="7BCB46A7" w:rsidR="007522B5" w:rsidRPr="00927455" w:rsidRDefault="007522B5" w:rsidP="001E3710">
            <w:pPr>
              <w:rPr>
                <w:b/>
                <w:lang w:val="fr-BE"/>
              </w:rPr>
            </w:pPr>
            <w:r w:rsidRPr="00927455">
              <w:rPr>
                <w:b/>
                <w:lang w:val="fr-BE"/>
              </w:rPr>
              <w:t xml:space="preserve">Annexe 2 à l’arrêté royal du ** ******** </w:t>
            </w:r>
            <w:r>
              <w:rPr>
                <w:b/>
                <w:lang w:val="fr-BE"/>
              </w:rPr>
              <w:t>2022</w:t>
            </w:r>
            <w:r w:rsidRPr="00927455">
              <w:rPr>
                <w:b/>
                <w:lang w:val="fr-BE"/>
              </w:rPr>
              <w:t xml:space="preserve"> modifiant l'arrêté royal du 7 juillet 1994 fixant les normes de base en matière de prévention contre l'incendie et l'explosion, auxquelles les </w:t>
            </w:r>
            <w:r>
              <w:rPr>
                <w:b/>
                <w:lang w:val="fr-BE"/>
              </w:rPr>
              <w:t>bâtiments</w:t>
            </w:r>
            <w:r w:rsidRPr="00927455">
              <w:rPr>
                <w:b/>
                <w:lang w:val="fr-BE"/>
              </w:rPr>
              <w:t xml:space="preserve"> doivent satisfaire.</w:t>
            </w:r>
          </w:p>
        </w:tc>
      </w:tr>
      <w:tr w:rsidR="007522B5" w:rsidRPr="00754BD6" w14:paraId="33D2E633" w14:textId="77777777" w:rsidTr="001E3710">
        <w:tc>
          <w:tcPr>
            <w:tcW w:w="4531" w:type="dxa"/>
          </w:tcPr>
          <w:p w14:paraId="31F58A99" w14:textId="1B868835" w:rsidR="007522B5" w:rsidRPr="00927455" w:rsidRDefault="007522B5" w:rsidP="001E3710">
            <w:pPr>
              <w:rPr>
                <w:b/>
                <w:lang w:val="fr-BE"/>
              </w:rPr>
            </w:pPr>
            <w:r w:rsidRPr="00927455">
              <w:rPr>
                <w:b/>
                <w:lang w:val="fr-BE"/>
              </w:rPr>
              <w:t xml:space="preserve">Annexe 3/1 à l’arrêté royal du ** ******** </w:t>
            </w:r>
            <w:r>
              <w:rPr>
                <w:b/>
                <w:lang w:val="fr-BE"/>
              </w:rPr>
              <w:t>2022</w:t>
            </w:r>
            <w:r w:rsidRPr="00927455">
              <w:rPr>
                <w:b/>
                <w:lang w:val="fr-BE"/>
              </w:rPr>
              <w:t xml:space="preserve"> modifiant l'arrêté royal du 7 juillet 1994 fixant les normes de base en matière de prévention contre l'incendie et l'explosion, auxquelles les </w:t>
            </w:r>
            <w:r>
              <w:rPr>
                <w:b/>
                <w:lang w:val="fr-BE"/>
              </w:rPr>
              <w:t>bâtiments</w:t>
            </w:r>
            <w:r w:rsidRPr="00927455">
              <w:rPr>
                <w:b/>
                <w:lang w:val="fr-BE"/>
              </w:rPr>
              <w:t xml:space="preserve"> doivent satisfaire.</w:t>
            </w:r>
          </w:p>
        </w:tc>
      </w:tr>
      <w:tr w:rsidR="007522B5" w:rsidRPr="00927455" w14:paraId="31EB2714" w14:textId="77777777" w:rsidTr="001E3710">
        <w:tc>
          <w:tcPr>
            <w:tcW w:w="4531" w:type="dxa"/>
          </w:tcPr>
          <w:p w14:paraId="05DAB1FF" w14:textId="77777777" w:rsidR="007522B5" w:rsidRPr="00927455" w:rsidRDefault="007522B5" w:rsidP="001E3710">
            <w:pPr>
              <w:rPr>
                <w:b/>
              </w:rPr>
            </w:pPr>
            <w:r w:rsidRPr="00927455">
              <w:rPr>
                <w:b/>
              </w:rPr>
              <w:t>ANNEXE 3/1: BATIMENTS MOYENS</w:t>
            </w:r>
          </w:p>
        </w:tc>
      </w:tr>
      <w:tr w:rsidR="007522B5" w:rsidRPr="00927455" w14:paraId="2434EF69" w14:textId="77777777" w:rsidTr="001E3710">
        <w:tc>
          <w:tcPr>
            <w:tcW w:w="4531" w:type="dxa"/>
          </w:tcPr>
          <w:p w14:paraId="19EFEBC7" w14:textId="77777777" w:rsidR="007522B5" w:rsidRPr="00927455" w:rsidRDefault="007522B5" w:rsidP="001E3710">
            <w:pPr>
              <w:rPr>
                <w:i/>
              </w:rPr>
            </w:pPr>
            <w:proofErr w:type="spellStart"/>
            <w:r w:rsidRPr="00927455">
              <w:rPr>
                <w:i/>
              </w:rPr>
              <w:t>Voyez</w:t>
            </w:r>
            <w:proofErr w:type="spellEnd"/>
            <w:r w:rsidRPr="00927455">
              <w:rPr>
                <w:i/>
              </w:rPr>
              <w:t xml:space="preserve"> </w:t>
            </w:r>
            <w:proofErr w:type="spellStart"/>
            <w:r w:rsidRPr="00927455">
              <w:rPr>
                <w:i/>
              </w:rPr>
              <w:t>autre</w:t>
            </w:r>
            <w:proofErr w:type="spellEnd"/>
            <w:r w:rsidRPr="00927455">
              <w:rPr>
                <w:i/>
              </w:rPr>
              <w:t xml:space="preserve"> document</w:t>
            </w:r>
          </w:p>
        </w:tc>
      </w:tr>
      <w:tr w:rsidR="007522B5" w:rsidRPr="00927455" w14:paraId="7CA3183D" w14:textId="77777777" w:rsidTr="001E3710">
        <w:tc>
          <w:tcPr>
            <w:tcW w:w="4531" w:type="dxa"/>
          </w:tcPr>
          <w:p w14:paraId="034B5907" w14:textId="77777777" w:rsidR="007522B5" w:rsidRPr="00927455" w:rsidRDefault="007522B5" w:rsidP="001E3710"/>
        </w:tc>
      </w:tr>
      <w:tr w:rsidR="007522B5" w:rsidRPr="00927455" w14:paraId="4E2B7DB7" w14:textId="77777777" w:rsidTr="001E3710">
        <w:tc>
          <w:tcPr>
            <w:tcW w:w="4531" w:type="dxa"/>
          </w:tcPr>
          <w:p w14:paraId="65F39F19" w14:textId="77777777" w:rsidR="007522B5" w:rsidRPr="00927455" w:rsidRDefault="007522B5" w:rsidP="001E3710"/>
        </w:tc>
      </w:tr>
    </w:tbl>
    <w:p w14:paraId="7582A414" w14:textId="77777777" w:rsidR="000678EE" w:rsidRPr="00927455" w:rsidRDefault="000678EE"/>
    <w:tbl>
      <w:tblPr>
        <w:tblStyle w:val="Grilledutableau"/>
        <w:tblW w:w="0" w:type="auto"/>
        <w:tblLook w:val="04A0" w:firstRow="1" w:lastRow="0" w:firstColumn="1" w:lastColumn="0" w:noHBand="0" w:noVBand="1"/>
      </w:tblPr>
      <w:tblGrid>
        <w:gridCol w:w="4531"/>
      </w:tblGrid>
      <w:tr w:rsidR="007522B5" w:rsidRPr="00754BD6" w14:paraId="05913D4C" w14:textId="77777777" w:rsidTr="001E3710">
        <w:tc>
          <w:tcPr>
            <w:tcW w:w="4531" w:type="dxa"/>
          </w:tcPr>
          <w:p w14:paraId="2491B9CA" w14:textId="6BC3B42D" w:rsidR="007522B5" w:rsidRPr="00927455" w:rsidRDefault="007522B5" w:rsidP="001E3710">
            <w:pPr>
              <w:rPr>
                <w:b/>
                <w:lang w:val="fr-BE"/>
              </w:rPr>
            </w:pPr>
            <w:r w:rsidRPr="00927455">
              <w:rPr>
                <w:b/>
                <w:lang w:val="fr-BE"/>
              </w:rPr>
              <w:t xml:space="preserve">Annexe 3 à l’arrêté royal du ** ******** </w:t>
            </w:r>
            <w:r>
              <w:rPr>
                <w:b/>
                <w:lang w:val="fr-BE"/>
              </w:rPr>
              <w:t>2022</w:t>
            </w:r>
            <w:r w:rsidRPr="00927455">
              <w:rPr>
                <w:b/>
                <w:lang w:val="fr-BE"/>
              </w:rPr>
              <w:t xml:space="preserve"> modifiant l'arrêté royal du 7 juillet 1994 fixant les normes de base en matière de prévention contre l'incendie et l'explosion, auxquelles les </w:t>
            </w:r>
            <w:r>
              <w:rPr>
                <w:b/>
                <w:lang w:val="fr-BE"/>
              </w:rPr>
              <w:t>bâtiments</w:t>
            </w:r>
            <w:r w:rsidRPr="00927455">
              <w:rPr>
                <w:b/>
                <w:lang w:val="fr-BE"/>
              </w:rPr>
              <w:t xml:space="preserve"> doivent satisfaire.</w:t>
            </w:r>
          </w:p>
        </w:tc>
      </w:tr>
      <w:tr w:rsidR="007522B5" w:rsidRPr="00754BD6" w14:paraId="343B9152" w14:textId="77777777" w:rsidTr="001E3710">
        <w:tc>
          <w:tcPr>
            <w:tcW w:w="4531" w:type="dxa"/>
          </w:tcPr>
          <w:p w14:paraId="21938AAB" w14:textId="4364B486" w:rsidR="007522B5" w:rsidRPr="00927455" w:rsidRDefault="007522B5" w:rsidP="001E3710">
            <w:pPr>
              <w:rPr>
                <w:b/>
                <w:lang w:val="fr-BE"/>
              </w:rPr>
            </w:pPr>
            <w:r w:rsidRPr="00927455">
              <w:rPr>
                <w:b/>
                <w:lang w:val="fr-BE"/>
              </w:rPr>
              <w:t xml:space="preserve">Annexe 4/1 à l’arrêté royal du ** ******** </w:t>
            </w:r>
            <w:r>
              <w:rPr>
                <w:b/>
                <w:lang w:val="fr-BE"/>
              </w:rPr>
              <w:t>2022</w:t>
            </w:r>
            <w:r w:rsidRPr="00927455">
              <w:rPr>
                <w:b/>
                <w:lang w:val="fr-BE"/>
              </w:rPr>
              <w:t xml:space="preserve"> modifiant l'arrêté royal du 7 juillet 1994 fixant les normes de base en matière de prévention contre l'incendie et l'explosion, auxquelles les </w:t>
            </w:r>
            <w:r>
              <w:rPr>
                <w:b/>
                <w:lang w:val="fr-BE"/>
              </w:rPr>
              <w:t>bâtiments</w:t>
            </w:r>
            <w:r w:rsidRPr="00927455">
              <w:rPr>
                <w:b/>
                <w:lang w:val="fr-BE"/>
              </w:rPr>
              <w:t xml:space="preserve"> doivent satisfaire.</w:t>
            </w:r>
          </w:p>
        </w:tc>
      </w:tr>
      <w:tr w:rsidR="007522B5" w:rsidRPr="00927455" w14:paraId="1D4A0602" w14:textId="77777777" w:rsidTr="001E3710">
        <w:tc>
          <w:tcPr>
            <w:tcW w:w="4531" w:type="dxa"/>
          </w:tcPr>
          <w:p w14:paraId="2C9CFAB0" w14:textId="77777777" w:rsidR="007522B5" w:rsidRPr="00927455" w:rsidRDefault="007522B5" w:rsidP="001E3710">
            <w:pPr>
              <w:rPr>
                <w:b/>
              </w:rPr>
            </w:pPr>
            <w:r w:rsidRPr="00927455">
              <w:rPr>
                <w:b/>
              </w:rPr>
              <w:t>ANNEXE 4/1: BATIMENTS ELEVESATIMENTS</w:t>
            </w:r>
          </w:p>
        </w:tc>
      </w:tr>
      <w:tr w:rsidR="007522B5" w:rsidRPr="00927455" w14:paraId="5A8435C0" w14:textId="77777777" w:rsidTr="001E3710">
        <w:tc>
          <w:tcPr>
            <w:tcW w:w="4531" w:type="dxa"/>
          </w:tcPr>
          <w:p w14:paraId="4CE3CEE0" w14:textId="77777777" w:rsidR="007522B5" w:rsidRPr="00927455" w:rsidRDefault="007522B5" w:rsidP="001E3710">
            <w:pPr>
              <w:rPr>
                <w:i/>
              </w:rPr>
            </w:pPr>
            <w:proofErr w:type="spellStart"/>
            <w:r w:rsidRPr="00927455">
              <w:rPr>
                <w:i/>
              </w:rPr>
              <w:t>Voyez</w:t>
            </w:r>
            <w:proofErr w:type="spellEnd"/>
            <w:r w:rsidRPr="00927455">
              <w:rPr>
                <w:i/>
              </w:rPr>
              <w:t xml:space="preserve"> </w:t>
            </w:r>
            <w:proofErr w:type="spellStart"/>
            <w:r w:rsidRPr="00927455">
              <w:rPr>
                <w:i/>
              </w:rPr>
              <w:t>autre</w:t>
            </w:r>
            <w:proofErr w:type="spellEnd"/>
            <w:r w:rsidRPr="00927455">
              <w:rPr>
                <w:i/>
              </w:rPr>
              <w:t xml:space="preserve"> document</w:t>
            </w:r>
          </w:p>
        </w:tc>
      </w:tr>
      <w:tr w:rsidR="007522B5" w:rsidRPr="00927455" w14:paraId="3183D3EC" w14:textId="77777777" w:rsidTr="001E3710">
        <w:tc>
          <w:tcPr>
            <w:tcW w:w="4531" w:type="dxa"/>
          </w:tcPr>
          <w:p w14:paraId="607CDEFF" w14:textId="77777777" w:rsidR="007522B5" w:rsidRPr="00927455" w:rsidRDefault="007522B5" w:rsidP="001E3710"/>
        </w:tc>
      </w:tr>
      <w:tr w:rsidR="007522B5" w:rsidRPr="00927455" w14:paraId="63043BAB" w14:textId="77777777" w:rsidTr="001E3710">
        <w:tc>
          <w:tcPr>
            <w:tcW w:w="4531" w:type="dxa"/>
          </w:tcPr>
          <w:p w14:paraId="451573B2" w14:textId="77777777" w:rsidR="007522B5" w:rsidRPr="00927455" w:rsidRDefault="007522B5" w:rsidP="001E3710"/>
        </w:tc>
      </w:tr>
    </w:tbl>
    <w:p w14:paraId="50DE3DC6" w14:textId="62E3750A" w:rsidR="00435175" w:rsidRPr="0071410A" w:rsidRDefault="00435175"/>
    <w:sectPr w:rsidR="00435175" w:rsidRPr="0071410A" w:rsidSect="00A623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EFB9A" w14:textId="77777777" w:rsidR="003D4FDB" w:rsidRDefault="003D4FDB" w:rsidP="005109FB">
      <w:pPr>
        <w:spacing w:after="0" w:line="240" w:lineRule="auto"/>
      </w:pPr>
      <w:r>
        <w:separator/>
      </w:r>
    </w:p>
  </w:endnote>
  <w:endnote w:type="continuationSeparator" w:id="0">
    <w:p w14:paraId="39596211" w14:textId="77777777" w:rsidR="003D4FDB" w:rsidRDefault="003D4FDB" w:rsidP="0051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Symbolfont-Regu">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82B9" w14:textId="77777777" w:rsidR="003D4FDB" w:rsidRDefault="003D4FDB" w:rsidP="005109FB">
      <w:pPr>
        <w:spacing w:after="0" w:line="240" w:lineRule="auto"/>
      </w:pPr>
      <w:r>
        <w:separator/>
      </w:r>
    </w:p>
  </w:footnote>
  <w:footnote w:type="continuationSeparator" w:id="0">
    <w:p w14:paraId="1A99C207" w14:textId="77777777" w:rsidR="003D4FDB" w:rsidRDefault="003D4FDB" w:rsidP="00510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6153"/>
    <w:multiLevelType w:val="multilevel"/>
    <w:tmpl w:val="80F6EFB2"/>
    <w:lvl w:ilvl="0">
      <w:start w:val="5"/>
      <w:numFmt w:val="bullet"/>
      <w:lvlText w:val="-"/>
      <w:lvlJc w:val="left"/>
      <w:pPr>
        <w:ind w:left="360" w:hanging="360"/>
      </w:pPr>
      <w:rPr>
        <w:rFonts w:ascii="Arial" w:eastAsia="Times New Roman" w:hAnsi="Aria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8E73C0A"/>
    <w:multiLevelType w:val="hybridMultilevel"/>
    <w:tmpl w:val="4A3EAA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C2F1679"/>
    <w:multiLevelType w:val="multilevel"/>
    <w:tmpl w:val="6576E9F0"/>
    <w:lvl w:ilvl="0">
      <w:start w:val="1"/>
      <w:numFmt w:val="lowerLetter"/>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2F04286"/>
    <w:multiLevelType w:val="multilevel"/>
    <w:tmpl w:val="6576E9F0"/>
    <w:lvl w:ilvl="0">
      <w:start w:val="1"/>
      <w:numFmt w:val="lowerLetter"/>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6BE2359"/>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B582BD3"/>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2456D3A"/>
    <w:multiLevelType w:val="multilevel"/>
    <w:tmpl w:val="335CDB3C"/>
    <w:lvl w:ilvl="0">
      <w:start w:val="1"/>
      <w:numFmt w:val="decimal"/>
      <w:lvlText w:val="(%1)"/>
      <w:lvlJc w:val="left"/>
      <w:pPr>
        <w:ind w:left="454" w:hanging="454"/>
      </w:pPr>
      <w:rPr>
        <w:rFonts w:hint="default"/>
        <w:vertAlign w:val="superscript"/>
      </w:rPr>
    </w:lvl>
    <w:lvl w:ilvl="1">
      <w:start w:val="1"/>
      <w:numFmt w:val="none"/>
      <w:lvlText w:val="-"/>
      <w:lvlJc w:val="left"/>
      <w:pPr>
        <w:ind w:left="720" w:hanging="266"/>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2706525"/>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4055942"/>
    <w:multiLevelType w:val="multilevel"/>
    <w:tmpl w:val="80F6EFB2"/>
    <w:lvl w:ilvl="0">
      <w:start w:val="5"/>
      <w:numFmt w:val="bullet"/>
      <w:lvlText w:val="-"/>
      <w:lvlJc w:val="left"/>
      <w:pPr>
        <w:ind w:left="360" w:hanging="360"/>
      </w:pPr>
      <w:rPr>
        <w:rFonts w:ascii="Arial" w:eastAsia="Times New Roman" w:hAnsi="Aria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5857990"/>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8D741DC"/>
    <w:multiLevelType w:val="multilevel"/>
    <w:tmpl w:val="892E1F24"/>
    <w:lvl w:ilvl="0">
      <w:start w:val="5"/>
      <w:numFmt w:val="bullet"/>
      <w:lvlText w:val="-"/>
      <w:lvlJc w:val="left"/>
      <w:pPr>
        <w:ind w:left="360" w:hanging="360"/>
      </w:pPr>
      <w:rPr>
        <w:rFonts w:ascii="Arial" w:eastAsia="Times New Roman" w:hAnsi="Arial" w:cs="Aria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A504D3B"/>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44AC317A"/>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78B5E88"/>
    <w:multiLevelType w:val="multilevel"/>
    <w:tmpl w:val="6F663A66"/>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ED1794E"/>
    <w:multiLevelType w:val="multilevel"/>
    <w:tmpl w:val="146E104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F7A3989"/>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4482396"/>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4FC1C07"/>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5561120"/>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57731C88"/>
    <w:multiLevelType w:val="multilevel"/>
    <w:tmpl w:val="EF7E660C"/>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79A72B5"/>
    <w:multiLevelType w:val="multilevel"/>
    <w:tmpl w:val="AF08794A"/>
    <w:lvl w:ilvl="0">
      <w:start w:val="5"/>
      <w:numFmt w:val="bullet"/>
      <w:lvlText w:val="-"/>
      <w:lvlJc w:val="left"/>
      <w:pPr>
        <w:ind w:left="357" w:hanging="357"/>
      </w:pPr>
      <w:rPr>
        <w:rFonts w:ascii="Arial" w:eastAsia="Times New Roman" w:hAnsi="Arial" w:cs="Arial" w:hint="default"/>
      </w:rPr>
    </w:lvl>
    <w:lvl w:ilvl="1">
      <w:start w:val="1"/>
      <w:numFmt w:val="decimal"/>
      <w:lvlText w:val="%1.%2)"/>
      <w:lvlJc w:val="left"/>
      <w:pPr>
        <w:ind w:left="714" w:hanging="357"/>
      </w:pPr>
      <w:rPr>
        <w:rFonts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1" w15:restartNumberingAfterBreak="0">
    <w:nsid w:val="59090A4B"/>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94B62E1"/>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BC61202"/>
    <w:multiLevelType w:val="hybridMultilevel"/>
    <w:tmpl w:val="ED86DDA8"/>
    <w:lvl w:ilvl="0" w:tplc="D526C88A">
      <w:start w:val="1"/>
      <w:numFmt w:val="upp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4" w15:restartNumberingAfterBreak="0">
    <w:nsid w:val="5D0A06B1"/>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EA1196A"/>
    <w:multiLevelType w:val="hybridMultilevel"/>
    <w:tmpl w:val="ED86DDA8"/>
    <w:lvl w:ilvl="0" w:tplc="D526C88A">
      <w:start w:val="1"/>
      <w:numFmt w:val="upp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6" w15:restartNumberingAfterBreak="0">
    <w:nsid w:val="66551BD3"/>
    <w:multiLevelType w:val="hybridMultilevel"/>
    <w:tmpl w:val="0D969FB6"/>
    <w:lvl w:ilvl="0" w:tplc="A5D20526">
      <w:start w:val="1"/>
      <w:numFmt w:val="lowerLetter"/>
      <w:pStyle w:val="Listenumros"/>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7" w15:restartNumberingAfterBreak="0">
    <w:nsid w:val="6CB76D54"/>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FB1178E"/>
    <w:multiLevelType w:val="hybridMultilevel"/>
    <w:tmpl w:val="465468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3844D07"/>
    <w:multiLevelType w:val="multilevel"/>
    <w:tmpl w:val="9A1CB0DE"/>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4430515"/>
    <w:multiLevelType w:val="multilevel"/>
    <w:tmpl w:val="EF7E660C"/>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BEE1AEE"/>
    <w:multiLevelType w:val="multilevel"/>
    <w:tmpl w:val="335CDB3C"/>
    <w:lvl w:ilvl="0">
      <w:start w:val="1"/>
      <w:numFmt w:val="decimal"/>
      <w:lvlText w:val="(%1)"/>
      <w:lvlJc w:val="left"/>
      <w:pPr>
        <w:ind w:left="454" w:hanging="454"/>
      </w:pPr>
      <w:rPr>
        <w:rFonts w:hint="default"/>
        <w:vertAlign w:val="superscript"/>
      </w:rPr>
    </w:lvl>
    <w:lvl w:ilvl="1">
      <w:start w:val="1"/>
      <w:numFmt w:val="none"/>
      <w:lvlText w:val="-"/>
      <w:lvlJc w:val="left"/>
      <w:pPr>
        <w:ind w:left="720" w:hanging="266"/>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6"/>
  </w:num>
  <w:num w:numId="2">
    <w:abstractNumId w:val="7"/>
  </w:num>
  <w:num w:numId="3">
    <w:abstractNumId w:val="11"/>
  </w:num>
  <w:num w:numId="4">
    <w:abstractNumId w:val="31"/>
  </w:num>
  <w:num w:numId="5">
    <w:abstractNumId w:val="20"/>
  </w:num>
  <w:num w:numId="6">
    <w:abstractNumId w:val="10"/>
  </w:num>
  <w:num w:numId="7">
    <w:abstractNumId w:val="28"/>
  </w:num>
  <w:num w:numId="8">
    <w:abstractNumId w:val="1"/>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3"/>
  </w:num>
  <w:num w:numId="12">
    <w:abstractNumId w:val="6"/>
  </w:num>
  <w:num w:numId="13">
    <w:abstractNumId w:val="3"/>
  </w:num>
  <w:num w:numId="14">
    <w:abstractNumId w:val="27"/>
  </w:num>
  <w:num w:numId="15">
    <w:abstractNumId w:val="21"/>
  </w:num>
  <w:num w:numId="16">
    <w:abstractNumId w:val="13"/>
  </w:num>
  <w:num w:numId="17">
    <w:abstractNumId w:val="22"/>
  </w:num>
  <w:num w:numId="18">
    <w:abstractNumId w:val="0"/>
  </w:num>
  <w:num w:numId="19">
    <w:abstractNumId w:val="17"/>
  </w:num>
  <w:num w:numId="20">
    <w:abstractNumId w:val="14"/>
  </w:num>
  <w:num w:numId="21">
    <w:abstractNumId w:val="18"/>
  </w:num>
  <w:num w:numId="22">
    <w:abstractNumId w:val="12"/>
  </w:num>
  <w:num w:numId="23">
    <w:abstractNumId w:val="30"/>
  </w:num>
  <w:num w:numId="24">
    <w:abstractNumId w:val="29"/>
  </w:num>
  <w:num w:numId="25">
    <w:abstractNumId w:val="16"/>
  </w:num>
  <w:num w:numId="26">
    <w:abstractNumId w:val="5"/>
  </w:num>
  <w:num w:numId="27">
    <w:abstractNumId w:val="24"/>
  </w:num>
  <w:num w:numId="28">
    <w:abstractNumId w:val="15"/>
  </w:num>
  <w:num w:numId="29">
    <w:abstractNumId w:val="19"/>
  </w:num>
  <w:num w:numId="30">
    <w:abstractNumId w:val="8"/>
  </w:num>
  <w:num w:numId="31">
    <w:abstractNumId w:val="2"/>
  </w:num>
  <w:num w:numId="32">
    <w:abstractNumId w:val="4"/>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0F"/>
    <w:rsid w:val="00000031"/>
    <w:rsid w:val="00002AC9"/>
    <w:rsid w:val="0000405A"/>
    <w:rsid w:val="000111A8"/>
    <w:rsid w:val="000159E4"/>
    <w:rsid w:val="00017B87"/>
    <w:rsid w:val="00020EC8"/>
    <w:rsid w:val="00022573"/>
    <w:rsid w:val="0002316F"/>
    <w:rsid w:val="00023DC7"/>
    <w:rsid w:val="00025A75"/>
    <w:rsid w:val="0002655D"/>
    <w:rsid w:val="00026AF0"/>
    <w:rsid w:val="0003320D"/>
    <w:rsid w:val="00035ACB"/>
    <w:rsid w:val="00036C6F"/>
    <w:rsid w:val="0003767B"/>
    <w:rsid w:val="000442B1"/>
    <w:rsid w:val="00045696"/>
    <w:rsid w:val="000456D8"/>
    <w:rsid w:val="00045EBC"/>
    <w:rsid w:val="00045F7A"/>
    <w:rsid w:val="00046768"/>
    <w:rsid w:val="000518C5"/>
    <w:rsid w:val="0006281B"/>
    <w:rsid w:val="00063AB0"/>
    <w:rsid w:val="000676C0"/>
    <w:rsid w:val="000678EE"/>
    <w:rsid w:val="00071179"/>
    <w:rsid w:val="00071719"/>
    <w:rsid w:val="00075AB6"/>
    <w:rsid w:val="00082D16"/>
    <w:rsid w:val="00083F2E"/>
    <w:rsid w:val="00091E40"/>
    <w:rsid w:val="000937D6"/>
    <w:rsid w:val="000943E0"/>
    <w:rsid w:val="00096991"/>
    <w:rsid w:val="00096DDB"/>
    <w:rsid w:val="000A1527"/>
    <w:rsid w:val="000A7422"/>
    <w:rsid w:val="000A7562"/>
    <w:rsid w:val="000B0C25"/>
    <w:rsid w:val="000B1EC1"/>
    <w:rsid w:val="000B2E5F"/>
    <w:rsid w:val="000B514A"/>
    <w:rsid w:val="000B6E28"/>
    <w:rsid w:val="000C2B29"/>
    <w:rsid w:val="000C3097"/>
    <w:rsid w:val="000D2FE1"/>
    <w:rsid w:val="000E202E"/>
    <w:rsid w:val="000E742F"/>
    <w:rsid w:val="000E7B1F"/>
    <w:rsid w:val="000F3184"/>
    <w:rsid w:val="000F5554"/>
    <w:rsid w:val="000F57EC"/>
    <w:rsid w:val="00107DD3"/>
    <w:rsid w:val="001124CF"/>
    <w:rsid w:val="00116259"/>
    <w:rsid w:val="0011737B"/>
    <w:rsid w:val="00120A34"/>
    <w:rsid w:val="00123631"/>
    <w:rsid w:val="00123960"/>
    <w:rsid w:val="00127334"/>
    <w:rsid w:val="001302A1"/>
    <w:rsid w:val="00132D3C"/>
    <w:rsid w:val="00132FDE"/>
    <w:rsid w:val="00136807"/>
    <w:rsid w:val="00142FB5"/>
    <w:rsid w:val="00143666"/>
    <w:rsid w:val="001442F7"/>
    <w:rsid w:val="001469AB"/>
    <w:rsid w:val="00146B7D"/>
    <w:rsid w:val="0014763D"/>
    <w:rsid w:val="001512AC"/>
    <w:rsid w:val="001527CC"/>
    <w:rsid w:val="001532E5"/>
    <w:rsid w:val="001544FF"/>
    <w:rsid w:val="0015497D"/>
    <w:rsid w:val="00155CF5"/>
    <w:rsid w:val="0016028F"/>
    <w:rsid w:val="00160F29"/>
    <w:rsid w:val="00161B09"/>
    <w:rsid w:val="00167C12"/>
    <w:rsid w:val="00173ABD"/>
    <w:rsid w:val="00175E7B"/>
    <w:rsid w:val="00176296"/>
    <w:rsid w:val="00177D3B"/>
    <w:rsid w:val="00185ED0"/>
    <w:rsid w:val="00194A84"/>
    <w:rsid w:val="00195C6B"/>
    <w:rsid w:val="00196A6A"/>
    <w:rsid w:val="0019765E"/>
    <w:rsid w:val="00197676"/>
    <w:rsid w:val="001A056F"/>
    <w:rsid w:val="001A0702"/>
    <w:rsid w:val="001A0E27"/>
    <w:rsid w:val="001A0EDA"/>
    <w:rsid w:val="001A1AE0"/>
    <w:rsid w:val="001A31F8"/>
    <w:rsid w:val="001A7051"/>
    <w:rsid w:val="001B28A5"/>
    <w:rsid w:val="001B4554"/>
    <w:rsid w:val="001B4886"/>
    <w:rsid w:val="001B7B19"/>
    <w:rsid w:val="001C13D6"/>
    <w:rsid w:val="001C1C49"/>
    <w:rsid w:val="001C389A"/>
    <w:rsid w:val="001D1C64"/>
    <w:rsid w:val="001D2B0A"/>
    <w:rsid w:val="001D40B1"/>
    <w:rsid w:val="001D4E84"/>
    <w:rsid w:val="001D572C"/>
    <w:rsid w:val="001D6796"/>
    <w:rsid w:val="001E2CC5"/>
    <w:rsid w:val="001E3710"/>
    <w:rsid w:val="001F1192"/>
    <w:rsid w:val="001F2AF2"/>
    <w:rsid w:val="00201128"/>
    <w:rsid w:val="0020246B"/>
    <w:rsid w:val="002036FB"/>
    <w:rsid w:val="00210C37"/>
    <w:rsid w:val="00210F70"/>
    <w:rsid w:val="002111D5"/>
    <w:rsid w:val="00213749"/>
    <w:rsid w:val="00213A5C"/>
    <w:rsid w:val="00217C74"/>
    <w:rsid w:val="002205F2"/>
    <w:rsid w:val="002241A0"/>
    <w:rsid w:val="00225846"/>
    <w:rsid w:val="00225A18"/>
    <w:rsid w:val="0022676F"/>
    <w:rsid w:val="00227359"/>
    <w:rsid w:val="002311FE"/>
    <w:rsid w:val="00231CB6"/>
    <w:rsid w:val="00232538"/>
    <w:rsid w:val="00235901"/>
    <w:rsid w:val="002439DF"/>
    <w:rsid w:val="002467CF"/>
    <w:rsid w:val="00247D32"/>
    <w:rsid w:val="0025321E"/>
    <w:rsid w:val="0025355B"/>
    <w:rsid w:val="00255392"/>
    <w:rsid w:val="00272F15"/>
    <w:rsid w:val="002735E2"/>
    <w:rsid w:val="002757C3"/>
    <w:rsid w:val="00276835"/>
    <w:rsid w:val="00276D60"/>
    <w:rsid w:val="0028130C"/>
    <w:rsid w:val="00281B9A"/>
    <w:rsid w:val="00283669"/>
    <w:rsid w:val="002860BD"/>
    <w:rsid w:val="0028645E"/>
    <w:rsid w:val="00287E7E"/>
    <w:rsid w:val="00291C0B"/>
    <w:rsid w:val="00291E9B"/>
    <w:rsid w:val="002A0E41"/>
    <w:rsid w:val="002A272E"/>
    <w:rsid w:val="002A4531"/>
    <w:rsid w:val="002B2645"/>
    <w:rsid w:val="002B6A7C"/>
    <w:rsid w:val="002B74F0"/>
    <w:rsid w:val="002C0C2F"/>
    <w:rsid w:val="002C275A"/>
    <w:rsid w:val="002C3CA0"/>
    <w:rsid w:val="002C47D6"/>
    <w:rsid w:val="002C6D29"/>
    <w:rsid w:val="002C717D"/>
    <w:rsid w:val="002D047B"/>
    <w:rsid w:val="002D3A90"/>
    <w:rsid w:val="002D4DD5"/>
    <w:rsid w:val="002D5A97"/>
    <w:rsid w:val="002E05D6"/>
    <w:rsid w:val="002E0C5E"/>
    <w:rsid w:val="002E10BD"/>
    <w:rsid w:val="002F19B4"/>
    <w:rsid w:val="00302479"/>
    <w:rsid w:val="00303053"/>
    <w:rsid w:val="003040A4"/>
    <w:rsid w:val="003130B6"/>
    <w:rsid w:val="00314E76"/>
    <w:rsid w:val="00316B97"/>
    <w:rsid w:val="00317AAE"/>
    <w:rsid w:val="003201DD"/>
    <w:rsid w:val="00320C85"/>
    <w:rsid w:val="003225FD"/>
    <w:rsid w:val="00327E95"/>
    <w:rsid w:val="00330C33"/>
    <w:rsid w:val="00331259"/>
    <w:rsid w:val="00331816"/>
    <w:rsid w:val="00331FA2"/>
    <w:rsid w:val="00335137"/>
    <w:rsid w:val="00336FC7"/>
    <w:rsid w:val="003430F9"/>
    <w:rsid w:val="00344B62"/>
    <w:rsid w:val="0034626D"/>
    <w:rsid w:val="003522A9"/>
    <w:rsid w:val="00360253"/>
    <w:rsid w:val="00360266"/>
    <w:rsid w:val="003630C9"/>
    <w:rsid w:val="00364324"/>
    <w:rsid w:val="00365A88"/>
    <w:rsid w:val="00365D88"/>
    <w:rsid w:val="0036720F"/>
    <w:rsid w:val="00367AB7"/>
    <w:rsid w:val="00370EB5"/>
    <w:rsid w:val="00374CBE"/>
    <w:rsid w:val="00375FA1"/>
    <w:rsid w:val="003774D1"/>
    <w:rsid w:val="00377F7F"/>
    <w:rsid w:val="003856CD"/>
    <w:rsid w:val="003856FB"/>
    <w:rsid w:val="003903F1"/>
    <w:rsid w:val="00397CBD"/>
    <w:rsid w:val="003A0038"/>
    <w:rsid w:val="003A0532"/>
    <w:rsid w:val="003A50D2"/>
    <w:rsid w:val="003A7A20"/>
    <w:rsid w:val="003B1602"/>
    <w:rsid w:val="003B2E65"/>
    <w:rsid w:val="003B3925"/>
    <w:rsid w:val="003B51AF"/>
    <w:rsid w:val="003B58FD"/>
    <w:rsid w:val="003B6C33"/>
    <w:rsid w:val="003B703E"/>
    <w:rsid w:val="003C45E0"/>
    <w:rsid w:val="003C6C7E"/>
    <w:rsid w:val="003D0ADC"/>
    <w:rsid w:val="003D0E20"/>
    <w:rsid w:val="003D11C3"/>
    <w:rsid w:val="003D19E4"/>
    <w:rsid w:val="003D3D9F"/>
    <w:rsid w:val="003D4FDB"/>
    <w:rsid w:val="003E70EC"/>
    <w:rsid w:val="003F0CAD"/>
    <w:rsid w:val="003F7E72"/>
    <w:rsid w:val="00400AEB"/>
    <w:rsid w:val="00400FAE"/>
    <w:rsid w:val="0040174A"/>
    <w:rsid w:val="004028B7"/>
    <w:rsid w:val="00403F7C"/>
    <w:rsid w:val="00410780"/>
    <w:rsid w:val="004142AA"/>
    <w:rsid w:val="004153F4"/>
    <w:rsid w:val="00417670"/>
    <w:rsid w:val="004223F4"/>
    <w:rsid w:val="00423137"/>
    <w:rsid w:val="004253AD"/>
    <w:rsid w:val="004260D4"/>
    <w:rsid w:val="00426B1C"/>
    <w:rsid w:val="004274DE"/>
    <w:rsid w:val="004342D7"/>
    <w:rsid w:val="00435175"/>
    <w:rsid w:val="00436151"/>
    <w:rsid w:val="00436EC9"/>
    <w:rsid w:val="004419B4"/>
    <w:rsid w:val="0044394A"/>
    <w:rsid w:val="00444B53"/>
    <w:rsid w:val="00451667"/>
    <w:rsid w:val="004536A4"/>
    <w:rsid w:val="004538DD"/>
    <w:rsid w:val="0045471F"/>
    <w:rsid w:val="00455D60"/>
    <w:rsid w:val="00457BFF"/>
    <w:rsid w:val="00460AA5"/>
    <w:rsid w:val="004626EB"/>
    <w:rsid w:val="00463C9D"/>
    <w:rsid w:val="00465165"/>
    <w:rsid w:val="00466087"/>
    <w:rsid w:val="00466A3C"/>
    <w:rsid w:val="0047175C"/>
    <w:rsid w:val="0048054A"/>
    <w:rsid w:val="00481C67"/>
    <w:rsid w:val="00482BE5"/>
    <w:rsid w:val="00483BDB"/>
    <w:rsid w:val="00484803"/>
    <w:rsid w:val="004848C7"/>
    <w:rsid w:val="00484A49"/>
    <w:rsid w:val="004861F3"/>
    <w:rsid w:val="0049381C"/>
    <w:rsid w:val="00493C92"/>
    <w:rsid w:val="004947FA"/>
    <w:rsid w:val="00496530"/>
    <w:rsid w:val="00496822"/>
    <w:rsid w:val="004A06B7"/>
    <w:rsid w:val="004A247E"/>
    <w:rsid w:val="004A3D01"/>
    <w:rsid w:val="004A3E59"/>
    <w:rsid w:val="004A437B"/>
    <w:rsid w:val="004A69A0"/>
    <w:rsid w:val="004A7BE9"/>
    <w:rsid w:val="004B0CA5"/>
    <w:rsid w:val="004B2E7A"/>
    <w:rsid w:val="004B5F96"/>
    <w:rsid w:val="004C0FB6"/>
    <w:rsid w:val="004C1003"/>
    <w:rsid w:val="004C26D8"/>
    <w:rsid w:val="004D0840"/>
    <w:rsid w:val="004D2392"/>
    <w:rsid w:val="004D2827"/>
    <w:rsid w:val="004D353D"/>
    <w:rsid w:val="004D4AFD"/>
    <w:rsid w:val="004D5F1B"/>
    <w:rsid w:val="004E0A55"/>
    <w:rsid w:val="004E302B"/>
    <w:rsid w:val="004E3F90"/>
    <w:rsid w:val="004F1096"/>
    <w:rsid w:val="004F137E"/>
    <w:rsid w:val="004F28D4"/>
    <w:rsid w:val="004F32AE"/>
    <w:rsid w:val="004F3A88"/>
    <w:rsid w:val="004F5840"/>
    <w:rsid w:val="004F667F"/>
    <w:rsid w:val="004F70C8"/>
    <w:rsid w:val="00501256"/>
    <w:rsid w:val="0050277C"/>
    <w:rsid w:val="00504C98"/>
    <w:rsid w:val="00505B8D"/>
    <w:rsid w:val="005062BC"/>
    <w:rsid w:val="00507A78"/>
    <w:rsid w:val="005109FB"/>
    <w:rsid w:val="00512140"/>
    <w:rsid w:val="005136F2"/>
    <w:rsid w:val="00513C0B"/>
    <w:rsid w:val="00513C3D"/>
    <w:rsid w:val="00514079"/>
    <w:rsid w:val="0051437A"/>
    <w:rsid w:val="00516408"/>
    <w:rsid w:val="00516FA3"/>
    <w:rsid w:val="00523E07"/>
    <w:rsid w:val="0052788B"/>
    <w:rsid w:val="00530A50"/>
    <w:rsid w:val="00531224"/>
    <w:rsid w:val="00531816"/>
    <w:rsid w:val="00531ABC"/>
    <w:rsid w:val="00536578"/>
    <w:rsid w:val="00542850"/>
    <w:rsid w:val="00542D6A"/>
    <w:rsid w:val="005460D8"/>
    <w:rsid w:val="00547538"/>
    <w:rsid w:val="00555049"/>
    <w:rsid w:val="0056030C"/>
    <w:rsid w:val="005639F4"/>
    <w:rsid w:val="00565D3B"/>
    <w:rsid w:val="005717D3"/>
    <w:rsid w:val="00571A3C"/>
    <w:rsid w:val="00573F80"/>
    <w:rsid w:val="005770E2"/>
    <w:rsid w:val="0058734E"/>
    <w:rsid w:val="0059011F"/>
    <w:rsid w:val="00590356"/>
    <w:rsid w:val="00590AFC"/>
    <w:rsid w:val="00594C5A"/>
    <w:rsid w:val="005A07C8"/>
    <w:rsid w:val="005A144E"/>
    <w:rsid w:val="005B0801"/>
    <w:rsid w:val="005B2F63"/>
    <w:rsid w:val="005B3A8C"/>
    <w:rsid w:val="005B5D65"/>
    <w:rsid w:val="005B6457"/>
    <w:rsid w:val="005C026D"/>
    <w:rsid w:val="005C22B9"/>
    <w:rsid w:val="005C36BE"/>
    <w:rsid w:val="005C5B33"/>
    <w:rsid w:val="005D336C"/>
    <w:rsid w:val="005D4FC6"/>
    <w:rsid w:val="005D674E"/>
    <w:rsid w:val="005E25DA"/>
    <w:rsid w:val="005F0066"/>
    <w:rsid w:val="005F5B93"/>
    <w:rsid w:val="005F65D3"/>
    <w:rsid w:val="0060258A"/>
    <w:rsid w:val="006068A9"/>
    <w:rsid w:val="0061103E"/>
    <w:rsid w:val="00615A5B"/>
    <w:rsid w:val="0061605C"/>
    <w:rsid w:val="0062187B"/>
    <w:rsid w:val="006222E6"/>
    <w:rsid w:val="006238B9"/>
    <w:rsid w:val="00623CB3"/>
    <w:rsid w:val="00623D57"/>
    <w:rsid w:val="006317FD"/>
    <w:rsid w:val="006321DC"/>
    <w:rsid w:val="00633C3D"/>
    <w:rsid w:val="00635AAC"/>
    <w:rsid w:val="00636F86"/>
    <w:rsid w:val="00637478"/>
    <w:rsid w:val="006438E0"/>
    <w:rsid w:val="00643F28"/>
    <w:rsid w:val="00644CBD"/>
    <w:rsid w:val="006476BC"/>
    <w:rsid w:val="00650407"/>
    <w:rsid w:val="00653D6E"/>
    <w:rsid w:val="00654A32"/>
    <w:rsid w:val="0065601B"/>
    <w:rsid w:val="006579C7"/>
    <w:rsid w:val="00661C4C"/>
    <w:rsid w:val="006635B1"/>
    <w:rsid w:val="0066730E"/>
    <w:rsid w:val="0067069E"/>
    <w:rsid w:val="00672752"/>
    <w:rsid w:val="00673ABF"/>
    <w:rsid w:val="006776FC"/>
    <w:rsid w:val="0068206E"/>
    <w:rsid w:val="00684814"/>
    <w:rsid w:val="00691A3A"/>
    <w:rsid w:val="00692A02"/>
    <w:rsid w:val="00693075"/>
    <w:rsid w:val="00693E17"/>
    <w:rsid w:val="006A4067"/>
    <w:rsid w:val="006A5222"/>
    <w:rsid w:val="006A59C6"/>
    <w:rsid w:val="006A5BEB"/>
    <w:rsid w:val="006A5C3E"/>
    <w:rsid w:val="006A6F48"/>
    <w:rsid w:val="006B2569"/>
    <w:rsid w:val="006B3CCF"/>
    <w:rsid w:val="006C0A3D"/>
    <w:rsid w:val="006C0FC8"/>
    <w:rsid w:val="006C4E3C"/>
    <w:rsid w:val="006C744D"/>
    <w:rsid w:val="006C7FD8"/>
    <w:rsid w:val="006D0751"/>
    <w:rsid w:val="006D3E17"/>
    <w:rsid w:val="006E3AE7"/>
    <w:rsid w:val="006E57D9"/>
    <w:rsid w:val="006F0C59"/>
    <w:rsid w:val="006F14B9"/>
    <w:rsid w:val="006F64AD"/>
    <w:rsid w:val="007038EE"/>
    <w:rsid w:val="00705E34"/>
    <w:rsid w:val="00706827"/>
    <w:rsid w:val="00710E46"/>
    <w:rsid w:val="007128AC"/>
    <w:rsid w:val="00713A9D"/>
    <w:rsid w:val="0071410A"/>
    <w:rsid w:val="00717FC9"/>
    <w:rsid w:val="00721FE2"/>
    <w:rsid w:val="00723CE5"/>
    <w:rsid w:val="007262A6"/>
    <w:rsid w:val="00727AB3"/>
    <w:rsid w:val="007348F4"/>
    <w:rsid w:val="0073589D"/>
    <w:rsid w:val="007358D5"/>
    <w:rsid w:val="0073662E"/>
    <w:rsid w:val="00742F4A"/>
    <w:rsid w:val="00743848"/>
    <w:rsid w:val="00743E4A"/>
    <w:rsid w:val="00750CF5"/>
    <w:rsid w:val="007522B5"/>
    <w:rsid w:val="007529EE"/>
    <w:rsid w:val="00754BD6"/>
    <w:rsid w:val="007567AD"/>
    <w:rsid w:val="00756A9E"/>
    <w:rsid w:val="007603FC"/>
    <w:rsid w:val="00760A68"/>
    <w:rsid w:val="00763E71"/>
    <w:rsid w:val="007738B2"/>
    <w:rsid w:val="0077668D"/>
    <w:rsid w:val="007822E9"/>
    <w:rsid w:val="007828FA"/>
    <w:rsid w:val="00783D6D"/>
    <w:rsid w:val="00785AEB"/>
    <w:rsid w:val="00786363"/>
    <w:rsid w:val="00791FC9"/>
    <w:rsid w:val="0079277B"/>
    <w:rsid w:val="00794000"/>
    <w:rsid w:val="00794EE0"/>
    <w:rsid w:val="00795CBB"/>
    <w:rsid w:val="007A1239"/>
    <w:rsid w:val="007B0DDE"/>
    <w:rsid w:val="007B2888"/>
    <w:rsid w:val="007C001C"/>
    <w:rsid w:val="007C243D"/>
    <w:rsid w:val="007C46F4"/>
    <w:rsid w:val="007D193C"/>
    <w:rsid w:val="007D1B7C"/>
    <w:rsid w:val="007D22C0"/>
    <w:rsid w:val="007D3CA6"/>
    <w:rsid w:val="007D77F0"/>
    <w:rsid w:val="007E1CFC"/>
    <w:rsid w:val="007E2BBB"/>
    <w:rsid w:val="007E5F18"/>
    <w:rsid w:val="007E6ABD"/>
    <w:rsid w:val="007E79A6"/>
    <w:rsid w:val="007E7FDA"/>
    <w:rsid w:val="007F26A7"/>
    <w:rsid w:val="007F28FF"/>
    <w:rsid w:val="007F3181"/>
    <w:rsid w:val="007F534E"/>
    <w:rsid w:val="007F61EA"/>
    <w:rsid w:val="008021E2"/>
    <w:rsid w:val="00802317"/>
    <w:rsid w:val="00804522"/>
    <w:rsid w:val="00804BB9"/>
    <w:rsid w:val="00807090"/>
    <w:rsid w:val="0081025F"/>
    <w:rsid w:val="008125F2"/>
    <w:rsid w:val="00812A1E"/>
    <w:rsid w:val="00822EDC"/>
    <w:rsid w:val="0082616B"/>
    <w:rsid w:val="00827A64"/>
    <w:rsid w:val="00830440"/>
    <w:rsid w:val="00833884"/>
    <w:rsid w:val="00834C45"/>
    <w:rsid w:val="00836DCD"/>
    <w:rsid w:val="00837926"/>
    <w:rsid w:val="00841DBB"/>
    <w:rsid w:val="008423E6"/>
    <w:rsid w:val="00843C72"/>
    <w:rsid w:val="008442A8"/>
    <w:rsid w:val="008458F8"/>
    <w:rsid w:val="0085100A"/>
    <w:rsid w:val="00851476"/>
    <w:rsid w:val="008514A0"/>
    <w:rsid w:val="008517C3"/>
    <w:rsid w:val="00853D0D"/>
    <w:rsid w:val="00854BE3"/>
    <w:rsid w:val="00855551"/>
    <w:rsid w:val="00857CF3"/>
    <w:rsid w:val="00857DA7"/>
    <w:rsid w:val="00860CE1"/>
    <w:rsid w:val="008645F9"/>
    <w:rsid w:val="00865C3A"/>
    <w:rsid w:val="0086624D"/>
    <w:rsid w:val="00867479"/>
    <w:rsid w:val="00870773"/>
    <w:rsid w:val="00871C62"/>
    <w:rsid w:val="008734C8"/>
    <w:rsid w:val="008749CC"/>
    <w:rsid w:val="00876E9E"/>
    <w:rsid w:val="00877F9D"/>
    <w:rsid w:val="00882C7F"/>
    <w:rsid w:val="00883F52"/>
    <w:rsid w:val="008842A8"/>
    <w:rsid w:val="008855B0"/>
    <w:rsid w:val="00886DBE"/>
    <w:rsid w:val="00887406"/>
    <w:rsid w:val="00891B58"/>
    <w:rsid w:val="00893619"/>
    <w:rsid w:val="00895704"/>
    <w:rsid w:val="008A0843"/>
    <w:rsid w:val="008A30B5"/>
    <w:rsid w:val="008A3181"/>
    <w:rsid w:val="008A5B71"/>
    <w:rsid w:val="008A5C17"/>
    <w:rsid w:val="008A6451"/>
    <w:rsid w:val="008B0126"/>
    <w:rsid w:val="008B191F"/>
    <w:rsid w:val="008B653D"/>
    <w:rsid w:val="008B7AAC"/>
    <w:rsid w:val="008B7BE8"/>
    <w:rsid w:val="008C4039"/>
    <w:rsid w:val="008D03E6"/>
    <w:rsid w:val="008D076E"/>
    <w:rsid w:val="008D2504"/>
    <w:rsid w:val="008D2E58"/>
    <w:rsid w:val="008D3CF9"/>
    <w:rsid w:val="008D5587"/>
    <w:rsid w:val="008E0FEC"/>
    <w:rsid w:val="008E1EDD"/>
    <w:rsid w:val="008E2B77"/>
    <w:rsid w:val="008E3201"/>
    <w:rsid w:val="008E6AEB"/>
    <w:rsid w:val="008E7235"/>
    <w:rsid w:val="008F6338"/>
    <w:rsid w:val="008F6E5C"/>
    <w:rsid w:val="008F73E7"/>
    <w:rsid w:val="009009C4"/>
    <w:rsid w:val="00904247"/>
    <w:rsid w:val="0090472D"/>
    <w:rsid w:val="00904ABB"/>
    <w:rsid w:val="0090646D"/>
    <w:rsid w:val="009111D9"/>
    <w:rsid w:val="009117A7"/>
    <w:rsid w:val="00912FAD"/>
    <w:rsid w:val="00914C95"/>
    <w:rsid w:val="0092080E"/>
    <w:rsid w:val="00922542"/>
    <w:rsid w:val="00923926"/>
    <w:rsid w:val="00924C32"/>
    <w:rsid w:val="00924E26"/>
    <w:rsid w:val="00927455"/>
    <w:rsid w:val="0093518F"/>
    <w:rsid w:val="00935FDA"/>
    <w:rsid w:val="009362F6"/>
    <w:rsid w:val="00936826"/>
    <w:rsid w:val="009368C5"/>
    <w:rsid w:val="009371D1"/>
    <w:rsid w:val="009405BF"/>
    <w:rsid w:val="00941691"/>
    <w:rsid w:val="00950C93"/>
    <w:rsid w:val="0095137E"/>
    <w:rsid w:val="009534F4"/>
    <w:rsid w:val="00953F4F"/>
    <w:rsid w:val="009550FD"/>
    <w:rsid w:val="009573B4"/>
    <w:rsid w:val="00960CFF"/>
    <w:rsid w:val="009611AC"/>
    <w:rsid w:val="009634D5"/>
    <w:rsid w:val="00965040"/>
    <w:rsid w:val="00967E6D"/>
    <w:rsid w:val="00970556"/>
    <w:rsid w:val="00970DB4"/>
    <w:rsid w:val="00973677"/>
    <w:rsid w:val="00983928"/>
    <w:rsid w:val="00983F73"/>
    <w:rsid w:val="0098772C"/>
    <w:rsid w:val="00996A78"/>
    <w:rsid w:val="00996AA8"/>
    <w:rsid w:val="009976D9"/>
    <w:rsid w:val="009A0962"/>
    <w:rsid w:val="009A0C00"/>
    <w:rsid w:val="009A2919"/>
    <w:rsid w:val="009A7C13"/>
    <w:rsid w:val="009B3EE7"/>
    <w:rsid w:val="009B43D4"/>
    <w:rsid w:val="009B7905"/>
    <w:rsid w:val="009C00D2"/>
    <w:rsid w:val="009C0284"/>
    <w:rsid w:val="009C2225"/>
    <w:rsid w:val="009C264A"/>
    <w:rsid w:val="009C30B7"/>
    <w:rsid w:val="009C4DF8"/>
    <w:rsid w:val="009C640D"/>
    <w:rsid w:val="009C6BB4"/>
    <w:rsid w:val="009D10B7"/>
    <w:rsid w:val="009D182A"/>
    <w:rsid w:val="009D257F"/>
    <w:rsid w:val="009D2D80"/>
    <w:rsid w:val="009D669C"/>
    <w:rsid w:val="009D721C"/>
    <w:rsid w:val="009D7A02"/>
    <w:rsid w:val="009E07B6"/>
    <w:rsid w:val="009E3ED7"/>
    <w:rsid w:val="009F78DE"/>
    <w:rsid w:val="00A002FA"/>
    <w:rsid w:val="00A0368F"/>
    <w:rsid w:val="00A03882"/>
    <w:rsid w:val="00A05230"/>
    <w:rsid w:val="00A05B35"/>
    <w:rsid w:val="00A05B48"/>
    <w:rsid w:val="00A075E9"/>
    <w:rsid w:val="00A0760A"/>
    <w:rsid w:val="00A10CE5"/>
    <w:rsid w:val="00A131F9"/>
    <w:rsid w:val="00A13ED8"/>
    <w:rsid w:val="00A2769C"/>
    <w:rsid w:val="00A30CD7"/>
    <w:rsid w:val="00A312E3"/>
    <w:rsid w:val="00A31C60"/>
    <w:rsid w:val="00A4142B"/>
    <w:rsid w:val="00A422E6"/>
    <w:rsid w:val="00A46521"/>
    <w:rsid w:val="00A50F1A"/>
    <w:rsid w:val="00A53A2A"/>
    <w:rsid w:val="00A54DA4"/>
    <w:rsid w:val="00A54F2E"/>
    <w:rsid w:val="00A61736"/>
    <w:rsid w:val="00A619E2"/>
    <w:rsid w:val="00A62359"/>
    <w:rsid w:val="00A62618"/>
    <w:rsid w:val="00A64FD3"/>
    <w:rsid w:val="00A65079"/>
    <w:rsid w:val="00A66A2A"/>
    <w:rsid w:val="00A7030D"/>
    <w:rsid w:val="00A73414"/>
    <w:rsid w:val="00A759F1"/>
    <w:rsid w:val="00A75E4D"/>
    <w:rsid w:val="00A80553"/>
    <w:rsid w:val="00A80914"/>
    <w:rsid w:val="00A85265"/>
    <w:rsid w:val="00A8567D"/>
    <w:rsid w:val="00A87183"/>
    <w:rsid w:val="00A90B11"/>
    <w:rsid w:val="00A90DCF"/>
    <w:rsid w:val="00A91430"/>
    <w:rsid w:val="00A940A9"/>
    <w:rsid w:val="00A94566"/>
    <w:rsid w:val="00A94AEE"/>
    <w:rsid w:val="00A95AB6"/>
    <w:rsid w:val="00AA0F98"/>
    <w:rsid w:val="00AA1614"/>
    <w:rsid w:val="00AA34C2"/>
    <w:rsid w:val="00AA47B5"/>
    <w:rsid w:val="00AA5566"/>
    <w:rsid w:val="00AA6859"/>
    <w:rsid w:val="00AA7F5E"/>
    <w:rsid w:val="00AB0581"/>
    <w:rsid w:val="00AB0CD0"/>
    <w:rsid w:val="00AB45D1"/>
    <w:rsid w:val="00AB52A5"/>
    <w:rsid w:val="00AB56B4"/>
    <w:rsid w:val="00AB6F2E"/>
    <w:rsid w:val="00AB7022"/>
    <w:rsid w:val="00AC4260"/>
    <w:rsid w:val="00AC4494"/>
    <w:rsid w:val="00AC74D3"/>
    <w:rsid w:val="00AD17DC"/>
    <w:rsid w:val="00AD1FF0"/>
    <w:rsid w:val="00AD3A56"/>
    <w:rsid w:val="00AD4737"/>
    <w:rsid w:val="00AD4DC8"/>
    <w:rsid w:val="00AD6061"/>
    <w:rsid w:val="00AE07FE"/>
    <w:rsid w:val="00AE0CF5"/>
    <w:rsid w:val="00AE0E6D"/>
    <w:rsid w:val="00AF039A"/>
    <w:rsid w:val="00AF1C10"/>
    <w:rsid w:val="00AF4897"/>
    <w:rsid w:val="00AF534A"/>
    <w:rsid w:val="00AF6906"/>
    <w:rsid w:val="00AF7FD1"/>
    <w:rsid w:val="00B0077F"/>
    <w:rsid w:val="00B017D3"/>
    <w:rsid w:val="00B02B39"/>
    <w:rsid w:val="00B10397"/>
    <w:rsid w:val="00B10A26"/>
    <w:rsid w:val="00B1457B"/>
    <w:rsid w:val="00B20DAC"/>
    <w:rsid w:val="00B2648B"/>
    <w:rsid w:val="00B33953"/>
    <w:rsid w:val="00B405E7"/>
    <w:rsid w:val="00B44854"/>
    <w:rsid w:val="00B46F87"/>
    <w:rsid w:val="00B47352"/>
    <w:rsid w:val="00B47DA2"/>
    <w:rsid w:val="00B529E2"/>
    <w:rsid w:val="00B5685F"/>
    <w:rsid w:val="00B57375"/>
    <w:rsid w:val="00B61E05"/>
    <w:rsid w:val="00B653D7"/>
    <w:rsid w:val="00B67D44"/>
    <w:rsid w:val="00B707EC"/>
    <w:rsid w:val="00B70EC6"/>
    <w:rsid w:val="00B71115"/>
    <w:rsid w:val="00B75FB5"/>
    <w:rsid w:val="00B81D4A"/>
    <w:rsid w:val="00B8605F"/>
    <w:rsid w:val="00B902EC"/>
    <w:rsid w:val="00B94A0E"/>
    <w:rsid w:val="00B97382"/>
    <w:rsid w:val="00BA2939"/>
    <w:rsid w:val="00BA772A"/>
    <w:rsid w:val="00BB0E9E"/>
    <w:rsid w:val="00BB545F"/>
    <w:rsid w:val="00BB68D1"/>
    <w:rsid w:val="00BC3321"/>
    <w:rsid w:val="00BC7788"/>
    <w:rsid w:val="00BC7F6B"/>
    <w:rsid w:val="00BE0FFB"/>
    <w:rsid w:val="00BE37A6"/>
    <w:rsid w:val="00BE57CD"/>
    <w:rsid w:val="00BF015F"/>
    <w:rsid w:val="00BF0430"/>
    <w:rsid w:val="00BF24C1"/>
    <w:rsid w:val="00BF27F3"/>
    <w:rsid w:val="00BF28FE"/>
    <w:rsid w:val="00BF54B5"/>
    <w:rsid w:val="00C00CC6"/>
    <w:rsid w:val="00C0174D"/>
    <w:rsid w:val="00C018B3"/>
    <w:rsid w:val="00C03188"/>
    <w:rsid w:val="00C10CD5"/>
    <w:rsid w:val="00C10CE9"/>
    <w:rsid w:val="00C11D92"/>
    <w:rsid w:val="00C12726"/>
    <w:rsid w:val="00C15326"/>
    <w:rsid w:val="00C17F2E"/>
    <w:rsid w:val="00C24A08"/>
    <w:rsid w:val="00C2683D"/>
    <w:rsid w:val="00C27CE2"/>
    <w:rsid w:val="00C34F11"/>
    <w:rsid w:val="00C34F4B"/>
    <w:rsid w:val="00C40600"/>
    <w:rsid w:val="00C43DE1"/>
    <w:rsid w:val="00C476D5"/>
    <w:rsid w:val="00C507D7"/>
    <w:rsid w:val="00C50EEC"/>
    <w:rsid w:val="00C54E90"/>
    <w:rsid w:val="00C6090F"/>
    <w:rsid w:val="00C60BB8"/>
    <w:rsid w:val="00C6312E"/>
    <w:rsid w:val="00C63405"/>
    <w:rsid w:val="00C67410"/>
    <w:rsid w:val="00C678B7"/>
    <w:rsid w:val="00C70881"/>
    <w:rsid w:val="00C75E74"/>
    <w:rsid w:val="00C771E8"/>
    <w:rsid w:val="00C8170B"/>
    <w:rsid w:val="00C8263E"/>
    <w:rsid w:val="00C82A5F"/>
    <w:rsid w:val="00C836D8"/>
    <w:rsid w:val="00C83D2F"/>
    <w:rsid w:val="00C84DEA"/>
    <w:rsid w:val="00C876D7"/>
    <w:rsid w:val="00C87D4A"/>
    <w:rsid w:val="00C94C28"/>
    <w:rsid w:val="00CA1D62"/>
    <w:rsid w:val="00CA1F75"/>
    <w:rsid w:val="00CA332E"/>
    <w:rsid w:val="00CA5588"/>
    <w:rsid w:val="00CA7B92"/>
    <w:rsid w:val="00CC0EAB"/>
    <w:rsid w:val="00CC275F"/>
    <w:rsid w:val="00CC4B3D"/>
    <w:rsid w:val="00CC5E88"/>
    <w:rsid w:val="00CC63C0"/>
    <w:rsid w:val="00CD14EB"/>
    <w:rsid w:val="00CD4487"/>
    <w:rsid w:val="00CD6A27"/>
    <w:rsid w:val="00CD7426"/>
    <w:rsid w:val="00CE04C8"/>
    <w:rsid w:val="00CE375F"/>
    <w:rsid w:val="00CE3AC0"/>
    <w:rsid w:val="00CE7C3D"/>
    <w:rsid w:val="00CE7CDD"/>
    <w:rsid w:val="00CF2C15"/>
    <w:rsid w:val="00CF2FE8"/>
    <w:rsid w:val="00CF39F3"/>
    <w:rsid w:val="00CF4229"/>
    <w:rsid w:val="00CF70F5"/>
    <w:rsid w:val="00D05317"/>
    <w:rsid w:val="00D05CEC"/>
    <w:rsid w:val="00D14D45"/>
    <w:rsid w:val="00D168A0"/>
    <w:rsid w:val="00D21091"/>
    <w:rsid w:val="00D2307E"/>
    <w:rsid w:val="00D23F98"/>
    <w:rsid w:val="00D2701F"/>
    <w:rsid w:val="00D314FD"/>
    <w:rsid w:val="00D34572"/>
    <w:rsid w:val="00D3526B"/>
    <w:rsid w:val="00D3798C"/>
    <w:rsid w:val="00D459D3"/>
    <w:rsid w:val="00D50481"/>
    <w:rsid w:val="00D5115F"/>
    <w:rsid w:val="00D52CDD"/>
    <w:rsid w:val="00D52D6C"/>
    <w:rsid w:val="00D57233"/>
    <w:rsid w:val="00D645C9"/>
    <w:rsid w:val="00D65420"/>
    <w:rsid w:val="00D76D4F"/>
    <w:rsid w:val="00D81C7B"/>
    <w:rsid w:val="00D8360B"/>
    <w:rsid w:val="00D83AA0"/>
    <w:rsid w:val="00D858FA"/>
    <w:rsid w:val="00D90CA5"/>
    <w:rsid w:val="00D915E5"/>
    <w:rsid w:val="00D923B5"/>
    <w:rsid w:val="00D94E88"/>
    <w:rsid w:val="00D979B4"/>
    <w:rsid w:val="00DA452B"/>
    <w:rsid w:val="00DA4553"/>
    <w:rsid w:val="00DB3FA0"/>
    <w:rsid w:val="00DB5835"/>
    <w:rsid w:val="00DC0273"/>
    <w:rsid w:val="00DC0C9B"/>
    <w:rsid w:val="00DC1949"/>
    <w:rsid w:val="00DC3752"/>
    <w:rsid w:val="00DC5CB7"/>
    <w:rsid w:val="00DD17B1"/>
    <w:rsid w:val="00DD20F6"/>
    <w:rsid w:val="00DD243C"/>
    <w:rsid w:val="00DD27D4"/>
    <w:rsid w:val="00DD29F6"/>
    <w:rsid w:val="00DD4043"/>
    <w:rsid w:val="00DD4E64"/>
    <w:rsid w:val="00DD6617"/>
    <w:rsid w:val="00DD6DC1"/>
    <w:rsid w:val="00DD6EB0"/>
    <w:rsid w:val="00DD7F4D"/>
    <w:rsid w:val="00DE0158"/>
    <w:rsid w:val="00DE42BE"/>
    <w:rsid w:val="00DE657B"/>
    <w:rsid w:val="00DE7DFD"/>
    <w:rsid w:val="00DF131C"/>
    <w:rsid w:val="00DF141E"/>
    <w:rsid w:val="00DF2358"/>
    <w:rsid w:val="00E009EE"/>
    <w:rsid w:val="00E00A6D"/>
    <w:rsid w:val="00E03EEC"/>
    <w:rsid w:val="00E04DA2"/>
    <w:rsid w:val="00E0593F"/>
    <w:rsid w:val="00E05B3A"/>
    <w:rsid w:val="00E0662D"/>
    <w:rsid w:val="00E06D18"/>
    <w:rsid w:val="00E157D3"/>
    <w:rsid w:val="00E2040C"/>
    <w:rsid w:val="00E205DF"/>
    <w:rsid w:val="00E20A1E"/>
    <w:rsid w:val="00E21611"/>
    <w:rsid w:val="00E24EFA"/>
    <w:rsid w:val="00E25270"/>
    <w:rsid w:val="00E25752"/>
    <w:rsid w:val="00E32310"/>
    <w:rsid w:val="00E329AD"/>
    <w:rsid w:val="00E36B6D"/>
    <w:rsid w:val="00E37AC7"/>
    <w:rsid w:val="00E41F9C"/>
    <w:rsid w:val="00E46DB8"/>
    <w:rsid w:val="00E50ABB"/>
    <w:rsid w:val="00E57DA9"/>
    <w:rsid w:val="00E650DA"/>
    <w:rsid w:val="00E7333C"/>
    <w:rsid w:val="00E74661"/>
    <w:rsid w:val="00E7635A"/>
    <w:rsid w:val="00E76405"/>
    <w:rsid w:val="00E77FEF"/>
    <w:rsid w:val="00E8186F"/>
    <w:rsid w:val="00E81975"/>
    <w:rsid w:val="00E81F3C"/>
    <w:rsid w:val="00E8251B"/>
    <w:rsid w:val="00E87721"/>
    <w:rsid w:val="00E9741B"/>
    <w:rsid w:val="00EA1023"/>
    <w:rsid w:val="00EA253F"/>
    <w:rsid w:val="00EB0036"/>
    <w:rsid w:val="00EB0995"/>
    <w:rsid w:val="00EB2EDD"/>
    <w:rsid w:val="00EB3A1E"/>
    <w:rsid w:val="00EB54ED"/>
    <w:rsid w:val="00EB62A3"/>
    <w:rsid w:val="00EC15E5"/>
    <w:rsid w:val="00EC2C75"/>
    <w:rsid w:val="00EC38C3"/>
    <w:rsid w:val="00EC3919"/>
    <w:rsid w:val="00EC3F2A"/>
    <w:rsid w:val="00EC63B9"/>
    <w:rsid w:val="00ED0F9F"/>
    <w:rsid w:val="00ED2772"/>
    <w:rsid w:val="00ED5968"/>
    <w:rsid w:val="00ED6D16"/>
    <w:rsid w:val="00ED7C92"/>
    <w:rsid w:val="00EE07AA"/>
    <w:rsid w:val="00EE33D4"/>
    <w:rsid w:val="00EE3927"/>
    <w:rsid w:val="00EE6BC4"/>
    <w:rsid w:val="00EE7106"/>
    <w:rsid w:val="00EF12E3"/>
    <w:rsid w:val="00EF1311"/>
    <w:rsid w:val="00EF2182"/>
    <w:rsid w:val="00EF270F"/>
    <w:rsid w:val="00EF4F8D"/>
    <w:rsid w:val="00EF5605"/>
    <w:rsid w:val="00F01920"/>
    <w:rsid w:val="00F023AF"/>
    <w:rsid w:val="00F02DE5"/>
    <w:rsid w:val="00F03939"/>
    <w:rsid w:val="00F03D32"/>
    <w:rsid w:val="00F05E3A"/>
    <w:rsid w:val="00F134D3"/>
    <w:rsid w:val="00F14099"/>
    <w:rsid w:val="00F14E58"/>
    <w:rsid w:val="00F17B35"/>
    <w:rsid w:val="00F232B8"/>
    <w:rsid w:val="00F23592"/>
    <w:rsid w:val="00F265AA"/>
    <w:rsid w:val="00F3337C"/>
    <w:rsid w:val="00F3559A"/>
    <w:rsid w:val="00F3696A"/>
    <w:rsid w:val="00F44473"/>
    <w:rsid w:val="00F44E2B"/>
    <w:rsid w:val="00F47A8F"/>
    <w:rsid w:val="00F47D8B"/>
    <w:rsid w:val="00F50AB5"/>
    <w:rsid w:val="00F61812"/>
    <w:rsid w:val="00F61C8C"/>
    <w:rsid w:val="00F62C04"/>
    <w:rsid w:val="00F62C3F"/>
    <w:rsid w:val="00F64A41"/>
    <w:rsid w:val="00F67105"/>
    <w:rsid w:val="00F67178"/>
    <w:rsid w:val="00F6726C"/>
    <w:rsid w:val="00F7169B"/>
    <w:rsid w:val="00F7475B"/>
    <w:rsid w:val="00F76023"/>
    <w:rsid w:val="00F840E8"/>
    <w:rsid w:val="00F850F3"/>
    <w:rsid w:val="00F871F3"/>
    <w:rsid w:val="00F87E69"/>
    <w:rsid w:val="00F9261E"/>
    <w:rsid w:val="00F9373C"/>
    <w:rsid w:val="00F93AB4"/>
    <w:rsid w:val="00F945DD"/>
    <w:rsid w:val="00FA2073"/>
    <w:rsid w:val="00FA2089"/>
    <w:rsid w:val="00FA5BDB"/>
    <w:rsid w:val="00FB140A"/>
    <w:rsid w:val="00FB15CC"/>
    <w:rsid w:val="00FB59FB"/>
    <w:rsid w:val="00FC2D27"/>
    <w:rsid w:val="00FC44E0"/>
    <w:rsid w:val="00FC6D24"/>
    <w:rsid w:val="00FD7D7F"/>
    <w:rsid w:val="00FE27F2"/>
    <w:rsid w:val="00FE4EF0"/>
    <w:rsid w:val="00FE5D6A"/>
    <w:rsid w:val="00FE7EF8"/>
    <w:rsid w:val="00FF0CAD"/>
    <w:rsid w:val="00FF56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5B5A"/>
  <w15:docId w15:val="{B07A4BD0-09EC-4207-9DC8-04EFE308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3181"/>
    <w:pPr>
      <w:ind w:left="720"/>
      <w:contextualSpacing/>
    </w:pPr>
  </w:style>
  <w:style w:type="paragraph" w:styleId="Textedebulles">
    <w:name w:val="Balloon Text"/>
    <w:basedOn w:val="Normal"/>
    <w:link w:val="TextedebullesCar"/>
    <w:uiPriority w:val="99"/>
    <w:semiHidden/>
    <w:unhideWhenUsed/>
    <w:rsid w:val="00A075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75E9"/>
    <w:rPr>
      <w:rFonts w:ascii="Tahoma" w:hAnsi="Tahoma" w:cs="Tahoma"/>
      <w:sz w:val="16"/>
      <w:szCs w:val="16"/>
    </w:rPr>
  </w:style>
  <w:style w:type="paragraph" w:styleId="Rvision">
    <w:name w:val="Revision"/>
    <w:hidden/>
    <w:uiPriority w:val="99"/>
    <w:semiHidden/>
    <w:rsid w:val="00A075E9"/>
    <w:pPr>
      <w:spacing w:after="0" w:line="240" w:lineRule="auto"/>
    </w:pPr>
  </w:style>
  <w:style w:type="character" w:styleId="Marquedecommentaire">
    <w:name w:val="annotation reference"/>
    <w:basedOn w:val="Policepardfaut"/>
    <w:uiPriority w:val="99"/>
    <w:semiHidden/>
    <w:unhideWhenUsed/>
    <w:rsid w:val="00B902EC"/>
    <w:rPr>
      <w:sz w:val="16"/>
      <w:szCs w:val="16"/>
    </w:rPr>
  </w:style>
  <w:style w:type="paragraph" w:styleId="Commentaire">
    <w:name w:val="annotation text"/>
    <w:basedOn w:val="Normal"/>
    <w:link w:val="CommentaireCar"/>
    <w:uiPriority w:val="99"/>
    <w:unhideWhenUsed/>
    <w:rsid w:val="00B902EC"/>
    <w:pPr>
      <w:spacing w:line="240" w:lineRule="auto"/>
    </w:pPr>
    <w:rPr>
      <w:sz w:val="20"/>
      <w:szCs w:val="20"/>
    </w:rPr>
  </w:style>
  <w:style w:type="character" w:customStyle="1" w:styleId="CommentaireCar">
    <w:name w:val="Commentaire Car"/>
    <w:basedOn w:val="Policepardfaut"/>
    <w:link w:val="Commentaire"/>
    <w:uiPriority w:val="99"/>
    <w:rsid w:val="00B902EC"/>
    <w:rPr>
      <w:sz w:val="20"/>
      <w:szCs w:val="20"/>
    </w:rPr>
  </w:style>
  <w:style w:type="paragraph" w:styleId="Objetducommentaire">
    <w:name w:val="annotation subject"/>
    <w:basedOn w:val="Commentaire"/>
    <w:next w:val="Commentaire"/>
    <w:link w:val="ObjetducommentaireCar"/>
    <w:uiPriority w:val="99"/>
    <w:semiHidden/>
    <w:unhideWhenUsed/>
    <w:rsid w:val="00B902EC"/>
    <w:rPr>
      <w:b/>
      <w:bCs/>
    </w:rPr>
  </w:style>
  <w:style w:type="character" w:customStyle="1" w:styleId="ObjetducommentaireCar">
    <w:name w:val="Objet du commentaire Car"/>
    <w:basedOn w:val="CommentaireCar"/>
    <w:link w:val="Objetducommentaire"/>
    <w:uiPriority w:val="99"/>
    <w:semiHidden/>
    <w:rsid w:val="00B902EC"/>
    <w:rPr>
      <w:b/>
      <w:bCs/>
      <w:sz w:val="20"/>
      <w:szCs w:val="20"/>
    </w:rPr>
  </w:style>
  <w:style w:type="paragraph" w:styleId="En-tte">
    <w:name w:val="header"/>
    <w:basedOn w:val="Normal"/>
    <w:link w:val="En-tteCar"/>
    <w:uiPriority w:val="99"/>
    <w:unhideWhenUsed/>
    <w:rsid w:val="005109FB"/>
    <w:pPr>
      <w:tabs>
        <w:tab w:val="center" w:pos="4536"/>
        <w:tab w:val="right" w:pos="9072"/>
      </w:tabs>
      <w:spacing w:after="0" w:line="240" w:lineRule="auto"/>
    </w:pPr>
  </w:style>
  <w:style w:type="character" w:customStyle="1" w:styleId="En-tteCar">
    <w:name w:val="En-tête Car"/>
    <w:basedOn w:val="Policepardfaut"/>
    <w:link w:val="En-tte"/>
    <w:uiPriority w:val="99"/>
    <w:rsid w:val="005109FB"/>
  </w:style>
  <w:style w:type="paragraph" w:styleId="Pieddepage">
    <w:name w:val="footer"/>
    <w:basedOn w:val="Normal"/>
    <w:link w:val="PieddepageCar"/>
    <w:uiPriority w:val="99"/>
    <w:unhideWhenUsed/>
    <w:rsid w:val="005109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09FB"/>
  </w:style>
  <w:style w:type="paragraph" w:styleId="Listenumros">
    <w:name w:val="List Number"/>
    <w:basedOn w:val="Normal"/>
    <w:rsid w:val="004F667F"/>
    <w:pPr>
      <w:widowControl w:val="0"/>
      <w:numPr>
        <w:numId w:val="1"/>
      </w:numPr>
      <w:shd w:val="clear" w:color="auto" w:fill="CCFFCC"/>
      <w:tabs>
        <w:tab w:val="left" w:pos="-549"/>
      </w:tabs>
      <w:spacing w:after="0" w:line="240" w:lineRule="auto"/>
      <w:jc w:val="both"/>
    </w:pPr>
    <w:rPr>
      <w:rFonts w:eastAsia="Times New Roman" w:cs="Arial"/>
      <w:sz w:val="20"/>
      <w:szCs w:val="20"/>
      <w:lang w:val="fr-FR" w:eastAsia="nl-NL"/>
    </w:rPr>
  </w:style>
  <w:style w:type="table" w:customStyle="1" w:styleId="Tabelraster1">
    <w:name w:val="Tabelraster1"/>
    <w:basedOn w:val="TableauNormal"/>
    <w:next w:val="Grilledutableau"/>
    <w:uiPriority w:val="59"/>
    <w:rsid w:val="00AB52A5"/>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auNormal"/>
    <w:next w:val="Grilledutableau"/>
    <w:uiPriority w:val="59"/>
    <w:rsid w:val="00CA332E"/>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auNormal"/>
    <w:next w:val="Grilledutableau"/>
    <w:uiPriority w:val="59"/>
    <w:rsid w:val="007D77F0"/>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TableauNormal"/>
    <w:next w:val="Grilledutableau"/>
    <w:uiPriority w:val="59"/>
    <w:rsid w:val="00E21611"/>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TableauNormal"/>
    <w:next w:val="Grilledutableau"/>
    <w:uiPriority w:val="59"/>
    <w:rsid w:val="00E21611"/>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auNormal"/>
    <w:next w:val="Grilledutableau"/>
    <w:uiPriority w:val="59"/>
    <w:rsid w:val="00CD4487"/>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TableauNormal"/>
    <w:next w:val="Grilledutableau"/>
    <w:uiPriority w:val="59"/>
    <w:rsid w:val="00CD4487"/>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TableauNormal"/>
    <w:next w:val="Grilledutableau"/>
    <w:uiPriority w:val="59"/>
    <w:rsid w:val="009F78DE"/>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TableauNormal"/>
    <w:next w:val="Grilledutableau"/>
    <w:uiPriority w:val="59"/>
    <w:rsid w:val="00692A02"/>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TableauNormal"/>
    <w:next w:val="Grilledutableau"/>
    <w:uiPriority w:val="59"/>
    <w:rsid w:val="00397CBD"/>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TableauNormal"/>
    <w:next w:val="Grilledutableau"/>
    <w:uiPriority w:val="59"/>
    <w:rsid w:val="003C45E0"/>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TableauNormal"/>
    <w:next w:val="Grilledutableau"/>
    <w:uiPriority w:val="59"/>
    <w:rsid w:val="00AD6061"/>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TableauNormal"/>
    <w:next w:val="Grilledutableau"/>
    <w:uiPriority w:val="59"/>
    <w:rsid w:val="00A53A2A"/>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TableauNormal"/>
    <w:next w:val="Grilledutableau"/>
    <w:uiPriority w:val="59"/>
    <w:rsid w:val="00DD7F4D"/>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2697">
      <w:bodyDiv w:val="1"/>
      <w:marLeft w:val="0"/>
      <w:marRight w:val="0"/>
      <w:marTop w:val="0"/>
      <w:marBottom w:val="0"/>
      <w:divBdr>
        <w:top w:val="none" w:sz="0" w:space="0" w:color="auto"/>
        <w:left w:val="none" w:sz="0" w:space="0" w:color="auto"/>
        <w:bottom w:val="none" w:sz="0" w:space="0" w:color="auto"/>
        <w:right w:val="none" w:sz="0" w:space="0" w:color="auto"/>
      </w:divBdr>
    </w:div>
    <w:div w:id="72549640">
      <w:bodyDiv w:val="1"/>
      <w:marLeft w:val="0"/>
      <w:marRight w:val="0"/>
      <w:marTop w:val="0"/>
      <w:marBottom w:val="0"/>
      <w:divBdr>
        <w:top w:val="none" w:sz="0" w:space="0" w:color="auto"/>
        <w:left w:val="none" w:sz="0" w:space="0" w:color="auto"/>
        <w:bottom w:val="none" w:sz="0" w:space="0" w:color="auto"/>
        <w:right w:val="none" w:sz="0" w:space="0" w:color="auto"/>
      </w:divBdr>
    </w:div>
    <w:div w:id="169611653">
      <w:bodyDiv w:val="1"/>
      <w:marLeft w:val="0"/>
      <w:marRight w:val="0"/>
      <w:marTop w:val="0"/>
      <w:marBottom w:val="0"/>
      <w:divBdr>
        <w:top w:val="none" w:sz="0" w:space="0" w:color="auto"/>
        <w:left w:val="none" w:sz="0" w:space="0" w:color="auto"/>
        <w:bottom w:val="none" w:sz="0" w:space="0" w:color="auto"/>
        <w:right w:val="none" w:sz="0" w:space="0" w:color="auto"/>
      </w:divBdr>
    </w:div>
    <w:div w:id="193008855">
      <w:bodyDiv w:val="1"/>
      <w:marLeft w:val="0"/>
      <w:marRight w:val="0"/>
      <w:marTop w:val="0"/>
      <w:marBottom w:val="0"/>
      <w:divBdr>
        <w:top w:val="none" w:sz="0" w:space="0" w:color="auto"/>
        <w:left w:val="none" w:sz="0" w:space="0" w:color="auto"/>
        <w:bottom w:val="none" w:sz="0" w:space="0" w:color="auto"/>
        <w:right w:val="none" w:sz="0" w:space="0" w:color="auto"/>
      </w:divBdr>
    </w:div>
    <w:div w:id="226846588">
      <w:bodyDiv w:val="1"/>
      <w:marLeft w:val="0"/>
      <w:marRight w:val="0"/>
      <w:marTop w:val="0"/>
      <w:marBottom w:val="0"/>
      <w:divBdr>
        <w:top w:val="none" w:sz="0" w:space="0" w:color="auto"/>
        <w:left w:val="none" w:sz="0" w:space="0" w:color="auto"/>
        <w:bottom w:val="none" w:sz="0" w:space="0" w:color="auto"/>
        <w:right w:val="none" w:sz="0" w:space="0" w:color="auto"/>
      </w:divBdr>
    </w:div>
    <w:div w:id="388115770">
      <w:bodyDiv w:val="1"/>
      <w:marLeft w:val="0"/>
      <w:marRight w:val="0"/>
      <w:marTop w:val="0"/>
      <w:marBottom w:val="0"/>
      <w:divBdr>
        <w:top w:val="none" w:sz="0" w:space="0" w:color="auto"/>
        <w:left w:val="none" w:sz="0" w:space="0" w:color="auto"/>
        <w:bottom w:val="none" w:sz="0" w:space="0" w:color="auto"/>
        <w:right w:val="none" w:sz="0" w:space="0" w:color="auto"/>
      </w:divBdr>
      <w:divsChild>
        <w:div w:id="981734549">
          <w:marLeft w:val="0"/>
          <w:marRight w:val="0"/>
          <w:marTop w:val="0"/>
          <w:marBottom w:val="0"/>
          <w:divBdr>
            <w:top w:val="none" w:sz="0" w:space="0" w:color="auto"/>
            <w:left w:val="none" w:sz="0" w:space="0" w:color="auto"/>
            <w:bottom w:val="none" w:sz="0" w:space="0" w:color="auto"/>
            <w:right w:val="none" w:sz="0" w:space="0" w:color="auto"/>
          </w:divBdr>
          <w:divsChild>
            <w:div w:id="624309100">
              <w:marLeft w:val="0"/>
              <w:marRight w:val="0"/>
              <w:marTop w:val="0"/>
              <w:marBottom w:val="0"/>
              <w:divBdr>
                <w:top w:val="none" w:sz="0" w:space="0" w:color="auto"/>
                <w:left w:val="none" w:sz="0" w:space="0" w:color="auto"/>
                <w:bottom w:val="none" w:sz="0" w:space="0" w:color="auto"/>
                <w:right w:val="none" w:sz="0" w:space="0" w:color="auto"/>
              </w:divBdr>
              <w:divsChild>
                <w:div w:id="142234464">
                  <w:marLeft w:val="-225"/>
                  <w:marRight w:val="-225"/>
                  <w:marTop w:val="0"/>
                  <w:marBottom w:val="0"/>
                  <w:divBdr>
                    <w:top w:val="none" w:sz="0" w:space="0" w:color="auto"/>
                    <w:left w:val="none" w:sz="0" w:space="0" w:color="auto"/>
                    <w:bottom w:val="none" w:sz="0" w:space="0" w:color="auto"/>
                    <w:right w:val="none" w:sz="0" w:space="0" w:color="auto"/>
                  </w:divBdr>
                  <w:divsChild>
                    <w:div w:id="2089033924">
                      <w:marLeft w:val="0"/>
                      <w:marRight w:val="0"/>
                      <w:marTop w:val="0"/>
                      <w:marBottom w:val="0"/>
                      <w:divBdr>
                        <w:top w:val="none" w:sz="0" w:space="0" w:color="auto"/>
                        <w:left w:val="none" w:sz="0" w:space="0" w:color="auto"/>
                        <w:bottom w:val="none" w:sz="0" w:space="0" w:color="auto"/>
                        <w:right w:val="none" w:sz="0" w:space="0" w:color="auto"/>
                      </w:divBdr>
                      <w:divsChild>
                        <w:div w:id="502548722">
                          <w:marLeft w:val="-225"/>
                          <w:marRight w:val="-225"/>
                          <w:marTop w:val="0"/>
                          <w:marBottom w:val="0"/>
                          <w:divBdr>
                            <w:top w:val="none" w:sz="0" w:space="0" w:color="auto"/>
                            <w:left w:val="none" w:sz="0" w:space="0" w:color="auto"/>
                            <w:bottom w:val="none" w:sz="0" w:space="0" w:color="auto"/>
                            <w:right w:val="none" w:sz="0" w:space="0" w:color="auto"/>
                          </w:divBdr>
                          <w:divsChild>
                            <w:div w:id="1810853746">
                              <w:marLeft w:val="0"/>
                              <w:marRight w:val="0"/>
                              <w:marTop w:val="0"/>
                              <w:marBottom w:val="0"/>
                              <w:divBdr>
                                <w:top w:val="none" w:sz="0" w:space="0" w:color="auto"/>
                                <w:left w:val="none" w:sz="0" w:space="0" w:color="auto"/>
                                <w:bottom w:val="none" w:sz="0" w:space="0" w:color="auto"/>
                                <w:right w:val="none" w:sz="0" w:space="0" w:color="auto"/>
                              </w:divBdr>
                              <w:divsChild>
                                <w:div w:id="1912812210">
                                  <w:marLeft w:val="0"/>
                                  <w:marRight w:val="0"/>
                                  <w:marTop w:val="0"/>
                                  <w:marBottom w:val="0"/>
                                  <w:divBdr>
                                    <w:top w:val="none" w:sz="0" w:space="0" w:color="auto"/>
                                    <w:left w:val="single" w:sz="6" w:space="0" w:color="E9E9E9"/>
                                    <w:bottom w:val="none" w:sz="0" w:space="0" w:color="auto"/>
                                    <w:right w:val="none" w:sz="0" w:space="0" w:color="auto"/>
                                  </w:divBdr>
                                  <w:divsChild>
                                    <w:div w:id="1807580375">
                                      <w:marLeft w:val="0"/>
                                      <w:marRight w:val="0"/>
                                      <w:marTop w:val="0"/>
                                      <w:marBottom w:val="0"/>
                                      <w:divBdr>
                                        <w:top w:val="none" w:sz="0" w:space="0" w:color="auto"/>
                                        <w:left w:val="none" w:sz="0" w:space="0" w:color="auto"/>
                                        <w:bottom w:val="none" w:sz="0" w:space="0" w:color="auto"/>
                                        <w:right w:val="none" w:sz="0" w:space="0" w:color="auto"/>
                                      </w:divBdr>
                                      <w:divsChild>
                                        <w:div w:id="637225562">
                                          <w:marLeft w:val="0"/>
                                          <w:marRight w:val="0"/>
                                          <w:marTop w:val="0"/>
                                          <w:marBottom w:val="0"/>
                                          <w:divBdr>
                                            <w:top w:val="none" w:sz="0" w:space="0" w:color="auto"/>
                                            <w:left w:val="none" w:sz="0" w:space="0" w:color="auto"/>
                                            <w:bottom w:val="none" w:sz="0" w:space="0" w:color="auto"/>
                                            <w:right w:val="none" w:sz="0" w:space="0" w:color="auto"/>
                                          </w:divBdr>
                                          <w:divsChild>
                                            <w:div w:id="1312173794">
                                              <w:marLeft w:val="0"/>
                                              <w:marRight w:val="0"/>
                                              <w:marTop w:val="0"/>
                                              <w:marBottom w:val="0"/>
                                              <w:divBdr>
                                                <w:top w:val="none" w:sz="0" w:space="0" w:color="auto"/>
                                                <w:left w:val="none" w:sz="0" w:space="0" w:color="auto"/>
                                                <w:bottom w:val="none" w:sz="0" w:space="0" w:color="auto"/>
                                                <w:right w:val="none" w:sz="0" w:space="0" w:color="auto"/>
                                              </w:divBdr>
                                              <w:divsChild>
                                                <w:div w:id="1584992596">
                                                  <w:marLeft w:val="0"/>
                                                  <w:marRight w:val="0"/>
                                                  <w:marTop w:val="0"/>
                                                  <w:marBottom w:val="0"/>
                                                  <w:divBdr>
                                                    <w:top w:val="none" w:sz="0" w:space="0" w:color="auto"/>
                                                    <w:left w:val="none" w:sz="0" w:space="0" w:color="auto"/>
                                                    <w:bottom w:val="none" w:sz="0" w:space="0" w:color="auto"/>
                                                    <w:right w:val="none" w:sz="0" w:space="0" w:color="auto"/>
                                                  </w:divBdr>
                                                  <w:divsChild>
                                                    <w:div w:id="633949182">
                                                      <w:marLeft w:val="0"/>
                                                      <w:marRight w:val="0"/>
                                                      <w:marTop w:val="0"/>
                                                      <w:marBottom w:val="0"/>
                                                      <w:divBdr>
                                                        <w:top w:val="none" w:sz="0" w:space="0" w:color="auto"/>
                                                        <w:left w:val="none" w:sz="0" w:space="0" w:color="auto"/>
                                                        <w:bottom w:val="none" w:sz="0" w:space="0" w:color="auto"/>
                                                        <w:right w:val="none" w:sz="0" w:space="0" w:color="auto"/>
                                                      </w:divBdr>
                                                      <w:divsChild>
                                                        <w:div w:id="4250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176061">
      <w:bodyDiv w:val="1"/>
      <w:marLeft w:val="0"/>
      <w:marRight w:val="0"/>
      <w:marTop w:val="0"/>
      <w:marBottom w:val="0"/>
      <w:divBdr>
        <w:top w:val="none" w:sz="0" w:space="0" w:color="auto"/>
        <w:left w:val="none" w:sz="0" w:space="0" w:color="auto"/>
        <w:bottom w:val="none" w:sz="0" w:space="0" w:color="auto"/>
        <w:right w:val="none" w:sz="0" w:space="0" w:color="auto"/>
      </w:divBdr>
    </w:div>
    <w:div w:id="609241104">
      <w:bodyDiv w:val="1"/>
      <w:marLeft w:val="0"/>
      <w:marRight w:val="0"/>
      <w:marTop w:val="0"/>
      <w:marBottom w:val="0"/>
      <w:divBdr>
        <w:top w:val="none" w:sz="0" w:space="0" w:color="auto"/>
        <w:left w:val="none" w:sz="0" w:space="0" w:color="auto"/>
        <w:bottom w:val="none" w:sz="0" w:space="0" w:color="auto"/>
        <w:right w:val="none" w:sz="0" w:space="0" w:color="auto"/>
      </w:divBdr>
    </w:div>
    <w:div w:id="749499693">
      <w:bodyDiv w:val="1"/>
      <w:marLeft w:val="0"/>
      <w:marRight w:val="0"/>
      <w:marTop w:val="0"/>
      <w:marBottom w:val="0"/>
      <w:divBdr>
        <w:top w:val="none" w:sz="0" w:space="0" w:color="auto"/>
        <w:left w:val="none" w:sz="0" w:space="0" w:color="auto"/>
        <w:bottom w:val="none" w:sz="0" w:space="0" w:color="auto"/>
        <w:right w:val="none" w:sz="0" w:space="0" w:color="auto"/>
      </w:divBdr>
    </w:div>
    <w:div w:id="9271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827165">
          <w:marLeft w:val="0"/>
          <w:marRight w:val="0"/>
          <w:marTop w:val="0"/>
          <w:marBottom w:val="0"/>
          <w:divBdr>
            <w:top w:val="none" w:sz="0" w:space="0" w:color="auto"/>
            <w:left w:val="none" w:sz="0" w:space="0" w:color="auto"/>
            <w:bottom w:val="none" w:sz="0" w:space="0" w:color="auto"/>
            <w:right w:val="none" w:sz="0" w:space="0" w:color="auto"/>
          </w:divBdr>
          <w:divsChild>
            <w:div w:id="883449537">
              <w:marLeft w:val="0"/>
              <w:marRight w:val="0"/>
              <w:marTop w:val="0"/>
              <w:marBottom w:val="0"/>
              <w:divBdr>
                <w:top w:val="none" w:sz="0" w:space="0" w:color="auto"/>
                <w:left w:val="none" w:sz="0" w:space="0" w:color="auto"/>
                <w:bottom w:val="none" w:sz="0" w:space="0" w:color="auto"/>
                <w:right w:val="none" w:sz="0" w:space="0" w:color="auto"/>
              </w:divBdr>
              <w:divsChild>
                <w:div w:id="518591631">
                  <w:marLeft w:val="-225"/>
                  <w:marRight w:val="-225"/>
                  <w:marTop w:val="0"/>
                  <w:marBottom w:val="0"/>
                  <w:divBdr>
                    <w:top w:val="none" w:sz="0" w:space="0" w:color="auto"/>
                    <w:left w:val="none" w:sz="0" w:space="0" w:color="auto"/>
                    <w:bottom w:val="none" w:sz="0" w:space="0" w:color="auto"/>
                    <w:right w:val="none" w:sz="0" w:space="0" w:color="auto"/>
                  </w:divBdr>
                  <w:divsChild>
                    <w:div w:id="1248922919">
                      <w:marLeft w:val="0"/>
                      <w:marRight w:val="0"/>
                      <w:marTop w:val="0"/>
                      <w:marBottom w:val="0"/>
                      <w:divBdr>
                        <w:top w:val="none" w:sz="0" w:space="0" w:color="auto"/>
                        <w:left w:val="none" w:sz="0" w:space="0" w:color="auto"/>
                        <w:bottom w:val="none" w:sz="0" w:space="0" w:color="auto"/>
                        <w:right w:val="none" w:sz="0" w:space="0" w:color="auto"/>
                      </w:divBdr>
                      <w:divsChild>
                        <w:div w:id="1330865214">
                          <w:marLeft w:val="-225"/>
                          <w:marRight w:val="-225"/>
                          <w:marTop w:val="0"/>
                          <w:marBottom w:val="0"/>
                          <w:divBdr>
                            <w:top w:val="none" w:sz="0" w:space="0" w:color="auto"/>
                            <w:left w:val="none" w:sz="0" w:space="0" w:color="auto"/>
                            <w:bottom w:val="none" w:sz="0" w:space="0" w:color="auto"/>
                            <w:right w:val="none" w:sz="0" w:space="0" w:color="auto"/>
                          </w:divBdr>
                          <w:divsChild>
                            <w:div w:id="977614397">
                              <w:marLeft w:val="0"/>
                              <w:marRight w:val="0"/>
                              <w:marTop w:val="0"/>
                              <w:marBottom w:val="0"/>
                              <w:divBdr>
                                <w:top w:val="none" w:sz="0" w:space="0" w:color="auto"/>
                                <w:left w:val="none" w:sz="0" w:space="0" w:color="auto"/>
                                <w:bottom w:val="none" w:sz="0" w:space="0" w:color="auto"/>
                                <w:right w:val="none" w:sz="0" w:space="0" w:color="auto"/>
                              </w:divBdr>
                              <w:divsChild>
                                <w:div w:id="989360431">
                                  <w:marLeft w:val="0"/>
                                  <w:marRight w:val="0"/>
                                  <w:marTop w:val="0"/>
                                  <w:marBottom w:val="0"/>
                                  <w:divBdr>
                                    <w:top w:val="none" w:sz="0" w:space="0" w:color="auto"/>
                                    <w:left w:val="single" w:sz="6" w:space="0" w:color="E9E9E9"/>
                                    <w:bottom w:val="none" w:sz="0" w:space="0" w:color="auto"/>
                                    <w:right w:val="none" w:sz="0" w:space="0" w:color="auto"/>
                                  </w:divBdr>
                                  <w:divsChild>
                                    <w:div w:id="359626628">
                                      <w:marLeft w:val="0"/>
                                      <w:marRight w:val="0"/>
                                      <w:marTop w:val="0"/>
                                      <w:marBottom w:val="0"/>
                                      <w:divBdr>
                                        <w:top w:val="none" w:sz="0" w:space="0" w:color="auto"/>
                                        <w:left w:val="none" w:sz="0" w:space="0" w:color="auto"/>
                                        <w:bottom w:val="none" w:sz="0" w:space="0" w:color="auto"/>
                                        <w:right w:val="none" w:sz="0" w:space="0" w:color="auto"/>
                                      </w:divBdr>
                                      <w:divsChild>
                                        <w:div w:id="484661321">
                                          <w:marLeft w:val="0"/>
                                          <w:marRight w:val="0"/>
                                          <w:marTop w:val="0"/>
                                          <w:marBottom w:val="0"/>
                                          <w:divBdr>
                                            <w:top w:val="none" w:sz="0" w:space="0" w:color="auto"/>
                                            <w:left w:val="none" w:sz="0" w:space="0" w:color="auto"/>
                                            <w:bottom w:val="none" w:sz="0" w:space="0" w:color="auto"/>
                                            <w:right w:val="none" w:sz="0" w:space="0" w:color="auto"/>
                                          </w:divBdr>
                                          <w:divsChild>
                                            <w:div w:id="751971428">
                                              <w:marLeft w:val="0"/>
                                              <w:marRight w:val="0"/>
                                              <w:marTop w:val="0"/>
                                              <w:marBottom w:val="0"/>
                                              <w:divBdr>
                                                <w:top w:val="none" w:sz="0" w:space="0" w:color="auto"/>
                                                <w:left w:val="none" w:sz="0" w:space="0" w:color="auto"/>
                                                <w:bottom w:val="none" w:sz="0" w:space="0" w:color="auto"/>
                                                <w:right w:val="none" w:sz="0" w:space="0" w:color="auto"/>
                                              </w:divBdr>
                                              <w:divsChild>
                                                <w:div w:id="2022002534">
                                                  <w:marLeft w:val="0"/>
                                                  <w:marRight w:val="0"/>
                                                  <w:marTop w:val="0"/>
                                                  <w:marBottom w:val="0"/>
                                                  <w:divBdr>
                                                    <w:top w:val="none" w:sz="0" w:space="0" w:color="auto"/>
                                                    <w:left w:val="none" w:sz="0" w:space="0" w:color="auto"/>
                                                    <w:bottom w:val="none" w:sz="0" w:space="0" w:color="auto"/>
                                                    <w:right w:val="none" w:sz="0" w:space="0" w:color="auto"/>
                                                  </w:divBdr>
                                                  <w:divsChild>
                                                    <w:div w:id="1581521254">
                                                      <w:marLeft w:val="0"/>
                                                      <w:marRight w:val="0"/>
                                                      <w:marTop w:val="0"/>
                                                      <w:marBottom w:val="0"/>
                                                      <w:divBdr>
                                                        <w:top w:val="none" w:sz="0" w:space="0" w:color="auto"/>
                                                        <w:left w:val="none" w:sz="0" w:space="0" w:color="auto"/>
                                                        <w:bottom w:val="none" w:sz="0" w:space="0" w:color="auto"/>
                                                        <w:right w:val="none" w:sz="0" w:space="0" w:color="auto"/>
                                                      </w:divBdr>
                                                      <w:divsChild>
                                                        <w:div w:id="876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9041204">
      <w:bodyDiv w:val="1"/>
      <w:marLeft w:val="0"/>
      <w:marRight w:val="0"/>
      <w:marTop w:val="0"/>
      <w:marBottom w:val="0"/>
      <w:divBdr>
        <w:top w:val="none" w:sz="0" w:space="0" w:color="auto"/>
        <w:left w:val="none" w:sz="0" w:space="0" w:color="auto"/>
        <w:bottom w:val="none" w:sz="0" w:space="0" w:color="auto"/>
        <w:right w:val="none" w:sz="0" w:space="0" w:color="auto"/>
      </w:divBdr>
      <w:divsChild>
        <w:div w:id="1334526936">
          <w:marLeft w:val="0"/>
          <w:marRight w:val="0"/>
          <w:marTop w:val="0"/>
          <w:marBottom w:val="0"/>
          <w:divBdr>
            <w:top w:val="none" w:sz="0" w:space="0" w:color="auto"/>
            <w:left w:val="none" w:sz="0" w:space="0" w:color="auto"/>
            <w:bottom w:val="none" w:sz="0" w:space="0" w:color="auto"/>
            <w:right w:val="none" w:sz="0" w:space="0" w:color="auto"/>
          </w:divBdr>
        </w:div>
      </w:divsChild>
    </w:div>
    <w:div w:id="1121458164">
      <w:bodyDiv w:val="1"/>
      <w:marLeft w:val="0"/>
      <w:marRight w:val="0"/>
      <w:marTop w:val="0"/>
      <w:marBottom w:val="0"/>
      <w:divBdr>
        <w:top w:val="none" w:sz="0" w:space="0" w:color="auto"/>
        <w:left w:val="none" w:sz="0" w:space="0" w:color="auto"/>
        <w:bottom w:val="none" w:sz="0" w:space="0" w:color="auto"/>
        <w:right w:val="none" w:sz="0" w:space="0" w:color="auto"/>
      </w:divBdr>
    </w:div>
    <w:div w:id="1178471494">
      <w:bodyDiv w:val="1"/>
      <w:marLeft w:val="0"/>
      <w:marRight w:val="0"/>
      <w:marTop w:val="0"/>
      <w:marBottom w:val="0"/>
      <w:divBdr>
        <w:top w:val="none" w:sz="0" w:space="0" w:color="auto"/>
        <w:left w:val="none" w:sz="0" w:space="0" w:color="auto"/>
        <w:bottom w:val="none" w:sz="0" w:space="0" w:color="auto"/>
        <w:right w:val="none" w:sz="0" w:space="0" w:color="auto"/>
      </w:divBdr>
    </w:div>
    <w:div w:id="1478299571">
      <w:bodyDiv w:val="1"/>
      <w:marLeft w:val="0"/>
      <w:marRight w:val="0"/>
      <w:marTop w:val="0"/>
      <w:marBottom w:val="0"/>
      <w:divBdr>
        <w:top w:val="none" w:sz="0" w:space="0" w:color="auto"/>
        <w:left w:val="none" w:sz="0" w:space="0" w:color="auto"/>
        <w:bottom w:val="none" w:sz="0" w:space="0" w:color="auto"/>
        <w:right w:val="none" w:sz="0" w:space="0" w:color="auto"/>
      </w:divBdr>
    </w:div>
    <w:div w:id="1609121404">
      <w:bodyDiv w:val="1"/>
      <w:marLeft w:val="0"/>
      <w:marRight w:val="0"/>
      <w:marTop w:val="0"/>
      <w:marBottom w:val="0"/>
      <w:divBdr>
        <w:top w:val="none" w:sz="0" w:space="0" w:color="auto"/>
        <w:left w:val="none" w:sz="0" w:space="0" w:color="auto"/>
        <w:bottom w:val="none" w:sz="0" w:space="0" w:color="auto"/>
        <w:right w:val="none" w:sz="0" w:space="0" w:color="auto"/>
      </w:divBdr>
    </w:div>
    <w:div w:id="1646861342">
      <w:bodyDiv w:val="1"/>
      <w:marLeft w:val="0"/>
      <w:marRight w:val="0"/>
      <w:marTop w:val="0"/>
      <w:marBottom w:val="0"/>
      <w:divBdr>
        <w:top w:val="none" w:sz="0" w:space="0" w:color="auto"/>
        <w:left w:val="none" w:sz="0" w:space="0" w:color="auto"/>
        <w:bottom w:val="none" w:sz="0" w:space="0" w:color="auto"/>
        <w:right w:val="none" w:sz="0" w:space="0" w:color="auto"/>
      </w:divBdr>
    </w:div>
    <w:div w:id="1980183535">
      <w:bodyDiv w:val="1"/>
      <w:marLeft w:val="0"/>
      <w:marRight w:val="0"/>
      <w:marTop w:val="0"/>
      <w:marBottom w:val="0"/>
      <w:divBdr>
        <w:top w:val="none" w:sz="0" w:space="0" w:color="auto"/>
        <w:left w:val="none" w:sz="0" w:space="0" w:color="auto"/>
        <w:bottom w:val="none" w:sz="0" w:space="0" w:color="auto"/>
        <w:right w:val="none" w:sz="0" w:space="0" w:color="auto"/>
      </w:divBdr>
    </w:div>
    <w:div w:id="2101563352">
      <w:bodyDiv w:val="1"/>
      <w:marLeft w:val="0"/>
      <w:marRight w:val="0"/>
      <w:marTop w:val="0"/>
      <w:marBottom w:val="0"/>
      <w:divBdr>
        <w:top w:val="none" w:sz="0" w:space="0" w:color="auto"/>
        <w:left w:val="none" w:sz="0" w:space="0" w:color="auto"/>
        <w:bottom w:val="none" w:sz="0" w:space="0" w:color="auto"/>
        <w:right w:val="none" w:sz="0" w:space="0" w:color="auto"/>
      </w:divBdr>
    </w:div>
    <w:div w:id="2120643022">
      <w:bodyDiv w:val="1"/>
      <w:marLeft w:val="0"/>
      <w:marRight w:val="0"/>
      <w:marTop w:val="0"/>
      <w:marBottom w:val="0"/>
      <w:divBdr>
        <w:top w:val="none" w:sz="0" w:space="0" w:color="auto"/>
        <w:left w:val="none" w:sz="0" w:space="0" w:color="auto"/>
        <w:bottom w:val="none" w:sz="0" w:space="0" w:color="auto"/>
        <w:right w:val="none" w:sz="0" w:space="0" w:color="auto"/>
      </w:divBdr>
    </w:div>
    <w:div w:id="214076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9CA4B-E3E7-4799-84AD-3D223B3D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12456</Words>
  <Characters>68512</Characters>
  <Application>Microsoft Office Word</Application>
  <DocSecurity>4</DocSecurity>
  <Lines>570</Lines>
  <Paragraphs>161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IBZ</Company>
  <LinksUpToDate>false</LinksUpToDate>
  <CharactersWithSpaces>80807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Laarmans Jan</dc:creator>
  <cp:keywords/>
  <dc:description/>
  <cp:lastModifiedBy>Laurent Wenkin (FOD Economie - SPF Economie)</cp:lastModifiedBy>
  <cp:revision>2</cp:revision>
  <cp:lastPrinted>2020-11-12T14:22:00Z</cp:lastPrinted>
  <dcterms:created xsi:type="dcterms:W3CDTF">2021-07-07T10:14:00Z</dcterms:created>
  <dcterms:modified xsi:type="dcterms:W3CDTF">2021-07-07T10:14:00Z</dcterms:modified>
</cp:coreProperties>
</file>