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A Agência de Saúde Pública da Suécia relativa aos produtos de nicotina sem tabaco;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adotado em </w:t>
      </w:r>
      <w:r>
        <w:rPr>
          <w:highlight w:val="yellow"/>
        </w:rPr>
        <w:t>DD MM</w:t>
      </w:r>
      <w:r>
        <w:t xml:space="preserve"> de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Por força da Secção 4 do Decreto (2022:1263) relativa aos produtos de nicotina sem tabaco, a Agência de Saúde Pública da Suécia estabelece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o seguinte.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Disposições introdutórias</w:t>
      </w:r>
    </w:p>
    <w:p w14:paraId="78C85C8F" w14:textId="77777777" w:rsidR="009902B0" w:rsidRDefault="009902B0" w:rsidP="000509F1">
      <w:pPr>
        <w:pStyle w:val="HSLF-FS-Rubrik-3"/>
      </w:pPr>
      <w:r>
        <w:t>Âmbito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Secção 1</w:t>
      </w:r>
      <w:r>
        <w:t xml:space="preserve"> Estes regulamentos complementam as disposições da Lei (2022:1257) dos Produtos de Nicotina Sem Tabaco e o Decreto (2022:1263) sobre os produtos de nicotina sem tabaco.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Secção 2</w:t>
      </w:r>
      <w:r>
        <w:t xml:space="preserve"> Estes regulamentos devem ser aplicados por fabricantes, importadores e distribuidores de produtos de nicotina sem tabaco, que devem ser disponibilizados aos consumidores no mercado.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Os regulamentos contêm disposições sobre a notificação dos produtos, a rotulagem, as obrigações de comunicação de informações e as obrigações de notificação.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Definições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Secção 3</w:t>
      </w:r>
      <w:r>
        <w:t xml:space="preserve"> Os termos e conceitos utilizados na Lei (2022:1257) dos Produtos de Nicotina Sem Tabaco e no Decreto (2022:1263) sobre produtos de nicotina sem tabaco têm o mesmo significado nestes regulamentos.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Secção 4</w:t>
      </w:r>
      <w:r>
        <w:t xml:space="preserve"> Os seguintes termos também são utilizados nestes regulamentos: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distribuidor:</w:t>
      </w:r>
      <w:r>
        <w:t xml:space="preserve"> qualquer pessoa singular ou coletiva na cadeia de abastecimento que não seja o fabricante e importador que disponibilize no mercado produtos de nicotina sem tabaco;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zona de comercialização:</w:t>
      </w:r>
      <w:r>
        <w:t xml:space="preserve"> uma área destinada à publicidade comercial nos meios de comunicação social, tal como referido na Secção 10, primeiro parágrafo, pontos 1 e 2, da Lei (2022:1257) relativa aos produtos de nicotina sem tabaco;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pacote da unidade: </w:t>
      </w:r>
      <w:r>
        <w:t>a mais pequena embalagem individual para produtos de nicotina sem tabaco colocados no mercado;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embalagem exterior</w:t>
      </w:r>
      <w:r>
        <w:t xml:space="preserve">: qualquer embalagem em que sejam colocados no mercado produtos isentos de tabaco que contenham uma embalagem individual ou várias embalagens individuais; as embalagens transparentes não são consideradas embalagens exteriores.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Notificação do produto</w:t>
      </w:r>
    </w:p>
    <w:p w14:paraId="2EBE1B3B" w14:textId="77777777" w:rsidR="00B274C8" w:rsidRDefault="00B274C8" w:rsidP="00B274C8">
      <w:r>
        <w:rPr>
          <w:b/>
        </w:rPr>
        <w:t>Secção 5</w:t>
      </w:r>
      <w:r>
        <w:t xml:space="preserve"> A notificação do produto nos termos da Secção 5 da Lei (2022:1257) relativa aos produtos de nicotina sem tabaco deve ser apresentada no formato utilizado na solução técnica para a notificação do produto fornecida pela Agência de Saúde Pública.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Rotulagem</w:t>
      </w:r>
    </w:p>
    <w:p w14:paraId="37B24B72" w14:textId="77777777" w:rsidR="00B274C8" w:rsidRDefault="00B274C8" w:rsidP="00B274C8">
      <w:pPr>
        <w:pStyle w:val="HSLF-FS-Rubrik-3"/>
      </w:pPr>
      <w:r>
        <w:t>Declaração do conteúdo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Secção 6</w:t>
      </w:r>
      <w:r>
        <w:t xml:space="preserve"> A </w:t>
      </w:r>
      <w:r>
        <w:rPr>
          <w:sz w:val="21"/>
        </w:rPr>
        <w:t>declaração de conteúdo nos termos da Secção 11 do Decreto (2022:1263) relativa aos produtos de nicotina sem tabaco deve ser fornecida numa das maiores superfícies da embalagem individual e da embalagem exterior e cobrir 20 % desta superfície. Em todos os outros aspetos, a declaração de conteúdo deve cumprir os requisitos estabelecidos na Secção 9, pontos c) a e) e g).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Secção 7</w:t>
      </w:r>
      <w:r>
        <w:rPr>
          <w:sz w:val="21"/>
        </w:rPr>
        <w:t xml:space="preserve"> A declaração de conteúdo deve ser feita em sueco.</w:t>
      </w:r>
    </w:p>
    <w:p w14:paraId="5A867DE5" w14:textId="77777777" w:rsidR="00B274C8" w:rsidRPr="00B274C8" w:rsidRDefault="00B274C8" w:rsidP="00B274C8">
      <w:r>
        <w:rPr>
          <w:b/>
          <w:sz w:val="21"/>
        </w:rPr>
        <w:lastRenderedPageBreak/>
        <w:t>Secção 8</w:t>
      </w:r>
      <w:r>
        <w:rPr>
          <w:sz w:val="21"/>
        </w:rPr>
        <w:t xml:space="preserve"> As declarações de conteúdo nos termos da Secção 6 podem ser apostas com autocolantes, desde que esses autocolantes não possam ser retirados.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Advertência de saúde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Secção 9</w:t>
      </w:r>
      <w:r>
        <w:rPr>
          <w:sz w:val="21"/>
        </w:rPr>
        <w:t xml:space="preserve"> A advertência de saúde referida na Secção 12 do Decreto (2022:1263) relativa aos produtos de nicotina sem tabaco deve: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ser fornecida nas duas maiores superfícies da embalagem individual e em qualquer embalagem exterior;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cobrir 30 % das superfícies da embalagem individual e de qualquer embalagem exterior;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ser escrita em carateres Helvetica em negrito;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ser escrita em preto sobre um fundo branco;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ser escrita em carateres de tamanho tal que o texto cubra a maior percentagem possível da área reservada à rotulagem;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estar situada no centro da área reservada, bem como na embalagem retangular e em qualquer embalagem exterior, deve ser paralelo à margem lateral da embalagem individual ou da embalagem exterior; e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ser paralela ao texto principal na área reservada a estas advertências.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Secção 10</w:t>
      </w:r>
      <w:r>
        <w:rPr>
          <w:sz w:val="21"/>
        </w:rPr>
        <w:t xml:space="preserve"> As advertências de saúde nos termos da Secção 9 podem ser apostas com autocolantes, desde que esses autocolantes não possam ser removidos.</w:t>
      </w:r>
    </w:p>
    <w:p w14:paraId="61CF3BF9" w14:textId="11E7944F" w:rsidR="00DA031C" w:rsidRDefault="00DA031C" w:rsidP="00144DE9">
      <w:pPr>
        <w:pStyle w:val="HSLF-FS-Rubrik-2"/>
      </w:pPr>
      <w:r>
        <w:t>Advertência de saúde na comercialização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Secção 11 </w:t>
      </w:r>
      <w:r>
        <w:rPr>
          <w:color w:val="000000"/>
          <w:sz w:val="21"/>
        </w:rPr>
        <w:t xml:space="preserve">Durante a comercialização de acordo com a Secção 10, primeiro parágrafo, pontos 1 e 2 da Lei (2022:1257) sobre produtos de nicotina sem tabaco, uma advertência de saúde de acordo com a Secção 12 </w:t>
      </w:r>
      <w:r>
        <w:rPr>
          <w:sz w:val="21"/>
        </w:rPr>
        <w:t xml:space="preserve">do Decreto (2022:1263) sobre os produtos de nicotina sem tabaco deve ser claramente visível sempre que o produto ou uma marca registada para o produto é apresentado. A advertência de saúde deve abranger 30 % da superfície de comercialização e, em todos os outros aspetos, cumprir o disposto nos pontos c) a e) e g) da Secção 9 destes regulamentos.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Durante a comercialização em conformidade com a Secção 10, primeiro parágrafo, ponto 3, da Lei (2022:1257) relativa aos produtos de nicotina sem tabaco, uma advertência de saúde em conformidade com a Secção 12 </w:t>
      </w:r>
      <w:r>
        <w:rPr>
          <w:sz w:val="21"/>
        </w:rPr>
        <w:t xml:space="preserve">do Decreto (2022:1263) sobre os produtos de nicotina sem tabaco deve ser claramente visível sempre </w:t>
      </w:r>
      <w:r>
        <w:rPr>
          <w:sz w:val="21"/>
        </w:rPr>
        <w:lastRenderedPageBreak/>
        <w:t xml:space="preserve">que o produto ou uma marca comercial do produto é apresentado. A advertência de saúde deve, em todos os outros aspetos, estar em conformidade com o disposto na Secção 9, pontos c) a e), dos presentes regulamentos.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Obrigação de relatório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Secção 12</w:t>
      </w:r>
      <w:r>
        <w:rPr>
          <w:sz w:val="21"/>
        </w:rPr>
        <w:t xml:space="preserve"> Informação de acordo com a Secção 14 da Lei (2022:1257) sobre produtos de nicotina sem tabaco deve ser fornecida na mesma solução técnica que a utilizada para a notificação do produto nos termos da Secção 5 destes regulamentos.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Obrigação de notificação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Secção 13</w:t>
      </w:r>
      <w:r>
        <w:rPr>
          <w:b w:val="0"/>
        </w:rPr>
        <w:t xml:space="preserve"> </w:t>
      </w:r>
      <w:r>
        <w:rPr>
          <w:b w:val="0"/>
          <w:i w:val="0"/>
          <w:sz w:val="21"/>
        </w:rPr>
        <w:t xml:space="preserve">Notificação de um fabricante, importador e distribuidor em conformidade com a Secção 16, segundo parágrafo, da Lei (2022:1257) sobre produtos de nicotina sem tabaco deve ser fornecida na mesma solução técnica que a utilizada para a notificação de produtos nos termos da Secção 5 desses regulamentos.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As Secções 5, 11 e 12 dos presentes regulamentos entram em vigor a 1 de janeiro de 2024; todas as outras secções entram em vigor a 1 de julho de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Agência de Saúde Pública da Suécia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Procedeu-se à notificação em conformidade com a Diretiva (UE) 2015/1535 do Parlamento Europeu e do Conselho, de 9 de setembro de 2015, relativa a um procedimento de informação no domínio dos regulamentos técnicos e das regras relativas aos serviços da sociedade da informação.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F84B02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JETO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F84B02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JETO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F84B02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JETO"/>
          <w10:wrap anchorx="margin" anchory="margin"/>
        </v:shape>
      </w:pict>
    </w:r>
    <w:r w:rsidR="00BB6229">
      <w:t xml:space="preserve">Coletânea </w:t>
    </w:r>
    <w:r w:rsidR="00BB6229">
      <w:t>Legislativa comum relativa aos cuidados de saúde, aos cuidados médicos, aos serviços sociais, aos medicamentos, à saúde pública, etc.</w:t>
    </w:r>
  </w:p>
  <w:p w14:paraId="1C104ACA" w14:textId="2DE392ED" w:rsidR="00DB331A" w:rsidRDefault="00F84B02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3E4E2BA2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CE7A3D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0E886325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Publicado em xx de julho de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Publicado em xx de julho de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Número do artigo xxxxxxxx</w:t>
    </w:r>
    <w:r w:rsidR="004D7ACB">
      <w:br/>
      <w:t>Publicado por: Diretor do Departamento Jurídico – Pär Ödman, Direção Nacional da Saúde e dos Assuntos Sociais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4B02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15</TotalTime>
  <Pages>4</Pages>
  <Words>909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