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NÁVRH KRÁĽOVSKÉHO DEKRÉTU O TIESŇOVEJ KOMUNIKÁCII PROSTREDNÍCTVOM JEDNOTNÉHO ČÍSLA TIESŇOVÉHO VOLANIA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Rozhodnutím Rady Európskych spoločenstiev z 29. júla 1991 sa členským štátom stanovila povinnosť zadať telefónne číslo 112 ako jednotné európske číslo tiesňového volania.</w:t>
      </w:r>
    </w:p>
    <w:p w14:paraId="6376BDD0" w14:textId="547E9F35" w:rsidR="00E027DA" w:rsidRPr="00665FA8" w:rsidRDefault="00F67865" w:rsidP="00E027DA">
      <w:pPr>
        <w:jc w:val="both"/>
        <w:rPr>
          <w:rFonts w:cstheme="minorHAnsi"/>
          <w:sz w:val="24"/>
          <w:szCs w:val="24"/>
        </w:rPr>
      </w:pPr>
      <w:r>
        <w:rPr>
          <w:sz w:val="24"/>
        </w:rPr>
        <w:t>V tejto súvislosti zavedenie jednotného čísla tiesňového volania vo všetkých krajinách Európskej únie umožnilo občanom v ich vlastnej krajine alebo v inom členskom štáte jednoduchší telefónny prístup k tiesňovým službám.</w:t>
      </w:r>
    </w:p>
    <w:p w14:paraId="47E353DB" w14:textId="1302357D" w:rsidR="00E027DA" w:rsidRPr="00665FA8" w:rsidRDefault="00E027DA" w:rsidP="00E027DA">
      <w:pPr>
        <w:jc w:val="both"/>
        <w:rPr>
          <w:rFonts w:cstheme="minorHAnsi"/>
          <w:sz w:val="24"/>
          <w:szCs w:val="24"/>
        </w:rPr>
      </w:pPr>
      <w:r>
        <w:rPr>
          <w:sz w:val="24"/>
        </w:rPr>
        <w:t>Kráľovský dekrét č. 903/1997 zo 16. júna 1997, ktorým sa upravuje prístup k službe tiesňového volania prostredníctvom čísla 112 prostredníctvom telekomunikačných sietí, umožnil používať telefónne číslo 112 výlučne v Španielsku na účely prístupu k službe tiesňového volania a regulovaného prístupu k tejto službe prostredníctvom sietí telefónnych operátorov. Následne bolo nariadenie zo 14. októbra 1999 o podmienkach poskytovania informácií relevantných pre poskytovanie služby tiesňového volania vydané pod číslom 112.</w:t>
      </w:r>
    </w:p>
    <w:p w14:paraId="7695F0AE" w14:textId="1D3B8770" w:rsidR="00E027DA" w:rsidRPr="00665FA8" w:rsidRDefault="00E027DA" w:rsidP="00E027DA">
      <w:pPr>
        <w:jc w:val="both"/>
        <w:rPr>
          <w:rFonts w:cstheme="minorHAnsi"/>
          <w:sz w:val="24"/>
          <w:szCs w:val="24"/>
        </w:rPr>
      </w:pPr>
      <w:r>
        <w:rPr>
          <w:sz w:val="24"/>
        </w:rPr>
        <w:t>Napriek úspešnému vykonávaniu modelu poskytovania služby tiesňovej linky 112 počas toľkých rokov skúseností sa smernicou Európskeho parlamentu a Rady (EÚ) 2018/1972 z 11. decembra 2018, ktorou sa stanovuje európsky kódex elektronických komunikácií (ďalej len „EECC“), prehĺbili informácie a šírenie informácií o jeho využívaní, zaviedol sa technický pokrok, ktorý umožňuje presnejšiu lokalizáciu volajúceho a lepší prístup osôb so zdravotným postihnutím k záchranným službám prostredníctvom tiesňovej komunikácie.</w:t>
      </w:r>
    </w:p>
    <w:p w14:paraId="258B4F42" w14:textId="7A1048A7" w:rsidR="00EB2A27" w:rsidRDefault="00BE5C76" w:rsidP="00E027DA">
      <w:pPr>
        <w:jc w:val="both"/>
        <w:rPr>
          <w:rFonts w:cstheme="minorHAnsi"/>
          <w:sz w:val="24"/>
          <w:szCs w:val="24"/>
        </w:rPr>
      </w:pPr>
      <w:r>
        <w:rPr>
          <w:sz w:val="24"/>
        </w:rPr>
        <w:t>Článkom 74 zákona č. 11/2022 z 28. júna 2022 o všeobecných telekomunikáciách, ktorým sa do španielskeho práva transponoval článok 109 európskeho kódexu elektronických komunikácií, sa upravujú tiesňové komunikácie a číslo tiesňového volania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V uvedenom článku 74 všeobecného telekomunikačného zákona sa už upravili prvky, ktoré tvoria komunikačnú službu čísla tiesňového volania 112, a to stanovením, že služba </w:t>
      </w:r>
      <w:r>
        <w:rPr>
          <w:sz w:val="24"/>
        </w:rPr>
        <w:lastRenderedPageBreak/>
        <w:t>tiesňového volania bude pre používateľov bezplatná bez ohľadu na to, či verejná správa poskytuje službu a typ použitého terminálu. Okrem toho sa v ňom stanovuje, že prístup k záchranným službám pre koncových používateľov so zdravotným postihnutím musí byť rovnocenný s prístupom, ktorý majú ostatní koncoví používatelia.</w:t>
      </w:r>
    </w:p>
    <w:p w14:paraId="14F9C1E6" w14:textId="0F8F305A" w:rsidR="00E027DA" w:rsidRPr="00665FA8" w:rsidRDefault="00E027DA" w:rsidP="00E027DA">
      <w:pPr>
        <w:jc w:val="both"/>
        <w:rPr>
          <w:rFonts w:cstheme="minorHAnsi"/>
          <w:sz w:val="24"/>
          <w:szCs w:val="24"/>
        </w:rPr>
      </w:pPr>
      <w:r>
        <w:rPr>
          <w:sz w:val="24"/>
        </w:rPr>
        <w:t>V tom istom článku 74 sa prevádzkovateľom ukladá povinnosť smerovať volania na telefónne číslo 112 na záchranné služby bez nároku na finančnú náhradu a stanovuje sa v ňom, že kritériá presnosti a spoľahlivosti poskytnutých informácií o polohe volajúcich na záchranné služby sa stanovia kráľovským dekrétom.</w:t>
      </w:r>
    </w:p>
    <w:p w14:paraId="59640755" w14:textId="2A3944F4" w:rsidR="00E027DA" w:rsidRPr="00665FA8" w:rsidRDefault="00E027DA" w:rsidP="00E027DA">
      <w:pPr>
        <w:jc w:val="both"/>
        <w:rPr>
          <w:rFonts w:cstheme="minorHAnsi"/>
          <w:sz w:val="24"/>
          <w:szCs w:val="24"/>
        </w:rPr>
      </w:pPr>
      <w:r>
        <w:rPr>
          <w:sz w:val="24"/>
        </w:rPr>
        <w:t>Orgány zodpovedné za poskytovanie služieb čísla tiesňového volania 112 zabezpečia, aby občania dostávali primerané informácie o existencii a využívaní tohto čísla, najmä prostredníctvom iniciatív zameraných konkrétne na osoby cestujúce do iných členských štátov Európskej únie.</w:t>
      </w:r>
    </w:p>
    <w:p w14:paraId="544B0562" w14:textId="198314CE" w:rsidR="00F67865" w:rsidRPr="00665FA8" w:rsidRDefault="00F67865" w:rsidP="00E027DA">
      <w:pPr>
        <w:jc w:val="both"/>
        <w:rPr>
          <w:rFonts w:cstheme="minorHAnsi"/>
          <w:sz w:val="24"/>
          <w:szCs w:val="24"/>
        </w:rPr>
      </w:pPr>
      <w:r>
        <w:rPr>
          <w:sz w:val="24"/>
        </w:rPr>
        <w:t>Skúsenosti Španielska v oblasti záchranných služieb prostredníctvom čísla tiesňového volania 112 sú referenčnou hodnotou pre iné krajiny a predstavujú takisto úspešné skúsenosti so spoluprácou medzi orgánmi verejnej správy, pretože by sa nemalo zabúdať na to, že riadenie prijímacích centier tiesňovej komunikácie, ktoré je ústredným prvkom systému, je od začiatku zodpovednosťou autonómnych spoločenstiev.</w:t>
      </w:r>
    </w:p>
    <w:p w14:paraId="244FC978" w14:textId="62557327" w:rsidR="00E027DA" w:rsidRPr="00665FA8" w:rsidRDefault="00F67865" w:rsidP="00E027DA">
      <w:pPr>
        <w:jc w:val="both"/>
        <w:rPr>
          <w:rFonts w:cstheme="minorHAnsi"/>
          <w:sz w:val="24"/>
          <w:szCs w:val="24"/>
        </w:rPr>
      </w:pPr>
      <w:r>
        <w:rPr>
          <w:sz w:val="24"/>
        </w:rPr>
        <w:t>Je však potrebné pokračovať v dosahovaní pokroku, aby sa služba čísla tiesňového volania 112, najmä so zreteľom na novú realitu vyplývajúcu z pandémie COVID-19, vyvinula do služby, ktorá ešte viac reaguje na občanov a využíva všetky dostupné technologické a materiálne prostriedky na riešenie akýchkoľvek nepredvídaných udalostí, ktoré ohrozujú životy ľudí.</w:t>
      </w:r>
    </w:p>
    <w:p w14:paraId="69159036" w14:textId="4E717157" w:rsidR="00E027DA" w:rsidRPr="00665FA8" w:rsidRDefault="00E027DA" w:rsidP="00E027DA">
      <w:pPr>
        <w:jc w:val="both"/>
        <w:rPr>
          <w:rFonts w:cstheme="minorHAnsi"/>
          <w:sz w:val="24"/>
          <w:szCs w:val="24"/>
        </w:rPr>
      </w:pPr>
      <w:r>
        <w:rPr>
          <w:sz w:val="24"/>
        </w:rPr>
        <w:t>Stručne povedané, týmto kráľovským dekrétom sa zavádzajú zmeny zamerané na dosiahnutie textu, ktorý je v súlade a systematický s ustanoveniami uvedenými v článku 74 všeobecného telekomunikačného zákona a ktorý zahŕňa najnovší technologický pokrok v tejto oblasti.</w:t>
      </w:r>
    </w:p>
    <w:p w14:paraId="6D7877BF" w14:textId="219F1065" w:rsidR="00E027DA" w:rsidRPr="00665FA8" w:rsidRDefault="00E027DA" w:rsidP="00E027DA">
      <w:pPr>
        <w:jc w:val="both"/>
        <w:rPr>
          <w:rFonts w:cstheme="minorHAnsi"/>
          <w:sz w:val="24"/>
          <w:szCs w:val="24"/>
        </w:rPr>
      </w:pPr>
      <w:r>
        <w:rPr>
          <w:sz w:val="24"/>
        </w:rPr>
        <w:t>V tejto súvislosti bolo jedným z hlavných cieľov tohto regulačného ustanovenia zlepšiť informácie o polohe volajúceho zahrnutím zariadenia známeho ako AML (Advanced Mobile Location – pokročilá mobilná lokalizácia), teda poskytovať záchranným službám presnejšie informácie o polohe na základe mobilného terminálu volajúceho.</w:t>
      </w:r>
    </w:p>
    <w:p w14:paraId="52A5EC1A" w14:textId="374D857F" w:rsidR="00E027DA" w:rsidRPr="00665FA8" w:rsidRDefault="00E027DA" w:rsidP="00E027DA">
      <w:pPr>
        <w:jc w:val="both"/>
        <w:rPr>
          <w:rFonts w:cstheme="minorHAnsi"/>
          <w:sz w:val="24"/>
          <w:szCs w:val="24"/>
        </w:rPr>
      </w:pPr>
      <w:r>
        <w:rPr>
          <w:sz w:val="24"/>
        </w:rPr>
        <w:lastRenderedPageBreak/>
        <w:t>Okrem toho v súlade s ustanoveniami článku 74 všeobecného telekomunikačného zákona tento kráľovský dekrét poskytuje osobám so zdravotným postihnutím rovnaký prístup k číslam 112, čím zabezpečuje rovnaký prístup aj pri cestovaní z iného členského štátu. Podporuje aj prístup k tiesňovým službám z elektronických komunikačných sietí, ktoré nie sú prístupné verejnosti, a zdôrazňuje, že je potrebné, aby koncoví používatelia dostávali primerané informácie o existencii a používaní jednotného európskeho čísla tiesňového volania 112, ako aj o jeho prvkoch prístupnosti.</w:t>
      </w:r>
    </w:p>
    <w:p w14:paraId="6656B6AD" w14:textId="130A94B2" w:rsidR="00E027DA" w:rsidRPr="00665FA8" w:rsidRDefault="00E027DA" w:rsidP="00E027DA">
      <w:pPr>
        <w:jc w:val="both"/>
        <w:rPr>
          <w:rFonts w:cstheme="minorHAnsi"/>
          <w:sz w:val="24"/>
          <w:szCs w:val="24"/>
        </w:rPr>
      </w:pPr>
      <w:r>
        <w:rPr>
          <w:sz w:val="24"/>
        </w:rPr>
        <w:t>V kráľovskom dekréte sa napokon rieši otázka primeraného využívania osobných údajov a záruka ich ochrany pri poskytovaní záchranných služieb prostredníctvom tiesňovej komunikácie, a najmä pokiaľ ide o informácie o polohe z mobilných zariadení, keďže to zahŕňa prístup k veľmi presným osobným údajom o polohe a ich správu, čo má vzhľadom na čoraz masívnejšie a rozsiahlejšie využívanie osobných informácií čoraz väčší význam.</w:t>
      </w:r>
    </w:p>
    <w:p w14:paraId="67A2E597" w14:textId="38BB6A68" w:rsidR="00E027DA" w:rsidRPr="00665FA8" w:rsidRDefault="0089567D" w:rsidP="00E027DA">
      <w:pPr>
        <w:jc w:val="both"/>
        <w:rPr>
          <w:rFonts w:cstheme="minorHAnsi"/>
          <w:sz w:val="24"/>
          <w:szCs w:val="24"/>
        </w:rPr>
      </w:pPr>
      <w:r>
        <w:rPr>
          <w:sz w:val="24"/>
        </w:rPr>
        <w:t>Stručne povedané, tento kráľovský dekrét musí prispieť k poskytovaniu služieb tiesňovej komunikácie v súlade s možnosťami technologického rozvoja 21. storočia, pričom konečným cieľom je ponúknuť záchranné služby najvyššej kvality prostredníctvom jednotného európskeho čísla 112.</w:t>
      </w:r>
    </w:p>
    <w:p w14:paraId="3CCC4768" w14:textId="52FBBBF6" w:rsidR="00E027DA" w:rsidRDefault="00E027DA" w:rsidP="00E027DA">
      <w:pPr>
        <w:jc w:val="both"/>
        <w:rPr>
          <w:rFonts w:cstheme="minorHAnsi"/>
          <w:sz w:val="24"/>
          <w:szCs w:val="24"/>
        </w:rPr>
      </w:pPr>
      <w:r>
        <w:rPr>
          <w:sz w:val="24"/>
        </w:rPr>
        <w:t>Pokiaľ ide o jeho obsah a spracovanie, kráľovský dekrét je v súlade so zásadami dobrej regulácie uvedenými v článku 129 zákona č. 39/2015 z 1. októbra 2015 o spoločnom správnom postupe verejnej správy.</w:t>
      </w:r>
    </w:p>
    <w:p w14:paraId="38F1EBD0" w14:textId="77777777" w:rsidR="00A81C7E" w:rsidRDefault="00AE2097" w:rsidP="00AE2097">
      <w:pPr>
        <w:jc w:val="both"/>
        <w:rPr>
          <w:rFonts w:cstheme="minorHAnsi"/>
          <w:sz w:val="24"/>
          <w:szCs w:val="24"/>
        </w:rPr>
      </w:pPr>
      <w:r>
        <w:rPr>
          <w:sz w:val="24"/>
        </w:rPr>
        <w:t>Pri príprave kráľovského dekrétu boli vypočutí občania a dotknuté sektory a od Národnej komisie pre trhy a hospodársku súťaž bola vyžiadaná správa.</w:t>
      </w:r>
    </w:p>
    <w:p w14:paraId="6AAD9DAC" w14:textId="1864001D" w:rsidR="00AE2097" w:rsidRPr="00AE2097" w:rsidRDefault="00A06BFE" w:rsidP="00AE2097">
      <w:pPr>
        <w:jc w:val="both"/>
        <w:rPr>
          <w:rFonts w:cstheme="minorHAnsi"/>
          <w:sz w:val="24"/>
          <w:szCs w:val="24"/>
        </w:rPr>
      </w:pPr>
      <w:r>
        <w:rPr>
          <w:sz w:val="24"/>
        </w:rPr>
        <w:t>Tento kráľovský dekrét podlieha postupu stanovenému v smernici Európskeho parlamentu a Rady (EÚ) 2015/1535 z 9. septembra 2015, ktorou sa stanovuje postup pri poskytovaní informácií v oblasti technických predpisov a pravidiel týkajúcich sa služieb informačnej spoločnosti, ako aj ustanoveniam kráľovského dekrétu 1337/1999 z 31. júla 1999, ktorým sa upravuje predkladanie informácií o technických normách a predpisoch a pravidlách týkajúcich sa služieb informačnej spoločnosti.</w:t>
      </w:r>
    </w:p>
    <w:p w14:paraId="4A987318" w14:textId="3A667D94" w:rsidR="00AE2097" w:rsidRPr="00AE2097" w:rsidRDefault="00AE2097" w:rsidP="00AE2097">
      <w:pPr>
        <w:jc w:val="both"/>
        <w:rPr>
          <w:rFonts w:cstheme="minorHAnsi"/>
          <w:sz w:val="24"/>
          <w:szCs w:val="24"/>
        </w:rPr>
      </w:pPr>
      <w:r>
        <w:rPr>
          <w:sz w:val="24"/>
        </w:rPr>
        <w:t>Tento kráľovský dekrét sa vydáva v súlade s ustanoveniami článku 149 ods. 1 bodov 21 a 29 španielskej ústavy, ktorými sa štátu priznávajú právomoci vo veciach telekomunikácií a verejnej bezpečnosti.</w:t>
      </w:r>
    </w:p>
    <w:p w14:paraId="6E6140D4" w14:textId="2A68573A" w:rsidR="00F70228" w:rsidRPr="00665FA8" w:rsidRDefault="00E027DA" w:rsidP="00E027DA">
      <w:pPr>
        <w:jc w:val="both"/>
        <w:rPr>
          <w:rFonts w:cstheme="minorHAnsi"/>
          <w:sz w:val="24"/>
          <w:szCs w:val="24"/>
        </w:rPr>
      </w:pPr>
      <w:r>
        <w:rPr>
          <w:sz w:val="24"/>
        </w:rPr>
        <w:lastRenderedPageBreak/>
        <w:t>Na základe toho na návrh ministra hospodárstva a digitálnej transformácie a ministra vnútra po dohode so štátnou radou a po rokovaní Rady ministrov na jej zasadnutí, ktoré sa konalo dňa 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NARIAĎUJE:</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KAPITOLA I</w:t>
      </w:r>
    </w:p>
    <w:p w14:paraId="7DC17760" w14:textId="5D7F2D91" w:rsidR="00B655FC" w:rsidRPr="00665FA8" w:rsidRDefault="00B655FC" w:rsidP="00654EA5">
      <w:pPr>
        <w:jc w:val="center"/>
        <w:rPr>
          <w:rFonts w:cstheme="minorHAnsi"/>
          <w:b/>
          <w:bCs/>
          <w:sz w:val="24"/>
          <w:szCs w:val="24"/>
        </w:rPr>
      </w:pPr>
      <w:r>
        <w:rPr>
          <w:b/>
          <w:sz w:val="24"/>
        </w:rPr>
        <w:t>Všeobecné ustanovenia</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Článok 1. Predmet a účely.</w:t>
      </w:r>
    </w:p>
    <w:p w14:paraId="5F4E033B" w14:textId="4F355184" w:rsidR="002C4646" w:rsidRPr="00665FA8" w:rsidRDefault="002C4646" w:rsidP="00216CBB">
      <w:pPr>
        <w:jc w:val="both"/>
        <w:rPr>
          <w:rFonts w:cstheme="minorHAnsi"/>
          <w:bCs/>
          <w:sz w:val="24"/>
          <w:szCs w:val="24"/>
        </w:rPr>
      </w:pPr>
      <w:r>
        <w:rPr>
          <w:sz w:val="24"/>
        </w:rPr>
        <w:t>1. Účelom tohto kráľovského dekrétu je pri vypracovaní článku 74 zákona 11/2022 z 28. júna 2022, všeobecný telekomunikačný zákon, regulovať tiesňovú komunikáciu pre prístup k záchranným službám prostredníctvom jednotného európskeho čísla 112.</w:t>
      </w:r>
    </w:p>
    <w:p w14:paraId="1EAEDCF1" w14:textId="5B493586" w:rsidR="00F41153" w:rsidRPr="00665FA8" w:rsidRDefault="002C4646" w:rsidP="002C4646">
      <w:pPr>
        <w:jc w:val="both"/>
        <w:rPr>
          <w:rFonts w:cstheme="minorHAnsi"/>
          <w:bCs/>
          <w:sz w:val="24"/>
          <w:szCs w:val="24"/>
        </w:rPr>
      </w:pPr>
      <w:r>
        <w:rPr>
          <w:sz w:val="24"/>
        </w:rPr>
        <w:t>2. Ciele, ktoré toto nariadenie sleduje, sú tieto:</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Zabezpečiť, aby sa zachovali najvyššie úrovne prístupu, integrity a kontinuity tiesňovej komunikácie.</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Zabezpečiť, aby siete a zariadenia, na ktoré sa vzťahuje táto norma, mohli úspešne prenášať tiesňovú komunikáciu so službou tiesňového volania 112.</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Poskytnúť najpresnejšie informácie o polohe, ktoré sú k dispozícii pre tiesňovú komunikáciu pre službu tiesňového volania 112.</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Zabezpečiť prístup ku službe tiesňového volania 112 pre koncových používateľov so zdravotným postihnutím za podmienok rovnocenných s ostatnými používateľmi.</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Článok 2. Rozsah pôsobnosti.</w:t>
      </w:r>
    </w:p>
    <w:p w14:paraId="371C94A6" w14:textId="79CE1E15" w:rsidR="004D313F" w:rsidRDefault="00DD0A72" w:rsidP="00DD0A72">
      <w:pPr>
        <w:jc w:val="both"/>
        <w:rPr>
          <w:rFonts w:cstheme="minorHAnsi"/>
          <w:bCs/>
          <w:sz w:val="24"/>
          <w:szCs w:val="24"/>
        </w:rPr>
      </w:pPr>
      <w:r>
        <w:rPr>
          <w:sz w:val="24"/>
        </w:rPr>
        <w:t xml:space="preserve">1. Tento kráľovský dekrét sa vzťahuje na prevádzkovateľov poskytujúcich verejne dostupné interpersonálne komunikačné služby založené na číslovaní, ak takéto služby </w:t>
      </w:r>
      <w:r>
        <w:rPr>
          <w:sz w:val="24"/>
        </w:rPr>
        <w:lastRenderedPageBreak/>
        <w:t>umožňujú koncovým používateľom uskutočňovať hovory s použitím verejných zdrojov číslovania pridelených v rámci národných alebo medzinárodných číslovacích plánov.</w:t>
      </w:r>
    </w:p>
    <w:p w14:paraId="38952C23" w14:textId="186C6211" w:rsidR="00D83C45" w:rsidRPr="00665FA8" w:rsidRDefault="004B14A3" w:rsidP="00DD0A72">
      <w:pPr>
        <w:jc w:val="both"/>
        <w:rPr>
          <w:rFonts w:cstheme="minorHAnsi"/>
          <w:bCs/>
          <w:sz w:val="24"/>
          <w:szCs w:val="24"/>
        </w:rPr>
      </w:pPr>
      <w:r>
        <w:rPr>
          <w:sz w:val="24"/>
        </w:rPr>
        <w:t>2. Tento kráľovský dekrét sa vzťahuje aj na subjekty zodpovedné za elektronické komunikačné siete, ktoré nie sú prístupné verejnosti, ale umožňujú volania do verejných sietí, najmä ak neposkytujú alternatívny a jednoduchý prístup k záchrannej službe.</w:t>
      </w:r>
    </w:p>
    <w:p w14:paraId="75994B45" w14:textId="7364F965" w:rsidR="00111AF9" w:rsidRPr="00665FA8" w:rsidRDefault="004B14A3" w:rsidP="00DD0A72">
      <w:pPr>
        <w:jc w:val="both"/>
        <w:rPr>
          <w:rFonts w:cstheme="minorHAnsi"/>
          <w:bCs/>
          <w:sz w:val="24"/>
          <w:szCs w:val="24"/>
        </w:rPr>
      </w:pPr>
      <w:r>
        <w:rPr>
          <w:sz w:val="24"/>
        </w:rPr>
        <w:t>3. Tento kráľovský dekrét sa vzťahuje na hlasové komunikačné služby vrátane komunikačných prostriedkov určených osobitne pre koncových používateľov so zdravotným postihnutím, ktorí využívajú služby prevodu textu na reč alebo úplné konverzačné služby v textovom režime.</w:t>
      </w:r>
    </w:p>
    <w:p w14:paraId="6AC0226C" w14:textId="5E3F13E6" w:rsidR="00B3150A" w:rsidRPr="00665FA8" w:rsidRDefault="00111AF9" w:rsidP="00491EF9">
      <w:pPr>
        <w:jc w:val="both"/>
        <w:rPr>
          <w:rFonts w:cstheme="minorHAnsi"/>
          <w:bCs/>
          <w:sz w:val="24"/>
          <w:szCs w:val="24"/>
        </w:rPr>
      </w:pPr>
      <w:r>
        <w:rPr>
          <w:sz w:val="24"/>
        </w:rPr>
        <w:t>Tiesňovú komunikáciu možno spustiť aj prostredníctvom tiesňového volania z vozidla, ktoré používa systém eCall, za podmienok stanovených v nariadení Európskeho parlamentu a Rady (EÚ) 2015/758 z 29. apríla 2015 o požiadavkách typového schválenia pri zavádzaní palubného systému eCall využívajúceho službu tiesňovej linky 112 a o zmene smernice 2007/46/ES.</w:t>
      </w:r>
    </w:p>
    <w:p w14:paraId="1363A3BC" w14:textId="3000956A" w:rsidR="004D313F" w:rsidRPr="00665FA8" w:rsidRDefault="00C23106" w:rsidP="00416655">
      <w:pPr>
        <w:jc w:val="both"/>
        <w:rPr>
          <w:rFonts w:cstheme="minorHAnsi"/>
          <w:bCs/>
          <w:sz w:val="24"/>
          <w:szCs w:val="24"/>
        </w:rPr>
      </w:pPr>
      <w:bookmarkStart w:id="0" w:name="_Hlk105786198"/>
      <w:r>
        <w:rPr>
          <w:sz w:val="24"/>
        </w:rPr>
        <w:t>4. Je zodpovednosťou výrobcov operačných systémov pre prenosné mobilné zariadenia s počítačovou funkciou, pokiaľ ide o kapacitu spracovania a ukladania údajov, aby sa zabezpečilo, že takéto operačné systémy budú schopné poskytovať pokročilé funkcie informácií o mobilnej lokalizácii AML zo samotného zariadenia upraveného v tomto kráľovskom dekréte, keď sa aktivuje tiesňová komunikácia.</w:t>
      </w:r>
    </w:p>
    <w:bookmarkEnd w:id="0"/>
    <w:p w14:paraId="708D0CCE" w14:textId="11912B3C" w:rsidR="004D313F" w:rsidRPr="00665FA8" w:rsidRDefault="00F74F1A" w:rsidP="00F63CA4">
      <w:pPr>
        <w:jc w:val="both"/>
        <w:rPr>
          <w:rFonts w:cstheme="minorHAnsi"/>
          <w:b/>
          <w:bCs/>
          <w:sz w:val="24"/>
          <w:szCs w:val="24"/>
        </w:rPr>
      </w:pPr>
      <w:r>
        <w:rPr>
          <w:b/>
          <w:sz w:val="24"/>
        </w:rPr>
        <w:t>Článok 3. Vymedzenie pojmov.</w:t>
      </w:r>
    </w:p>
    <w:p w14:paraId="464E637B" w14:textId="402D4F49" w:rsidR="00FB2916" w:rsidRPr="00665FA8" w:rsidRDefault="00FB2916" w:rsidP="00F63CA4">
      <w:pPr>
        <w:jc w:val="both"/>
        <w:rPr>
          <w:rFonts w:cstheme="minorHAnsi"/>
          <w:bCs/>
          <w:sz w:val="24"/>
          <w:szCs w:val="24"/>
        </w:rPr>
      </w:pPr>
      <w:r>
        <w:rPr>
          <w:sz w:val="24"/>
        </w:rPr>
        <w:t>Na účely tohto kráľovského dekrétu je okrem vymedzenia pojmov, ktoré už je obsiahnuté v zákone 11/2022 z 28. júna 2022, všeobecný telekomunikačný zákon, zahrnuté aj toto vymedzenie pojmov:</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Prijímacie centrá tiesňovej komunikácie –</w:t>
      </w:r>
      <w:r>
        <w:rPr>
          <w:sz w:val="24"/>
        </w:rPr>
        <w:t xml:space="preserve"> fyzické miesto, kde sa tiesňová komunikácia na jednotné európske číslo tiesňového volania 112 alebo iné vnútroštátne čísla tiesňového volania pôvodne prijíma, spracúva a vyhodnocuje.</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vymedzenie pojmu stanovené v článku 3 ods. 2 nariadenia Európskeho parlamentu a Rady (EÚ) 2015/758 z 29. apríla 2015 o požiadavkách typového schválenia pri zavádzaní palubného systému eCall využívajúceho službu tiesňovej linky 112 a o zmene smernice 2007/46/ES.</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lastRenderedPageBreak/>
        <w:t>Pokročilá mobilná lokalizácia: systém, ktorým sa aktivujú lokalizačné služby z mobilného zariadenia a odosiela sa poloha záchranným službám 112, ako to vymedzuje Európsky inštitút pre telekomunikačné normy (ETSI) vo svojej norme ETSI-TS-103-625 alebo rovnocenný systém.</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Služba tiesňového volania 112</w:t>
      </w:r>
      <w:r>
        <w:rPr>
          <w:sz w:val="24"/>
        </w:rPr>
        <w:t xml:space="preserve"> – služba poskytujúca rýchlu a okamžitú pomoc v situáciách, keď existuje najmä priame riziko pre život alebo zdravie osôb, verejné alebo individuálne zdravie a bezpečnosť alebo pre verejný alebo súkromný majetok alebo životné prostredie, ku ktorej je možné pristupovať prostredníctvom tiesňovej komunikácie prostredníctvom jednotného európskeho čísla tiesňového volania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 xml:space="preserve">Palubný systém eCall využívajúci službu tiesňovej linky 112 </w:t>
      </w:r>
      <w:r>
        <w:rPr>
          <w:sz w:val="24"/>
        </w:rPr>
        <w:t>– vymedzenie pojmu stanovené v článku 3 ods. 1 nariadenia Európskeho parlamentu a Rady (EÚ) 2015/758 z 29. apríla 2015 o požiadavkách typového schválenia pri zavádzaní palubného systému eCall využívajúceho službu tiesňovej linky 112 a o zmene smernice 2007/46/ES.</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Text v reálnom čase: vymedzenie pojmu stanovené v článku 3 ods. 14 smernice Európskeho parlamentu a Rady (EÚ) 2019/882 zo 17. apríla 2019 o požiadavkách na prístupnosť výrobkov a služieb.</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Pr>
          <w:b/>
          <w:sz w:val="24"/>
        </w:rPr>
        <w:t>KAPITOLA II</w:t>
      </w:r>
    </w:p>
    <w:p w14:paraId="3F593816" w14:textId="0D12C1E8" w:rsidR="00B25460" w:rsidRPr="00665FA8" w:rsidRDefault="00B25460" w:rsidP="00654EA5">
      <w:pPr>
        <w:jc w:val="center"/>
        <w:rPr>
          <w:rFonts w:cstheme="minorHAnsi"/>
          <w:b/>
          <w:bCs/>
          <w:sz w:val="24"/>
          <w:szCs w:val="24"/>
        </w:rPr>
      </w:pPr>
      <w:r>
        <w:rPr>
          <w:b/>
          <w:sz w:val="24"/>
        </w:rPr>
        <w:t>Služba tiesňového volania prostredníctvom jednotného európskeho čísla tiesňového volania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Článok 4. Konfigurácia služby tiesňového volania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 Koncoví používatelia verejne dostupných interpersonálnych komunikačných služieb založených na číslovaní, ktoré im umožňujú uskutočňovať volania na číslo v národnom alebo medzinárodnom číslovacom pláne, musia mať prístup k službe tiesňového volania 112 prostredníctvom prijímacích centier tiesňového volania uvedených v článku 6, ktoré sprístupnili poskytovatelia služieb oprávnení poskytovať službu tiesňového volania 112.</w:t>
      </w:r>
    </w:p>
    <w:p w14:paraId="6513C95A" w14:textId="55A2A6DD" w:rsidR="00141EE8" w:rsidRDefault="008517E9" w:rsidP="00327211">
      <w:pPr>
        <w:jc w:val="both"/>
        <w:rPr>
          <w:rFonts w:cstheme="minorHAnsi"/>
          <w:bCs/>
          <w:sz w:val="24"/>
          <w:szCs w:val="24"/>
        </w:rPr>
      </w:pPr>
      <w:r>
        <w:rPr>
          <w:sz w:val="24"/>
        </w:rPr>
        <w:lastRenderedPageBreak/>
        <w:t>2. Služba tiesňového volania 112 je prístupná aj prostredníctvom prijímacích centier tiesňovej komunikácie uvedených v predchádzajúcom odseku s použitím jednotného európskeho čísla tiesňového volania 112 z verejných telefónov, mobilných zariadení bez SIM karty alebo bez aktivovanej SIM karty a vozidiel so systémom eCall využívajúcim službu tiesňovej linky 112 integrovaným vo vozidle.</w:t>
      </w:r>
    </w:p>
    <w:p w14:paraId="76343F90" w14:textId="6E1E9AC9" w:rsidR="008517E9" w:rsidRPr="008517E9" w:rsidRDefault="008517E9" w:rsidP="00327211">
      <w:pPr>
        <w:jc w:val="both"/>
        <w:rPr>
          <w:rFonts w:cstheme="minorHAnsi"/>
          <w:sz w:val="24"/>
          <w:szCs w:val="24"/>
        </w:rPr>
      </w:pPr>
      <w:r>
        <w:rPr>
          <w:sz w:val="24"/>
        </w:rPr>
        <w:t>3. Služba tiesňového volania 112 bude kompatibilná s inými službami, ktoré rôzne orgány verejnej správy využívajú na riešenie núdzových situácií občanov.</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Článok 5. Subjekty poskytujúce službu tiesňového volania 112.</w:t>
      </w:r>
    </w:p>
    <w:p w14:paraId="3B7D51D6" w14:textId="62DAE5D4" w:rsidR="00154C68" w:rsidRPr="00665FA8" w:rsidRDefault="00154C68" w:rsidP="00154C68">
      <w:pPr>
        <w:jc w:val="both"/>
        <w:rPr>
          <w:rFonts w:cstheme="minorHAnsi"/>
          <w:bCs/>
          <w:sz w:val="24"/>
          <w:szCs w:val="24"/>
        </w:rPr>
      </w:pPr>
      <w:r>
        <w:rPr>
          <w:sz w:val="24"/>
        </w:rPr>
        <w:t>1. Službu tiesňového volania 112 poskytujú autonómne spoločenstvá a mestá Ceuta a Melilla, ktoré zriadia príslušné prijímacie centrá tiesňových komunikácií a siete, ktoré v prípade potreby musia byť nainštalované s cieľom vytvoriť ďalšie body pozornosti pre verejné služby, ktoré majú poskytovať pomoc.</w:t>
      </w:r>
    </w:p>
    <w:p w14:paraId="51B94879" w14:textId="07C92872" w:rsidR="00154C68" w:rsidRDefault="00154C68" w:rsidP="00154C68">
      <w:pPr>
        <w:jc w:val="both"/>
        <w:rPr>
          <w:rFonts w:cstheme="minorHAnsi"/>
          <w:bCs/>
          <w:sz w:val="24"/>
          <w:szCs w:val="24"/>
        </w:rPr>
      </w:pPr>
      <w:r>
        <w:rPr>
          <w:sz w:val="24"/>
        </w:rPr>
        <w:t>2. Za žiadnych okolností nesmie dôjsť k územnému prekrývaniu oblastí, na ktoré sa vzťahujú subjekty poskytujúce službu tiesňovej linky 112. Na tento účel musia autonómne spoločenstvá a mestá Ceuta a Melilla kontrolovať riadenie vyššie uvedenej služby, aby boli rôzne oblasti starostlivosti jasne odlíšené.</w:t>
      </w:r>
    </w:p>
    <w:p w14:paraId="02744B8A" w14:textId="300A7C1C" w:rsidR="00E20E4A" w:rsidRDefault="00E20E4A" w:rsidP="00154C68">
      <w:pPr>
        <w:jc w:val="both"/>
        <w:rPr>
          <w:rFonts w:cstheme="minorHAnsi"/>
          <w:bCs/>
          <w:sz w:val="24"/>
          <w:szCs w:val="24"/>
        </w:rPr>
      </w:pPr>
      <w:r>
        <w:rPr>
          <w:sz w:val="24"/>
        </w:rPr>
        <w:t>3. S cieľom zaručiť primeranú reakciu a pozornosť na tiesňovú komunikáciu, ku ktorej dôjde, a zabezpečiť rýchle, riadne a účinné opatrenia zo strany uvedených služieb v rozsahu funkcií a kompetencií, ktoré zodpovedajú každej z nich, prijmú subjekty poskytujúce službu tiesňového volania 112 potrebné opatrenia vo vzťahu k záchranným službám, ktoré sú od nich závislé, a uzatvoria potrebné dohody alebo dojednania o spolupráci, ak k nim takéto služby nepatria.</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Článok 6. Prijímacie centrá tiesňovej komunikácie 112.</w:t>
      </w:r>
    </w:p>
    <w:p w14:paraId="3635A1EC" w14:textId="3763194E" w:rsidR="00154C68" w:rsidRDefault="00154C68" w:rsidP="00154C68">
      <w:pPr>
        <w:jc w:val="both"/>
        <w:rPr>
          <w:rFonts w:cstheme="minorHAnsi"/>
          <w:bCs/>
          <w:sz w:val="24"/>
          <w:szCs w:val="24"/>
        </w:rPr>
      </w:pPr>
      <w:r>
        <w:rPr>
          <w:sz w:val="24"/>
        </w:rPr>
        <w:t xml:space="preserve">1. Poskytovanie služby tiesňového volania 112 si vyžaduje zriadenie prijímacích centier tiesňovej komunikácie 112. Tieto centrá tiesňového volania 112, ako aj akékoľvek iné miesta starostlivosti o verejné služby poskytujúce pomoc, nie sú súčasťou prístupu k </w:t>
      </w:r>
      <w:r>
        <w:rPr>
          <w:sz w:val="24"/>
        </w:rPr>
        <w:lastRenderedPageBreak/>
        <w:t>službe tiesňového volania prostredníctvom jednotného európskeho čísla 112 a ich prevádzkové podmienky budú závisieť od poskytovateľov služieb.</w:t>
      </w:r>
    </w:p>
    <w:p w14:paraId="6E7B9775" w14:textId="2A2C20CB" w:rsidR="00DE5401" w:rsidRPr="00DE5401" w:rsidRDefault="00DE5401" w:rsidP="00DE5401">
      <w:pPr>
        <w:jc w:val="both"/>
        <w:rPr>
          <w:rFonts w:cstheme="minorHAnsi"/>
          <w:bCs/>
          <w:sz w:val="24"/>
          <w:szCs w:val="24"/>
        </w:rPr>
      </w:pPr>
      <w:r>
        <w:rPr>
          <w:sz w:val="24"/>
        </w:rPr>
        <w:t>2. Každé prijímacie centrum tiesňovej komunikácie 112 obsluhuje špecifickú geografickú oblasť, ktorú určí subjekt poskytujúci službu tiesňového volania 112 a oznámi ju prevádzkovateľom uvedeným v článku 2 ods. 1.</w:t>
      </w:r>
    </w:p>
    <w:p w14:paraId="458656E8" w14:textId="6F2F8FDC" w:rsidR="00DE5401" w:rsidRPr="00665FA8" w:rsidRDefault="00830B70" w:rsidP="00DE5401">
      <w:pPr>
        <w:jc w:val="both"/>
        <w:rPr>
          <w:rFonts w:cstheme="minorHAnsi"/>
          <w:bCs/>
          <w:sz w:val="24"/>
          <w:szCs w:val="24"/>
        </w:rPr>
      </w:pPr>
      <w:r>
        <w:rPr>
          <w:sz w:val="24"/>
        </w:rPr>
        <w:t>3. Náklady na prístup k verejne dostupným elektronickým komunikačným sieťam prijímacieho(-ích) centra(-ier) tiesňovej komunikácie znášajú subjekty poskytujúce službu tiesňového volania 112.</w:t>
      </w:r>
    </w:p>
    <w:p w14:paraId="1148FB96" w14:textId="6FCE88C5" w:rsidR="00830B70" w:rsidRDefault="00830B70" w:rsidP="00154C68">
      <w:pPr>
        <w:jc w:val="both"/>
        <w:rPr>
          <w:rFonts w:cstheme="minorHAnsi"/>
          <w:bCs/>
          <w:sz w:val="24"/>
          <w:szCs w:val="24"/>
        </w:rPr>
      </w:pPr>
      <w:r>
        <w:rPr>
          <w:sz w:val="24"/>
        </w:rPr>
        <w:t>4. Môže sa zriadiť maximálne jeden prístupový bod pre každú provinciu. Toto obmedzenie sa nevzťahuje na ostrovné autonómne spoločenstvá vzhľadom na ich osobitné charakteristiky, aby bolo možné zriadiť maximálne jeden prístupový bod na ostrov.</w:t>
      </w:r>
    </w:p>
    <w:p w14:paraId="52FEE43A" w14:textId="4A0FD498" w:rsidR="00B972C1" w:rsidRPr="00665FA8" w:rsidRDefault="00DE5401" w:rsidP="00154C68">
      <w:pPr>
        <w:jc w:val="both"/>
        <w:rPr>
          <w:rFonts w:cstheme="minorHAnsi"/>
          <w:bCs/>
          <w:sz w:val="24"/>
          <w:szCs w:val="24"/>
        </w:rPr>
      </w:pPr>
      <w:r>
        <w:rPr>
          <w:sz w:val="24"/>
        </w:rPr>
        <w:t>5. V prípade, že si komunikácia medzi centrami tiesňovej komunikácie 112 a inými bodmi verejnej služby, ktoré poskytujú pomoc, vyžaduje zavedenie elektronických komunikačných sietí, prevádzkovatelia uvedení v článku 2 ods. 1 nie sú zodpovední za ich investície, prevádzku a údržbu bez toho, aby bola dotknutá možnosť týchto prevádzkovateľov uzavrieť dohody so subjektmi poskytujúcimi službu tiesňového volania 112 o čiastočnom alebo úplnom poskytovaní siete pre službu, ktorú chcú získať.</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Článok 7. Prístup k informáciám o zozname účastníkov.</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 xml:space="preserve">Subjekty poskytujúce tiesňovú službu 112, ako aj prijímacie centrá tiesňového volania 112, </w:t>
      </w:r>
      <w:bookmarkEnd w:id="1"/>
      <w:r>
        <w:rPr>
          <w:sz w:val="24"/>
        </w:rPr>
        <w:t xml:space="preserve"> majú v súlade s ustanoveniami článku 72 ods. 2 písm. c) všeobecného telekomunikačného zákona prístup k informáciám o číslach účastníkov na účely prísneho plnenia ich funkcií.</w:t>
      </w:r>
    </w:p>
    <w:p w14:paraId="298AC744" w14:textId="11357EB4" w:rsidR="00446862" w:rsidRDefault="00446862" w:rsidP="00D15DCA">
      <w:pPr>
        <w:jc w:val="both"/>
        <w:rPr>
          <w:rFonts w:cstheme="minorHAnsi"/>
          <w:sz w:val="24"/>
          <w:szCs w:val="24"/>
        </w:rPr>
      </w:pPr>
      <w:r>
        <w:rPr>
          <w:sz w:val="24"/>
        </w:rPr>
        <w:t>2. Na tento účel im Národná komisia pre trhy a hospodársku súťaž bezplatne poskytne údaje o číslach účastníkov, a to aj v prípade, že účastníci uplatnili svoje právo podľa článku 66 ods. 3 písm. c) zákona č. 11/2022 z 28. júna 2022 o všeobecných telekomunikáciách nezahrnúť do zoznamov alebo požiadať o vynechanie niektorých svojich údajov.</w:t>
      </w:r>
    </w:p>
    <w:p w14:paraId="367E06FD" w14:textId="6F167036" w:rsidR="00794819" w:rsidRDefault="00446862" w:rsidP="00794819">
      <w:pPr>
        <w:jc w:val="both"/>
        <w:rPr>
          <w:rFonts w:cstheme="minorHAnsi"/>
          <w:sz w:val="24"/>
          <w:szCs w:val="24"/>
        </w:rPr>
      </w:pPr>
      <w:r>
        <w:rPr>
          <w:sz w:val="24"/>
        </w:rPr>
        <w:lastRenderedPageBreak/>
        <w:t>3. Poskytovanie údajov Národnou komisiou pre trhy a hospodársku súťaž sa vykonáva aktualizovaným spôsobom v súlade s podmienkami stanovenými v predpisoch upravujúcich zoznamy účastníkov a informačné služby o účastníckych číslach a v súlade s postupom pre poskytovanie a prijímanie informácií, ktoré môže v prípade potreby stanoviť Národná komisia pre trhy a hospodársku súťaž prostredníctvom obežníka.</w:t>
      </w:r>
    </w:p>
    <w:p w14:paraId="30CD625E" w14:textId="64C12034" w:rsidR="00794819" w:rsidRDefault="00794819" w:rsidP="00794819">
      <w:pPr>
        <w:jc w:val="both"/>
        <w:rPr>
          <w:rFonts w:cstheme="minorHAnsi"/>
          <w:sz w:val="24"/>
          <w:szCs w:val="24"/>
        </w:rPr>
      </w:pPr>
      <w:r>
        <w:rPr>
          <w:sz w:val="24"/>
        </w:rPr>
        <w:t>4. Národná komisia pre trhy a hospodársku súťaž poskytne minimálne tieto dostupné údaje o účastníkoch:</w:t>
      </w:r>
    </w:p>
    <w:p w14:paraId="783A7AF4" w14:textId="3B69A674" w:rsidR="00D22728" w:rsidRDefault="00D22728" w:rsidP="00D22728">
      <w:pPr>
        <w:pStyle w:val="ListParagraph"/>
        <w:numPr>
          <w:ilvl w:val="0"/>
          <w:numId w:val="21"/>
        </w:numPr>
        <w:jc w:val="both"/>
        <w:rPr>
          <w:rFonts w:cstheme="minorHAnsi"/>
          <w:sz w:val="24"/>
          <w:szCs w:val="24"/>
        </w:rPr>
      </w:pPr>
      <w:r>
        <w:rPr>
          <w:sz w:val="24"/>
        </w:rPr>
        <w:t>Celé meno alebo obchodný názov.</w:t>
      </w:r>
    </w:p>
    <w:p w14:paraId="5F2386C2" w14:textId="65B9478E" w:rsidR="00D22728" w:rsidRDefault="00D22728" w:rsidP="00D22728">
      <w:pPr>
        <w:pStyle w:val="ListParagraph"/>
        <w:numPr>
          <w:ilvl w:val="0"/>
          <w:numId w:val="21"/>
        </w:numPr>
        <w:jc w:val="both"/>
        <w:rPr>
          <w:rFonts w:cstheme="minorHAnsi"/>
          <w:sz w:val="24"/>
          <w:szCs w:val="24"/>
        </w:rPr>
      </w:pPr>
      <w:r>
        <w:rPr>
          <w:sz w:val="24"/>
        </w:rPr>
        <w:t>Národný preukaz totožnosti.</w:t>
      </w:r>
    </w:p>
    <w:p w14:paraId="0FFAEDA1" w14:textId="45ED18CF" w:rsidR="00D22728" w:rsidRDefault="00D22728" w:rsidP="00D22728">
      <w:pPr>
        <w:pStyle w:val="ListParagraph"/>
        <w:numPr>
          <w:ilvl w:val="0"/>
          <w:numId w:val="21"/>
        </w:numPr>
        <w:jc w:val="both"/>
        <w:rPr>
          <w:rFonts w:cstheme="minorHAnsi"/>
          <w:sz w:val="24"/>
          <w:szCs w:val="24"/>
        </w:rPr>
      </w:pPr>
      <w:r>
        <w:rPr>
          <w:sz w:val="24"/>
        </w:rPr>
        <w:t>Číslo účastníka.</w:t>
      </w:r>
    </w:p>
    <w:p w14:paraId="28866C39" w14:textId="39DADDEA" w:rsidR="00D22728" w:rsidRDefault="00D22728" w:rsidP="00D22728">
      <w:pPr>
        <w:pStyle w:val="ListParagraph"/>
        <w:numPr>
          <w:ilvl w:val="0"/>
          <w:numId w:val="21"/>
        </w:numPr>
        <w:jc w:val="both"/>
        <w:rPr>
          <w:rFonts w:cstheme="minorHAnsi"/>
          <w:sz w:val="24"/>
          <w:szCs w:val="24"/>
        </w:rPr>
      </w:pPr>
      <w:r>
        <w:rPr>
          <w:sz w:val="24"/>
        </w:rPr>
        <w:t>Poštová adresa vrátane poschodia, bytu a dverí.</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Deklarovaný špecifický terminál.</w:t>
      </w:r>
    </w:p>
    <w:p w14:paraId="477CDC1F" w14:textId="6B3E44EB" w:rsidR="00D22728" w:rsidRDefault="00B801D5" w:rsidP="00794819">
      <w:pPr>
        <w:jc w:val="both"/>
        <w:rPr>
          <w:rFonts w:cstheme="minorHAnsi"/>
          <w:sz w:val="24"/>
          <w:szCs w:val="24"/>
        </w:rPr>
      </w:pPr>
      <w:r>
        <w:rPr>
          <w:sz w:val="24"/>
        </w:rPr>
        <w:t>5. Získané údaje sa použijú výlučne na podporu účinného poskytovania služieb tiesňového volania 112 a poskytovateľ a prijímacie centrá budú zodpovedné za primerané využívanie údajov.</w:t>
      </w:r>
    </w:p>
    <w:p w14:paraId="02E4E8FD" w14:textId="18B42222" w:rsidR="00446862" w:rsidRPr="00446862" w:rsidRDefault="00B801D5" w:rsidP="00B801D5">
      <w:pPr>
        <w:jc w:val="both"/>
        <w:rPr>
          <w:rFonts w:cstheme="minorHAnsi"/>
          <w:sz w:val="24"/>
          <w:szCs w:val="24"/>
        </w:rPr>
      </w:pPr>
      <w:r>
        <w:rPr>
          <w:sz w:val="24"/>
        </w:rPr>
        <w:t>6. Ustanoveniami tohto článku nie je dotknuté uplatňovanie platných právnych predpisov o ochrane osobných údajov, najmä nariadenia Európskeho parlamentu a Rady (EÚ) 2016/679 z 27. apríla 2016 a organického zákona č. 3/2018 z 5. decembra 2018 o ochrane osobných údajov a záruke digitálnych práv a jeho vykonávacích nariadeniach.</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Článok 8. Informácie o existencii a používaní jednotného európskeho čísla tiesňového volania 112.</w:t>
      </w:r>
    </w:p>
    <w:p w14:paraId="7D50E4F1" w14:textId="6161D9B0" w:rsidR="00D15DCA" w:rsidRPr="00665FA8" w:rsidRDefault="00D15DCA" w:rsidP="00D15DCA">
      <w:pPr>
        <w:jc w:val="both"/>
        <w:rPr>
          <w:rFonts w:cstheme="minorHAnsi"/>
          <w:bCs/>
          <w:sz w:val="24"/>
          <w:szCs w:val="24"/>
        </w:rPr>
      </w:pPr>
      <w:r>
        <w:rPr>
          <w:sz w:val="24"/>
        </w:rPr>
        <w:t>Orgány zodpovedné za poskytovanie tiesňových služieb 112 zabezpečia, aby boli občania primerane informovaní o existencii a používaní jednotného európskeho čísla tiesňového volania 112 a jeho prvkoch prístupnosti, najmä prostredníctvom iniciatív konkrétne zameraných na osoby cestujúce z iných členských štátov Európskej únie a koncových používateľov so zdravotným postihnutím. Takéto informácie sa poskytujú v prístupných formátoch podľa rôznych typov zdravotného postihnutia.</w:t>
      </w:r>
    </w:p>
    <w:p w14:paraId="59331BC7" w14:textId="5D291A5A" w:rsidR="0006458E" w:rsidRDefault="0006458E"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18BD83E7" w14:textId="37EC2D0D" w:rsidR="0006458E" w:rsidRPr="00665FA8" w:rsidRDefault="0006458E" w:rsidP="00F2452F">
      <w:pPr>
        <w:jc w:val="center"/>
        <w:rPr>
          <w:rFonts w:cstheme="minorHAnsi"/>
          <w:b/>
          <w:bCs/>
          <w:sz w:val="24"/>
          <w:szCs w:val="24"/>
        </w:rPr>
      </w:pPr>
      <w:r>
        <w:rPr>
          <w:b/>
          <w:sz w:val="24"/>
        </w:rPr>
        <w:t>KAPITOLA III</w:t>
      </w:r>
    </w:p>
    <w:p w14:paraId="7100A396" w14:textId="1F55FCE0" w:rsidR="00FC0FB2" w:rsidRPr="00665FA8" w:rsidRDefault="00FC0FB2" w:rsidP="00F2452F">
      <w:pPr>
        <w:jc w:val="center"/>
        <w:rPr>
          <w:rFonts w:cstheme="minorHAnsi"/>
          <w:b/>
          <w:bCs/>
          <w:sz w:val="24"/>
          <w:szCs w:val="24"/>
        </w:rPr>
      </w:pPr>
      <w:r>
        <w:rPr>
          <w:b/>
          <w:sz w:val="24"/>
        </w:rPr>
        <w:t>Prístup k službe tiesňového volania prostredníctvom jednotného európskeho čísla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Článok 9. Prístup k službe tiesňového volania 112 prostredníctvom jednotného európskeho čísla 112 z verejne dostupných elektronických komunikačných sietí.</w:t>
      </w:r>
    </w:p>
    <w:p w14:paraId="2BA03DF5" w14:textId="658D4D37" w:rsidR="00D15643" w:rsidRPr="00665FA8" w:rsidRDefault="00327211" w:rsidP="004A67D9">
      <w:pPr>
        <w:jc w:val="both"/>
        <w:rPr>
          <w:rFonts w:cstheme="minorHAnsi"/>
          <w:bCs/>
          <w:sz w:val="24"/>
          <w:szCs w:val="24"/>
        </w:rPr>
      </w:pPr>
      <w:r>
        <w:rPr>
          <w:sz w:val="24"/>
        </w:rPr>
        <w:t>1. Koncoví používatelia interpersonálnych komunikačných služieb založených na číslovaní, ak takéto služby umožňujú uskutočňovanie volaní na číslo v národnom alebo medzinárodnom číslovacom pláne vytáčaním jednotného európskeho tiesňového čísla 112, majú bezplatný prístup do prijímacích centier tiesňovej komunikácie, ktoré poskytujú subjekty poskytujúce službu tiesňovej linky 112, a to bez platby akéhokoľvek druhu a bez toho, aby museli použiť akékoľvek platobné prostriedky z akéhokoľvek zariadenia podporujúceho interpersonálne komunikačné služby založené na číslovaní, a to aj vtedy, keď koncoví používatelia v inom členskom štáte využívajú roamingové služby v Španielsku.</w:t>
      </w:r>
    </w:p>
    <w:p w14:paraId="1FE9F16E" w14:textId="47E2444C" w:rsidR="005E1BBD" w:rsidRPr="00665FA8" w:rsidRDefault="00D15643" w:rsidP="00327211">
      <w:pPr>
        <w:jc w:val="both"/>
        <w:rPr>
          <w:rFonts w:cstheme="minorHAnsi"/>
          <w:bCs/>
          <w:sz w:val="24"/>
          <w:szCs w:val="24"/>
        </w:rPr>
      </w:pPr>
      <w:r>
        <w:rPr>
          <w:sz w:val="24"/>
        </w:rPr>
        <w:t>Na účely predchádzajúceho odseku zariadenia podporujúce interpersonálne komunikačné služby založené na číslovaní zahŕňajú pevné a mobilné zariadenia, najmä mobilné zariadenia bez aktivovanej SIM karty alebo bez nej, verejné platobné telefóny a vozidlá s palubným systémom eCall využívajúcim tiesňovú linku 112.</w:t>
      </w:r>
    </w:p>
    <w:p w14:paraId="2D8DAE3C" w14:textId="01E912FA" w:rsidR="00327211" w:rsidRPr="00665FA8" w:rsidRDefault="005578F4" w:rsidP="00327211">
      <w:pPr>
        <w:jc w:val="both"/>
        <w:rPr>
          <w:rFonts w:cstheme="minorHAnsi"/>
          <w:bCs/>
          <w:sz w:val="24"/>
          <w:szCs w:val="24"/>
        </w:rPr>
      </w:pPr>
      <w:r>
        <w:rPr>
          <w:sz w:val="24"/>
        </w:rPr>
        <w:t>Na tento účel prevádzkovatelia uvedení v článku 2 ods. 1 tohto kráľovského dekrétu presmerujú tiesňovú komunikáciu na jednotné európske číslo tiesňového volania 112 do prijímacieho centra príslušného subjektu poskytujúceho službu tiesňového volania 112 podľa geografickej oblasti pôvodu komunikácie. Táto povinnosť sa uplatňuje aj vtedy, ak sa prístup poskytuje prostredníctvom prevádzkovateľov, ktorí sú nezávislí od siete interpersonálnych komunikačných služieb založených na číslovaní, aby bol takýto prístup porovnateľný s prístupom požadovaným od poskytovateľov interpersonálnych komunikačných služieb založených na číslovaní poskytovaných prostredníctvom pripojenia, ktoré spravujú.</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sz w:val="24"/>
        </w:rPr>
        <w:lastRenderedPageBreak/>
        <w:t xml:space="preserve">Článok 10. Prístup k </w:t>
      </w:r>
      <w:bookmarkStart w:id="2" w:name="_Hlk105583432"/>
      <w:r>
        <w:rPr>
          <w:b/>
          <w:sz w:val="24"/>
        </w:rPr>
        <w:t xml:space="preserve">službe tiesňového volania 112 </w:t>
      </w:r>
      <w:bookmarkEnd w:id="2"/>
      <w:r>
        <w:rPr>
          <w:b/>
          <w:sz w:val="24"/>
        </w:rPr>
        <w:t>pomocou jednotného európskeho čísla 112 z elektronických komunikačných sietí, ktoré nie sú prístupné verejnosti, ale umožňujú hovory do verejných sietí.</w:t>
      </w:r>
    </w:p>
    <w:p w14:paraId="68250DF3" w14:textId="2D83A3A3" w:rsidR="00AA54EE" w:rsidRPr="00665FA8" w:rsidRDefault="00AA54EE" w:rsidP="00AA54EE">
      <w:pPr>
        <w:jc w:val="both"/>
        <w:rPr>
          <w:rFonts w:cstheme="minorHAnsi"/>
          <w:bCs/>
          <w:sz w:val="24"/>
          <w:szCs w:val="24"/>
        </w:rPr>
      </w:pPr>
      <w:r>
        <w:rPr>
          <w:sz w:val="24"/>
        </w:rPr>
        <w:t>Prístup k jednotnému európskemu tiesňovému číslu 112 sa zabezpečí z elektronických komunikačných sietí, ktoré nie sú verejne prístupné, ale umožňujú volania do verejných sietí, najmä ak podnik zodpovedný za takúto sieť neposkytuje alternatívny a jednoduchý prístup k službe tiesňového volania.</w:t>
      </w:r>
    </w:p>
    <w:p w14:paraId="589E741A" w14:textId="0D005FEA" w:rsidR="00AA54EE" w:rsidRPr="00665FA8" w:rsidRDefault="00AA54EE" w:rsidP="00AA54EE">
      <w:pPr>
        <w:jc w:val="both"/>
        <w:rPr>
          <w:rFonts w:cstheme="minorHAnsi"/>
          <w:bCs/>
          <w:sz w:val="24"/>
          <w:szCs w:val="24"/>
        </w:rPr>
      </w:pPr>
      <w:r>
        <w:rPr>
          <w:sz w:val="24"/>
        </w:rPr>
        <w:t>V nariadení ministra hospodárstva a digitálnej transformácie sa uvedú podmienky prístupu k jednotnému európskemu tiesňovému číslu 112 z týchto sietí.</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Článok 11. Povinnosti prevádzkovateľov v súvislosti s tiesňovou komunikáciou prostredníctvom jednotného európskeho čísla tiesňového volania 112.</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Prevádzkovatelia uvedení v článku 2 ods. 1 tohto kráľovského dekrétu</w:t>
      </w:r>
      <w:bookmarkEnd w:id="3"/>
      <w:r>
        <w:rPr>
          <w:sz w:val="24"/>
        </w:rPr>
        <w:t>, ak ich interpersonálne komunikačné služby založené na číslovaní umožňujú uskutočňovať hovory na číslo v národnom alebo medzinárodnom číslovacom pláne, sú povinní bezodplatne smerovať volania na jednotné európske číslo 112, a to aj vo vzťahu ku koncovým používateľom interpersonálnych komunikačných služieb založených na číslovaní z roamingu iného členského štátu v Španielsku, bez ohľadu na to, či spravujú pripojenie.</w:t>
      </w:r>
    </w:p>
    <w:p w14:paraId="0C5260A6" w14:textId="4E60E532" w:rsidR="001D3755" w:rsidRPr="00665FA8" w:rsidRDefault="001D3755" w:rsidP="001D3755">
      <w:pPr>
        <w:jc w:val="both"/>
        <w:rPr>
          <w:rFonts w:cstheme="minorHAnsi"/>
          <w:bCs/>
          <w:sz w:val="24"/>
          <w:szCs w:val="24"/>
        </w:rPr>
      </w:pPr>
      <w:r>
        <w:rPr>
          <w:sz w:val="24"/>
        </w:rPr>
        <w:t>2. Prevádzkovatelia uvedení v článku 2 ods. 1 tohto kráľovského dekrétu sú povinní bezplatne vykonať potrebné úpravy smerovania volaní zo systému eCall na základe čísla 112 integrovaného vo vozidle do prijímacieho centra tiesňovej komunikácie príslušného poskytovateľa tiesňových služieb tiesňového volania 112, čím sa uľahčí rozlišovanie medzi manuálne a automaticky generovanými volaniami.</w:t>
      </w:r>
    </w:p>
    <w:p w14:paraId="2F621009" w14:textId="632AF1B8" w:rsidR="00327211" w:rsidRDefault="00C23106" w:rsidP="00BD6AF1">
      <w:pPr>
        <w:jc w:val="both"/>
        <w:rPr>
          <w:rFonts w:cstheme="minorHAnsi"/>
          <w:bCs/>
          <w:sz w:val="24"/>
          <w:szCs w:val="24"/>
        </w:rPr>
      </w:pPr>
      <w:r>
        <w:rPr>
          <w:sz w:val="24"/>
        </w:rPr>
        <w:t>3. Prevádzkovatelia uvedení v článku 2 ods. 1 tohto kráľovského dekrétu sú povinní znášať náklady na prevádzku do prijímacieho centra tiesňového volania príslušného poskytovateľa tiesňových služieb 112 vrátane tiesňovej komunikácie uskutočnenej z verejných telefónov, z mobilných zariadení bez SIM karty alebo bez aktivovanej SIM karty a z palubného systému eCall využívajúceho tiesňovú linku čísla 112.</w:t>
      </w:r>
    </w:p>
    <w:p w14:paraId="17E95762" w14:textId="27C9FCF0" w:rsidR="00D533A9" w:rsidRPr="00665FA8" w:rsidRDefault="00D533A9" w:rsidP="00BD6AF1">
      <w:pPr>
        <w:jc w:val="both"/>
        <w:rPr>
          <w:rFonts w:cstheme="minorHAnsi"/>
          <w:bCs/>
          <w:sz w:val="24"/>
          <w:szCs w:val="24"/>
        </w:rPr>
      </w:pPr>
      <w:r>
        <w:rPr>
          <w:sz w:val="24"/>
        </w:rPr>
        <w:lastRenderedPageBreak/>
        <w:t>4. Prevádzkovatelia uvedení v článku 2 ods. 1 tohto kráľovského dekrétu vo vzťahu ku koncovým používateľom mobilných interpersonálnych komunikačných služieb založených na číslovaní z roamingu z iného členského štátu v Španielsku neúčtujú poskytovateľovi roamingu poplatky za tiesňovú komunikáciu prostredníctvom jednotného európskeho čísla tiesňového volania 112.</w:t>
      </w:r>
    </w:p>
    <w:p w14:paraId="1DB9FBD5" w14:textId="6589B2B8" w:rsidR="004A0EC8" w:rsidRDefault="00D533A9" w:rsidP="00D82583">
      <w:pPr>
        <w:jc w:val="both"/>
        <w:rPr>
          <w:rFonts w:cstheme="minorHAnsi"/>
          <w:bCs/>
          <w:sz w:val="24"/>
          <w:szCs w:val="24"/>
        </w:rPr>
      </w:pPr>
      <w:r>
        <w:rPr>
          <w:sz w:val="24"/>
        </w:rPr>
        <w:t>5. Prevádzkovatelia uvedení v článku 2 ods. 1 tohto kráľovského dekrétu uľahčia identifikáciu východiskovej linky, z ktorej sa uskutočňujú volania na jednotné európske číslo tiesňového volania 112, v rámci technických možností siete a v súlade s predpismi o prezentačných zariadeniach a obmedzení linky volajúceho stanovenými vo vnútroštátnych a európskych predpisoch. Prevádzkovatelia musia poskytnúť identifikáciu linky pôvodu, aj keď koncový používateľ podľa článku 65 ods. 1 písm. o) zákona 11/2022 z 28. júna 2022, všeobecný telekomunikačný zákon, uplatnil svoje právo zabrániť predloženiu identifikácie svojej linky</w:t>
      </w:r>
      <w:r>
        <w:t>.</w:t>
      </w:r>
    </w:p>
    <w:p w14:paraId="43B12FFB" w14:textId="6E9A3BFF" w:rsidR="00D82583" w:rsidRDefault="00D533A9" w:rsidP="00D82583">
      <w:pPr>
        <w:jc w:val="both"/>
        <w:rPr>
          <w:rFonts w:cstheme="minorHAnsi"/>
          <w:bCs/>
          <w:sz w:val="24"/>
          <w:szCs w:val="24"/>
        </w:rPr>
      </w:pPr>
      <w:r>
        <w:rPr>
          <w:sz w:val="24"/>
        </w:rPr>
        <w:t>6. Prevádzkovatelia uvedení v článku 2 ods. 1 tohto kráľovského dekrétu musia za podmienok stanovených v článku 72 zákona č. 11/2022 z 28. júna 2022, všeobecný telekomunikačný zákon, a jeho vykonávacích predpisoch poskytnúť informácie o číslach účastníkov Národnej komisii pre trhy a hospodársku súťaž, aby mohla bezplatne poskytnúť tieto údaje subjektom poskytujúcim službu tiesňového volania 112 a prijímacím centrám tiesňovej komunikácie 112. Prevádzkovatelia musia poskytnúť údaje aj o tých účastníkoch, ktorí uplatnili svoje právo podľa článku 66 ods. 3 písm. c) uvedeného zákona 11/2022 z 28. júna 2022, všeobecný telekomunikačný zákon, aby neboli zahrnutí do zoznamov, alebo aby požiadali o opomenutie niektorých z ich údajov.</w:t>
      </w:r>
    </w:p>
    <w:p w14:paraId="5F85024C" w14:textId="068D4C79" w:rsidR="004851CC" w:rsidRDefault="00D533A9" w:rsidP="00D82583">
      <w:pPr>
        <w:jc w:val="both"/>
        <w:rPr>
          <w:rFonts w:cstheme="minorHAnsi"/>
          <w:bCs/>
          <w:sz w:val="24"/>
          <w:szCs w:val="24"/>
        </w:rPr>
      </w:pPr>
      <w:r>
        <w:rPr>
          <w:sz w:val="24"/>
        </w:rPr>
        <w:t>7. Prevádzkovatelia uvedení v článku 2 ods. 1 tohto kráľovského dekrétu sú povinní poskytnúť informácie o polohe používateľov volajúcich na jednotné európske číslo tiesňového volania 112 za podmienok uvedených v nasledujúcom článku.</w:t>
      </w:r>
    </w:p>
    <w:p w14:paraId="74736523" w14:textId="538D1DFC" w:rsidR="004851CC" w:rsidRPr="004851CC" w:rsidRDefault="00D533A9" w:rsidP="004851CC">
      <w:pPr>
        <w:jc w:val="both"/>
        <w:rPr>
          <w:rFonts w:cstheme="minorHAnsi"/>
          <w:bCs/>
          <w:sz w:val="24"/>
          <w:szCs w:val="24"/>
        </w:rPr>
      </w:pPr>
      <w:r>
        <w:rPr>
          <w:sz w:val="24"/>
        </w:rPr>
        <w:t>8. Spracúvanie osobných údajov uvedených v tomto a nasledujúcom článku je kryté plnením zákonnej povinnosti zaručiť službu tiesňového volania 112 stanovenú v článku 74 zákona 11/2022 z 28. júna 2022, všeobecný telekomunikačný zákon, s cieľom chrániť životne dôležitý záujem volajúceho, chrániť národnú bezpečnosť, obranu, verejnú bezpečnosť a prevenciu, vyšetrovanie a stíhanie trestných činov, bezpečnosť ľudského života alebo dôvody verejného záujmu.</w:t>
      </w:r>
    </w:p>
    <w:p w14:paraId="37010891" w14:textId="1B9F5213" w:rsidR="004851CC" w:rsidRPr="00665FA8" w:rsidRDefault="00D533A9" w:rsidP="004851CC">
      <w:pPr>
        <w:jc w:val="both"/>
        <w:rPr>
          <w:rFonts w:cstheme="minorHAnsi"/>
          <w:bCs/>
          <w:sz w:val="24"/>
          <w:szCs w:val="24"/>
        </w:rPr>
      </w:pPr>
      <w:r>
        <w:rPr>
          <w:sz w:val="24"/>
        </w:rPr>
        <w:lastRenderedPageBreak/>
        <w:t>9. V každom prípade ustanoveniami tohto článku a nasledujúcimi ustanoveniami nie sú dotknuté opatrenia prijaté na zaručenie utajenia komunikácie v súlade s ustanoveniami článku 18. 3 Ústavy a ochrana osobných údajov v súlade s ustanoveniami nariadenia Európskeho parlamentu a Rady (EÚ) 2016/679 z 27. apríla 2016 o ochrane fyzických osôb pri spracúvaní osobných údajov a o voľnom pohybe takýchto údajov, ktorým sa zrušuje smernica 95/46/ES a v organickom zákone č. 3/2018 z 5. decembra 2018 o ochrane osobných údajov a záruke digitálnych práv, ako aj v jeho vykonávacích nariadeniach.</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Článok 12. Povinnosť prevádzkovateľov poskytovať informácie o polohe používateľom volajúcim na jednotné európske číslo tiesňového volania 112.</w:t>
      </w:r>
    </w:p>
    <w:p w14:paraId="2C9EFE22" w14:textId="65FA7A20" w:rsidR="00EC41B0" w:rsidRDefault="002C4646" w:rsidP="00F2452F">
      <w:pPr>
        <w:jc w:val="both"/>
        <w:rPr>
          <w:rFonts w:cstheme="minorHAnsi"/>
          <w:bCs/>
          <w:sz w:val="24"/>
          <w:szCs w:val="24"/>
        </w:rPr>
      </w:pPr>
      <w:r>
        <w:rPr>
          <w:sz w:val="24"/>
        </w:rPr>
        <w:t>1. Prevádzkovatelia uvedení v článku 2 ods. 1 tohto kráľovského dekrétu bezodkladne poskytnú informácie o polohe volajúceho zo siete aj z mobilného zariadenia, a to aj vo vzťahu ku koncovým používateľom mobilných interpersonálnych komunikačných služieb založených na číslovaní z roamingu iného členského štátu v Španielsku.</w:t>
      </w:r>
    </w:p>
    <w:p w14:paraId="4365FB14" w14:textId="0220707D" w:rsidR="00470472" w:rsidRDefault="00EC41B0" w:rsidP="00EC41B0">
      <w:pPr>
        <w:jc w:val="both"/>
        <w:rPr>
          <w:rFonts w:cstheme="minorHAnsi"/>
          <w:bCs/>
          <w:sz w:val="24"/>
          <w:szCs w:val="24"/>
        </w:rPr>
      </w:pPr>
      <w:r>
        <w:rPr>
          <w:sz w:val="24"/>
        </w:rPr>
        <w:t>Prevádzkovatelia v súlade s článkom 66 ods. 2 písm. c) zákona č. 11/2022 z 28. júna 2022, všeobecný telekomunikačný zákon, poskytnú takéto informácie aj v prípade koncových používateľov, ktorí uplatnili svoje právo podľa uvedeného článku a v dôsledku toho nedali súhlas so spracovaním svojich údajov o polohe.</w:t>
      </w:r>
    </w:p>
    <w:p w14:paraId="5C2A1455" w14:textId="4989846D" w:rsidR="00F2452F" w:rsidRPr="00665FA8" w:rsidRDefault="00F2452F" w:rsidP="00EC41B0">
      <w:pPr>
        <w:jc w:val="both"/>
        <w:rPr>
          <w:rFonts w:cstheme="minorHAnsi"/>
          <w:bCs/>
          <w:sz w:val="24"/>
          <w:szCs w:val="24"/>
        </w:rPr>
      </w:pPr>
      <w:r>
        <w:rPr>
          <w:sz w:val="24"/>
        </w:rPr>
        <w:t>Takéto informácie sa poskytujú bezplatne koncovému používateľovi, prijímaciemu centru tiesňovej komunikácie 112, centru prijímania a distribúcie informácií o polohe mobilného zariadenia a poskytovateľovi roamingu vo vzťahu ku koncovým používateľom mobilných interpersonálnych komunikačných služieb na základe číslovania z roamingu z iného členského štátu v Španielsku.</w:t>
      </w:r>
    </w:p>
    <w:p w14:paraId="335EFF9D" w14:textId="4470D2DF" w:rsidR="00D26689" w:rsidRPr="00665FA8" w:rsidRDefault="002C4646" w:rsidP="00327211">
      <w:pPr>
        <w:jc w:val="both"/>
        <w:rPr>
          <w:rFonts w:cstheme="minorHAnsi"/>
          <w:bCs/>
          <w:sz w:val="24"/>
          <w:szCs w:val="24"/>
        </w:rPr>
      </w:pPr>
      <w:r>
        <w:rPr>
          <w:sz w:val="24"/>
        </w:rPr>
        <w:t>2. Prevádzkovatelia uvedení v článku 2 ods. 1 tohto kráľovského dekrétu, a to aj vo vzťahu ku koncovým používateľom mobilných interpersonálnych komunikačných služieb založených na číslovaní z roamingu z iného členského štátu v Španielsku, musia poskytovať najvhodnejšiemu prijímaciemu centru tiesňovej komunikácie v závislosti od pôvodu volania sieťové informácie o polohe, a to aj v prípade volaní bez SIM karty alebo bez aktivácie SIM karty.</w:t>
      </w:r>
    </w:p>
    <w:p w14:paraId="7F87D888" w14:textId="34C3645D" w:rsidR="00327211" w:rsidRPr="00665FA8" w:rsidRDefault="00327211" w:rsidP="00327211">
      <w:pPr>
        <w:jc w:val="both"/>
        <w:rPr>
          <w:rFonts w:cstheme="minorHAnsi"/>
          <w:bCs/>
          <w:sz w:val="24"/>
          <w:szCs w:val="24"/>
        </w:rPr>
      </w:pPr>
      <w:r>
        <w:rPr>
          <w:sz w:val="24"/>
        </w:rPr>
        <w:lastRenderedPageBreak/>
        <w:t>Štátny tajomník pre telekomunikácie a digitálnu infraštruktúru môže vydávať pokyny týkajúce sa formy a obsahu sieťových informácií o polohe.</w:t>
      </w:r>
    </w:p>
    <w:p w14:paraId="198ACBAD" w14:textId="51DA02D1" w:rsidR="00327211" w:rsidRPr="00665FA8" w:rsidRDefault="002C4646" w:rsidP="00327211">
      <w:pPr>
        <w:jc w:val="both"/>
        <w:rPr>
          <w:rFonts w:cstheme="minorHAnsi"/>
          <w:bCs/>
          <w:sz w:val="24"/>
          <w:szCs w:val="24"/>
        </w:rPr>
      </w:pPr>
      <w:r>
        <w:rPr>
          <w:sz w:val="24"/>
        </w:rPr>
        <w:t>3. Okrem toho, ak je mobilné koncové zariadenie kompatibilné a informácie sú k dispozícii, prevádzkovatelia uvedení v článku 2 ods. 1 tohto kráľovského dekrétu, a to aj vo vzťahu ku koncovým používateľom mobilných interpersonálnych komunikačných služieb založených na číslovaní z roamingu z iného členského štátu v Španielsku, presmerujú informácie o polohe z mobilného zariadenia získané prostredníctvom funkcie AML s cieľom poskytnúť čo najpresnejšie informácie o polohe volajúceho používateľa.</w:t>
      </w:r>
    </w:p>
    <w:p w14:paraId="2EBF8491" w14:textId="2DFC9FD9" w:rsidR="00327211" w:rsidRPr="00665FA8" w:rsidRDefault="00327211" w:rsidP="00327211">
      <w:pPr>
        <w:jc w:val="both"/>
        <w:rPr>
          <w:rFonts w:cstheme="minorHAnsi"/>
          <w:bCs/>
          <w:sz w:val="24"/>
          <w:szCs w:val="24"/>
        </w:rPr>
      </w:pPr>
      <w:r>
        <w:rPr>
          <w:sz w:val="24"/>
        </w:rPr>
        <w:t>Centrum prijímania a distribúcie informácií o polohe na základe mobilného zariadenia spravuje ministerstvo vnútra. Toto centrum prijíma a distribuuje informácie o polohe najvhodnejšiemu prijímaciemu centru tiesňovej komunikácie 112 v závislosti od geografickej polohy volajúceho.</w:t>
      </w:r>
    </w:p>
    <w:p w14:paraId="044D7FD4" w14:textId="490091F1" w:rsidR="00327211" w:rsidRDefault="00327211" w:rsidP="00327211">
      <w:pPr>
        <w:jc w:val="both"/>
        <w:rPr>
          <w:rFonts w:cstheme="minorHAnsi"/>
          <w:bCs/>
          <w:sz w:val="24"/>
          <w:szCs w:val="24"/>
        </w:rPr>
      </w:pPr>
      <w:r>
        <w:rPr>
          <w:sz w:val="24"/>
        </w:rPr>
        <w:t>Štátny tajomník pre telekomunikácie a digitálnu infraštruktúru môže vydať pokyny týkajúce sa formy a obsahu informácií o polohe založených na mobilnom zariadení.</w:t>
      </w:r>
    </w:p>
    <w:p w14:paraId="18214334" w14:textId="0E6FDD13" w:rsidR="00693F87" w:rsidRDefault="00693F87" w:rsidP="00327211">
      <w:pPr>
        <w:jc w:val="both"/>
        <w:rPr>
          <w:sz w:val="24"/>
          <w:szCs w:val="24"/>
        </w:rPr>
      </w:pPr>
      <w:r>
        <w:rPr>
          <w:sz w:val="24"/>
        </w:rPr>
        <w:t>4. S ohľadom na spracovanie osobných údajov odvodených z informácií o polohe z mobilného zariadenia získaných prostredníctvom funkcie AML sú stanovené nasledujúce dodatočné opatrenia:</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Dodržiavať zásadu obmedzenia účelu, aby sa údaje o polohe používali výlučne na uľahčenie polohy volajúceho v súvislosti s uskutočneným konkrétnym tiesňovým volaním.</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Dodržiavať zásadu minimalizácie údajov, ktoré sa majú spracúvať, aby sa nezhromažďovali žiadne ďalšie údaje okrem tých, ktoré sa prísne týkajú polohy volajúceho koncového používateľa.</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Dodržiavať povinnosť mlčanlivosti zo strany osôb, ktoré majú prístup k údajom.</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Informácie o polohe sa vymažú čo najskôr a v každom prípade do jedného mesiaca.</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lastRenderedPageBreak/>
        <w:t>Článok 13. Transparentnosť týkajúca sa prístupu k tiesňovej komunikácii prostredníctvom jednotného európskeho čísla tiesňového volania 112 v medzinárodnom roamingu.</w:t>
      </w:r>
    </w:p>
    <w:p w14:paraId="35BCA3D0" w14:textId="42F2BB8D" w:rsidR="00B361D9" w:rsidRPr="00114542" w:rsidRDefault="00114542" w:rsidP="00114542">
      <w:pPr>
        <w:jc w:val="both"/>
        <w:rPr>
          <w:rFonts w:cstheme="minorHAnsi"/>
          <w:sz w:val="24"/>
          <w:szCs w:val="24"/>
        </w:rPr>
      </w:pPr>
      <w:r>
        <w:rPr>
          <w:sz w:val="24"/>
        </w:rPr>
        <w:t>1. Prevádzkovatelia uvedení v článku 2 ods. 1 tohto kráľovského dekrétu ako poskytovatelia roamingu zabezpečia, aby ich koncoví roamingoví používatelia boli primerane informovaní o prostriedkoch prístupu k tiesňovým službám v navštívenom členskom štáte.</w:t>
      </w:r>
    </w:p>
    <w:p w14:paraId="267EBC27" w14:textId="700D464C" w:rsidR="00B361D9" w:rsidRPr="00114542" w:rsidRDefault="00114542" w:rsidP="00114542">
      <w:pPr>
        <w:jc w:val="both"/>
        <w:rPr>
          <w:rFonts w:cstheme="minorHAnsi"/>
          <w:sz w:val="24"/>
          <w:szCs w:val="24"/>
        </w:rPr>
      </w:pPr>
      <w:r>
        <w:rPr>
          <w:sz w:val="24"/>
        </w:rPr>
        <w:t>2. Poskytovateľ roamingu prostredníctvom automatizovanej správy informuje koncového roamingového používateľa o možnosti bezplatného prístupu k tiesňovým službám zavolaním na jednotné európske číslo tiesňového volania 112. Táto správa poskytuje roamingovému koncovému používateľovi aj odkaz na konkrétne webové sídlo prístupné osobám so zdravotným postihnutím s informáciami o alternatívnych prostriedkoch prístupu k tiesňovým službám prostredníctvom tiesňovej komunikácie prijatej v navštívenom členskom štáte, a to bezplatne. Informácie sa zasielajú na mobilné zariadenie roamingového koncového používateľa prostredníctvom SMS správy alebo, ak je to vhodné, vhodnými prostriedkami prispôsobenými na uľahčenie ich prijatia a ľahkého pochopenia vždy, keď roamingový koncový používateľ vstúpi do iného členského štátu. Informácie sa poskytnú bezplatne.</w:t>
      </w:r>
    </w:p>
    <w:p w14:paraId="348FAEA9" w14:textId="3D32B9D0" w:rsidR="00327211" w:rsidRPr="00665FA8" w:rsidRDefault="00810C8B" w:rsidP="00B3150A">
      <w:pPr>
        <w:jc w:val="center"/>
        <w:rPr>
          <w:rFonts w:cstheme="minorHAnsi"/>
          <w:b/>
          <w:bCs/>
          <w:sz w:val="24"/>
          <w:szCs w:val="24"/>
        </w:rPr>
      </w:pPr>
      <w:r>
        <w:rPr>
          <w:b/>
          <w:sz w:val="24"/>
        </w:rPr>
        <w:t>KAPITOLA IV</w:t>
      </w:r>
    </w:p>
    <w:p w14:paraId="4271AC67" w14:textId="3340E8D3" w:rsidR="00810C8B" w:rsidRPr="00665FA8" w:rsidRDefault="00810C8B" w:rsidP="00B3150A">
      <w:pPr>
        <w:jc w:val="center"/>
        <w:rPr>
          <w:rFonts w:cstheme="minorHAnsi"/>
          <w:b/>
          <w:bCs/>
          <w:sz w:val="24"/>
          <w:szCs w:val="24"/>
        </w:rPr>
      </w:pPr>
      <w:r>
        <w:rPr>
          <w:b/>
          <w:sz w:val="24"/>
        </w:rPr>
        <w:t>Prístup koncových používateľov so zdravotným postihnutím k službe tiesňového volania 112.</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Článok 14. Prístup koncových používateľov so zdravotným postihnutím k službe tiesňového volania 112.</w:t>
      </w:r>
    </w:p>
    <w:p w14:paraId="0A547A1A" w14:textId="43457518" w:rsidR="00327211" w:rsidRPr="00665FA8" w:rsidRDefault="00EE306F" w:rsidP="00327211">
      <w:pPr>
        <w:jc w:val="both"/>
        <w:rPr>
          <w:rFonts w:cstheme="minorHAnsi"/>
          <w:bCs/>
          <w:sz w:val="24"/>
          <w:szCs w:val="24"/>
        </w:rPr>
      </w:pPr>
      <w:r>
        <w:rPr>
          <w:sz w:val="24"/>
        </w:rPr>
        <w:t>1. Prístup koncových používateľov so zdravotným postihnutím k službám tiesňového volania 112 musí byť dostupný a rovnocenný s prístupom iných koncových používateľov v súlade s článkom 74 ods. 3 zákona 11/2022 z 28. júna 2022 o všeobecných telekomunikáciách a smernicou Európskeho parlamentu a Rady 2019/882 zo 17. apríla 2019 o požiadavkách na prístupnosť výrobkov a služieb.</w:t>
      </w:r>
    </w:p>
    <w:p w14:paraId="65DCE00E" w14:textId="63B7AA44" w:rsidR="00327211" w:rsidRPr="00665FA8" w:rsidRDefault="00EE306F" w:rsidP="00FE7B47">
      <w:pPr>
        <w:jc w:val="both"/>
        <w:rPr>
          <w:rFonts w:cstheme="minorHAnsi"/>
          <w:bCs/>
          <w:sz w:val="24"/>
          <w:szCs w:val="24"/>
        </w:rPr>
      </w:pPr>
      <w:r>
        <w:rPr>
          <w:sz w:val="24"/>
        </w:rPr>
        <w:lastRenderedPageBreak/>
        <w:t>2. Tiesňovú komunikáciu na jednotné európske číslo tiesňového volania 112 musia vhodne zodpovedať prijímacie centrá tiesňovej komunikácie, ktoré používajú rovnaké komunikačné prostriedky ako na ich príjem, a to pomocou synchronizovaného hlasu a textu (najmä textu v reálnom čase) alebo, ak je k dispozícii video, synchronizovaným hlasom, textom (najmä textom v reálnom čase) a videom ako kompletnú konverzáciu.</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Článok 15. Prístup koncových používateľov so zdravotným postihnutím z iných členských štátov k službe tiesňového volania 112.</w:t>
      </w:r>
    </w:p>
    <w:p w14:paraId="386F8FBD" w14:textId="7ECBC70D" w:rsidR="00D83518" w:rsidRPr="00665FA8" w:rsidRDefault="0065753F" w:rsidP="00327211">
      <w:pPr>
        <w:jc w:val="both"/>
        <w:rPr>
          <w:rFonts w:cstheme="minorHAnsi"/>
          <w:bCs/>
          <w:sz w:val="24"/>
          <w:szCs w:val="24"/>
        </w:rPr>
      </w:pPr>
      <w:r>
        <w:rPr>
          <w:sz w:val="24"/>
        </w:rPr>
        <w:t>Vedúci ministerstva hospodárstva a digitálnej transformácie prostredníctvom nariadenia prijme vhodné opatrenia na zabezpečenie toho, aby koncoví používatelia so zdravotným postihnutím z iného členského štátu mali pri cestovaní do Španielska prístup k tiesňovým službám za rovnakých podmienok ako ostatní koncoví používatelia.</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Prvé doplňujúce ustanovenie. Tiesňová komunikácia cez iné telefónne čísla.</w:t>
      </w:r>
    </w:p>
    <w:p w14:paraId="17D0E0BB" w14:textId="6A54DA74" w:rsidR="00A839C2" w:rsidRDefault="002F25B0" w:rsidP="008D7285">
      <w:pPr>
        <w:jc w:val="both"/>
        <w:rPr>
          <w:rFonts w:cstheme="minorHAnsi"/>
          <w:sz w:val="24"/>
          <w:szCs w:val="24"/>
        </w:rPr>
      </w:pPr>
      <w:r>
        <w:rPr>
          <w:sz w:val="24"/>
        </w:rPr>
        <w:t>1. Podľa ustanovení článku 74 ods. 1 zákona 11/2022 z 28. júna 2022, všeobecný telekomunikačný zákon, môžu koncoví používatelia verejne dostupných interpersonálnych komunikačných služieb založených na číslovaní okrem čísla 112 uskutočňovať tiesňovú komunikáciu prostredníctvom týchto telefónnych čísel:</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 Civilná garda.</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Miestne hasičské služby.</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Provinčné hasičské služby.</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Regionálne policajné sily.</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Národná polícia.</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Miestna polícia.</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Civilná ochrana.</w:t>
      </w:r>
    </w:p>
    <w:p w14:paraId="6CA5B403" w14:textId="1E82A940" w:rsidR="009B4CA7" w:rsidRPr="00ED3F17" w:rsidRDefault="002F25B0" w:rsidP="00881147">
      <w:pPr>
        <w:jc w:val="both"/>
        <w:rPr>
          <w:rFonts w:cstheme="minorHAnsi"/>
          <w:sz w:val="24"/>
          <w:szCs w:val="24"/>
        </w:rPr>
      </w:pPr>
      <w:r>
        <w:rPr>
          <w:sz w:val="24"/>
        </w:rPr>
        <w:t>2. Štátny tajomník pre telekomunikácie a digitálnu infraštruktúru môže prostredníctvom uznesenia identifikovať iné telefónne čísla, prostredníctvom ktorých sa môže uskutočňovať tiesňová komunikácia.</w:t>
      </w:r>
    </w:p>
    <w:p w14:paraId="33ACE95D" w14:textId="363E3413" w:rsidR="00DD401C" w:rsidRDefault="009B4CA7" w:rsidP="002F25B0">
      <w:pPr>
        <w:jc w:val="both"/>
        <w:rPr>
          <w:rFonts w:cstheme="minorHAnsi"/>
          <w:sz w:val="24"/>
          <w:szCs w:val="24"/>
        </w:rPr>
      </w:pPr>
      <w:r>
        <w:rPr>
          <w:sz w:val="24"/>
        </w:rPr>
        <w:lastRenderedPageBreak/>
        <w:t>3. Na primerané spracovanie a správu tiesňovej komunikácie adresovanej telefónnym číslam upraveným v tomto ustanovení sa uznávajú tieto právomoci výlučne na účely ustanovení tohto kráľovského dekrétu, ako je uvedené v nasledujúcich častiach týkajúcich sa informácií o čísle účastníka, informácií o polohe volajúceho a identifikácie východiskovej linky.</w:t>
      </w:r>
    </w:p>
    <w:p w14:paraId="55AB48A8" w14:textId="6D3662EA" w:rsidR="004B43EE" w:rsidRPr="009B4CA7" w:rsidRDefault="00254ABF" w:rsidP="002F25B0">
      <w:pPr>
        <w:jc w:val="both"/>
        <w:rPr>
          <w:sz w:val="24"/>
          <w:szCs w:val="24"/>
        </w:rPr>
      </w:pPr>
      <w:r>
        <w:rPr>
          <w:sz w:val="24"/>
        </w:rPr>
        <w:t>4. Orgány zodpovedné za správu tiesňovej komunikácie adresovanej telefónnym číslam upraveným v tomto ustanovení môžu mať v súlade s ustanoveniami článku 72 ods. 2 písm. c) zákona č. 11/2022 z 28. júna 2022, všeobecný telekomunikačný zákon, prístup k informáciám o číslach účastníkov na účely prísneho plnenia ich funkcií za rovnakých podmienok stanovených pre službu tiesňového volania 112 v článku 7 tohto kráľovského dekrétu.</w:t>
      </w:r>
    </w:p>
    <w:p w14:paraId="45FD934B" w14:textId="2043A11F" w:rsidR="004B43EE" w:rsidRDefault="0014170A" w:rsidP="004B43EE">
      <w:pPr>
        <w:jc w:val="both"/>
        <w:rPr>
          <w:rFonts w:cstheme="minorHAnsi"/>
          <w:bCs/>
          <w:sz w:val="24"/>
          <w:szCs w:val="24"/>
        </w:rPr>
      </w:pPr>
      <w:r>
        <w:t xml:space="preserve">5. </w:t>
      </w:r>
      <w:r>
        <w:rPr>
          <w:sz w:val="24"/>
        </w:rPr>
        <w:t>Prevádzkovatelia uvedení v článku 2 ods. 1 tohto kráľovského dekrétu bezodkladne poskytnú orgánom zodpovedným za riadenie tiesňovej komunikácie na telefónne čísla upravené v tomto ustanovení informácie zo siete týkajúce sa polohy volajúcich.</w:t>
      </w:r>
    </w:p>
    <w:p w14:paraId="12732828" w14:textId="5009A59B" w:rsidR="004B43EE" w:rsidRDefault="004B43EE" w:rsidP="004B43EE">
      <w:pPr>
        <w:jc w:val="both"/>
        <w:rPr>
          <w:rFonts w:cstheme="minorHAnsi"/>
          <w:bCs/>
          <w:sz w:val="24"/>
          <w:szCs w:val="24"/>
        </w:rPr>
      </w:pPr>
      <w:r>
        <w:rPr>
          <w:sz w:val="24"/>
        </w:rPr>
        <w:t>Prevádzkovatelia v súlade s článkom 66 ods. 2 písm. c) zákona č. 11/2022 z 28. júna 2022, všeobecný telekomunikačný zákon, poskytnú takéto informácie aj v prípade koncových používateľov, ktorí uplatnili svoje právo podľa uvedeného článku a v dôsledku toho nedali súhlas so spracovaním svojich údajov o polohe.</w:t>
      </w:r>
    </w:p>
    <w:p w14:paraId="7C4E150B" w14:textId="11BA36FD" w:rsidR="00F5331B" w:rsidRDefault="0014170A" w:rsidP="00F5331B">
      <w:pPr>
        <w:jc w:val="both"/>
        <w:rPr>
          <w:rFonts w:cstheme="minorHAnsi"/>
          <w:bCs/>
          <w:sz w:val="24"/>
          <w:szCs w:val="24"/>
        </w:rPr>
      </w:pPr>
      <w:r>
        <w:rPr>
          <w:sz w:val="24"/>
        </w:rPr>
        <w:t>6. Prevádzkovatelia uvedení v článku 2 ods. 1 tohto kráľovského dekrétu poskytnú orgánom zodpovedným za riadenie tiesňovej komunikácie adresovanej telefónnym číslam upraveným v tomto ustanovení identifikáciu východiskovej linky, z ktorej sa volania uskutočňujú, v rámci technických možností siete a v súlade s predpismi o prezentačných zariadeniach a obmedzeniach volajúceho stanovenými vo vnútroštátnych a európskych predpisoch. Prevádzkovatelia poskytnú identifikáciu východiskovej linky, aj keď koncový používateľ podľa článku 65 ods. 1 písm. o) zákona č. 11/2022 z 28. júna 2022, všeobecný telekomunikačný zákon, uplatnil svoje právo zabrániť predloženiu identifikácie svojej linky.</w:t>
      </w:r>
    </w:p>
    <w:p w14:paraId="0D51DF69" w14:textId="43BC92BE" w:rsidR="004544CB" w:rsidRPr="004544CB" w:rsidRDefault="0014170A" w:rsidP="004544CB">
      <w:pPr>
        <w:jc w:val="both"/>
        <w:rPr>
          <w:rFonts w:cstheme="minorHAnsi"/>
          <w:bCs/>
          <w:sz w:val="24"/>
          <w:szCs w:val="24"/>
        </w:rPr>
      </w:pPr>
      <w:r>
        <w:rPr>
          <w:sz w:val="24"/>
        </w:rPr>
        <w:t>7. Prístup k telefónnym číslam, na ktoré sa vzťahuje toto ustanovenie, je zaručený z elektronických komunikačných sietí, ktoré nie sú prístupné verejnosti, ale ktoré umožňujú volania do verejných sietí, najmä ak podnik zodpovedný za takúto sieť neposkytuje alternatívny a jednoduchý prístup k službe tiesňového volania.</w:t>
      </w:r>
    </w:p>
    <w:p w14:paraId="218D3340" w14:textId="6138FF74" w:rsidR="00ED3F17" w:rsidRDefault="004544CB" w:rsidP="004544CB">
      <w:pPr>
        <w:jc w:val="both"/>
        <w:rPr>
          <w:rFonts w:cstheme="minorHAnsi"/>
          <w:bCs/>
          <w:sz w:val="24"/>
          <w:szCs w:val="24"/>
        </w:rPr>
      </w:pPr>
      <w:r>
        <w:rPr>
          <w:sz w:val="24"/>
        </w:rPr>
        <w:lastRenderedPageBreak/>
        <w:t>V nariadení ministra hospodárstva a digitálnej transformácie sa uvedú podmienky prístupu k telefónnym číslam tohto ustanovenia z týchto sietí.</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Druhé doplňujúce ustanovenie. Dodatočné interpersonálne komunikačné služby založené na číslovaní vhodné pre tiesňovú komunikáciu.</w:t>
      </w:r>
    </w:p>
    <w:p w14:paraId="0A68585B" w14:textId="56D2BA86" w:rsidR="00AE2097" w:rsidRDefault="00AE2097" w:rsidP="00AE2097">
      <w:pPr>
        <w:jc w:val="both"/>
        <w:rPr>
          <w:rFonts w:cstheme="minorHAnsi"/>
          <w:bCs/>
          <w:sz w:val="24"/>
          <w:szCs w:val="24"/>
        </w:rPr>
      </w:pPr>
      <w:r>
        <w:rPr>
          <w:sz w:val="24"/>
        </w:rPr>
        <w:t>Vedúci ministerstva hospodárstva a digitálnej transformácie môže na základe verejného vypočutia a správy Národnej komisie pre trhy a hospodársku súťaž prostredníctvom nariadenia rozhodnúť, ktoré interpersonálne komunikačné služby založené na číslovaní, ktoré dopĺňajú hlasovú komunikáciu uvedenú v článku 2 tohto kráľovského dekrétu, ako sú SMS, správy, videá, textové služby v reálnom čase, celkové konverzačné služby alebo konverzné služby, by mali byť zahrnuté do tiesňovej komunikácie, pričom sa zohľadní súčasný stav a stav trhu elektronických komunikácií v Španielsku, technické charakteristiky hlavných sietí a služieb zavedených a poskytovaných v našej krajine a kapacity a technické vybavenie prijímacích centier tiesňovej komunikácie 112.</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Tretie doplňujúce ustanovenie. Zavedenie mobilných zariadení, ktoré zefektívňujú pokročilé funkcie informácií o mobilnej polohe AML, na španielskom trhu.</w:t>
      </w:r>
    </w:p>
    <w:p w14:paraId="6D4A7C52" w14:textId="4A91E8ED" w:rsidR="00B72801" w:rsidRDefault="00B72801" w:rsidP="00B72801">
      <w:pPr>
        <w:jc w:val="both"/>
        <w:rPr>
          <w:rFonts w:cstheme="minorHAnsi"/>
          <w:bCs/>
          <w:sz w:val="24"/>
          <w:szCs w:val="24"/>
        </w:rPr>
      </w:pPr>
      <w:r>
        <w:rPr>
          <w:sz w:val="24"/>
        </w:rPr>
        <w:t>Po uplynutí troch mesiacov od nadobudnutia účinnosti tohto kráľovského dekrétu nesmú byť na španielskom trhu zavedené prenosné mobilné zariadenia s funkciami podobnými funkciám počítača, pokiaľ ide o ich schopnosť spracovávať a ukladať údaje, ktoré neumožňujú zavedenie pokročilej mobilnej funkcie informácií o polohe AML zo samotného zariadenia upraveného v tomto kráľovskom dekréte.</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Jediné zrušujúce ustanovenie. Zrušenie právnych predpisov.</w:t>
      </w:r>
    </w:p>
    <w:p w14:paraId="5C63BA96" w14:textId="77777777" w:rsidR="00A2457F" w:rsidRDefault="0099639A" w:rsidP="001924E4">
      <w:pPr>
        <w:jc w:val="both"/>
        <w:rPr>
          <w:rFonts w:cstheme="minorHAnsi"/>
          <w:bCs/>
          <w:sz w:val="24"/>
          <w:szCs w:val="24"/>
        </w:rPr>
      </w:pPr>
      <w:r>
        <w:rPr>
          <w:sz w:val="24"/>
        </w:rPr>
        <w:t>Zrušujú sa tieto ustanovenia:</w:t>
      </w:r>
    </w:p>
    <w:p w14:paraId="05D92213" w14:textId="6C51D996" w:rsidR="001924E4" w:rsidRDefault="00A2457F" w:rsidP="00A2457F">
      <w:pPr>
        <w:pStyle w:val="ListParagraph"/>
        <w:numPr>
          <w:ilvl w:val="0"/>
          <w:numId w:val="25"/>
        </w:numPr>
        <w:jc w:val="both"/>
        <w:rPr>
          <w:rFonts w:cstheme="minorHAnsi"/>
          <w:sz w:val="24"/>
          <w:szCs w:val="24"/>
        </w:rPr>
      </w:pPr>
      <w:r>
        <w:rPr>
          <w:sz w:val="24"/>
        </w:rPr>
        <w:t>Kráľovský dekrét č. 903/1997 zo 16. júna 1997, ktorým sa prostredníctvom telekomunikačných sietí upravuje prístup k službe tiesňového volania prostredníctvom telefónneho čísla 112.</w:t>
      </w:r>
    </w:p>
    <w:p w14:paraId="3628F2FD" w14:textId="77777777" w:rsidR="0054450D" w:rsidRDefault="0054450D" w:rsidP="00EB26EF">
      <w:pPr>
        <w:pStyle w:val="ListParagraph"/>
        <w:numPr>
          <w:ilvl w:val="0"/>
          <w:numId w:val="25"/>
        </w:numPr>
        <w:jc w:val="both"/>
        <w:rPr>
          <w:rFonts w:cstheme="minorHAnsi"/>
          <w:sz w:val="24"/>
          <w:szCs w:val="24"/>
        </w:rPr>
      </w:pPr>
      <w:r>
        <w:rPr>
          <w:sz w:val="24"/>
        </w:rPr>
        <w:lastRenderedPageBreak/>
        <w:t>Nariadenie zo 14. októbra 1999 o podmienkach poskytovania relevantných informácií pre službu tiesňového volania prostredníctvom čísla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Nariadenie ITC/750/2010 zo 17. marca 2010, ktorým sa stanovujú podmienky sprístupňovania údajov o polohe volajúceho používateľa mobilnej telefónnej služby službám tiesňového volania poskytovaných prostredníctvom čísel 062 a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Všetky ostatné ustanovenia rovnakého alebo nižšieho postavenia, ktoré sú v rozpore s ustanoveniami tohto kráľovského dekrétu, sa takisto zrušujú.</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Prvé záverečné ustanovenie. Udelenie právomocí.</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Tento kráľovský dekrét sa vydáva v súlade s ustanoveniami článku 149 ods. 1 bodov 21 a 29 španielskej ústavy, ktorými sa štátu priznávajú výlučné právomoci vo veciach telekomunikácií a verejnej bezpečnosti.</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Druhé záverečné ustanovenie. Vykonávacie právomoci v oblasti regulácie.</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Vedúci ministerstva hospodárstva a digitálnej transformácie, ako aj vedúci ministerstva vnútra sú v rámci svojich právomocí oprávnení vydávať ustanovenia potrebné na dosiahnutie súladu s ustanoveniami tohto kráľovského dekrétu.</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Tretie záverečné ustanovenie. Nadobudnutie účinnosti</w:t>
      </w:r>
    </w:p>
    <w:p w14:paraId="543338E4" w14:textId="297ADC2C" w:rsidR="00327211" w:rsidRPr="00665FA8" w:rsidRDefault="00327211" w:rsidP="00327211">
      <w:pPr>
        <w:jc w:val="both"/>
        <w:rPr>
          <w:rFonts w:cstheme="minorHAnsi"/>
          <w:bCs/>
          <w:sz w:val="24"/>
          <w:szCs w:val="24"/>
        </w:rPr>
      </w:pPr>
      <w:r>
        <w:rPr>
          <w:sz w:val="24"/>
        </w:rPr>
        <w:t>Tento kráľovský dekrét nadobúda účinnosť v nasledujúci deň po jeho uverejnení v úradnom vestníku.</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B51470"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428762"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MINISTERSTVO HOSPODÁRSTVA A DIGITÁLNEJ TRANSFORMÁCIE</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ŠTÁTNY SEKRETARIÁT PRE TELEKOMUNIKÁCIE A DIGITÁLNE INFRAŠTRUKTÚRY</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GENERÁLNE RIADITEĽSTVO PRE TELEKOMUNIKÁCIE A AUDIOVIZUÁLNE KOMUNIKAČNÉ SLUŽBY</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470"/>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5466</Words>
  <Characters>31159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2022-07-27T09:06:00Z</dcterms:modified>
</cp:coreProperties>
</file>