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31687" w14:textId="534B6B84" w:rsidR="007D6ACC" w:rsidRPr="00EB4471" w:rsidRDefault="007D6ACC" w:rsidP="007D6ACC">
      <w:pPr>
        <w:pStyle w:val="02BDGesBlatt"/>
        <w:rPr>
          <w:b w:val="0"/>
          <w:spacing w:val="0"/>
          <w:sz w:val="20"/>
        </w:rPr>
      </w:pPr>
      <w:r w:rsidRPr="00EB4471">
        <w:rPr>
          <w:rFonts w:ascii="Courier New" w:hAnsi="Courier New"/>
          <w:b w:val="0"/>
          <w:spacing w:val="0"/>
          <w:sz w:val="20"/>
        </w:rPr>
        <w:t>1. -</w:t>
      </w:r>
      <w:r w:rsidR="00EB4471">
        <w:rPr>
          <w:rFonts w:ascii="Courier New" w:hAnsi="Courier New"/>
          <w:b w:val="0"/>
          <w:spacing w:val="0"/>
          <w:sz w:val="20"/>
        </w:rPr>
        <w:t>-</w:t>
      </w:r>
      <w:r w:rsidRPr="00EB4471">
        <w:rPr>
          <w:rFonts w:ascii="Courier New" w:hAnsi="Courier New"/>
          <w:b w:val="0"/>
          <w:spacing w:val="0"/>
          <w:sz w:val="20"/>
        </w:rPr>
        <w:t xml:space="preserve">----IND- 2020 0544 A-- NL- ------ </w:t>
      </w:r>
      <w:r w:rsidRPr="00EB4471">
        <w:rPr>
          <w:rFonts w:ascii="Segoe UI" w:hAnsi="Segoe UI"/>
          <w:b w:val="0"/>
          <w:spacing w:val="0"/>
          <w:sz w:val="20"/>
        </w:rPr>
        <w:t>20210120</w:t>
      </w:r>
      <w:r w:rsidRPr="00EB4471">
        <w:rPr>
          <w:rFonts w:ascii="Calibri" w:hAnsi="Calibri"/>
          <w:b w:val="0"/>
          <w:color w:val="auto"/>
          <w:spacing w:val="0"/>
          <w:sz w:val="20"/>
        </w:rPr>
        <w:t xml:space="preserve"> </w:t>
      </w:r>
      <w:r w:rsidRPr="00EB4471">
        <w:rPr>
          <w:rFonts w:ascii="Courier New" w:hAnsi="Courier New"/>
          <w:b w:val="0"/>
          <w:color w:val="auto"/>
          <w:spacing w:val="0"/>
          <w:sz w:val="20"/>
        </w:rPr>
        <w:t>--- --- FINAL</w:t>
      </w:r>
    </w:p>
    <w:p w14:paraId="1373DC90" w14:textId="77777777" w:rsidR="00344954" w:rsidRPr="00380F5F" w:rsidRDefault="00344954" w:rsidP="00B230E9">
      <w:pPr>
        <w:pStyle w:val="02BDGesBlatt"/>
      </w:pPr>
      <w:r>
        <w:t>STAATSBLAD</w:t>
      </w:r>
    </w:p>
    <w:p w14:paraId="5EE13788" w14:textId="77777777" w:rsidR="00344954" w:rsidRPr="00380F5F" w:rsidRDefault="00344954" w:rsidP="00B230E9">
      <w:pPr>
        <w:pStyle w:val="03RepOesterr"/>
      </w:pPr>
      <w:r>
        <w:t>VAN DE OOSTENRIJKSE REPUBLIEK</w:t>
      </w:r>
    </w:p>
    <w:p w14:paraId="011C5798" w14:textId="77777777" w:rsidR="00344954" w:rsidRPr="00380F5F" w:rsidRDefault="00344954" w:rsidP="00B230E9">
      <w:pPr>
        <w:pStyle w:val="04AusgabeDaten"/>
      </w:pPr>
      <w:r>
        <w:t>Jaargang 2020</w:t>
      </w:r>
      <w:r>
        <w:tab/>
        <w:t>Gepubliceerd op 23 december 2020</w:t>
      </w:r>
      <w:r>
        <w:tab/>
        <w:t>Deel I</w:t>
      </w:r>
    </w:p>
    <w:p w14:paraId="37590702" w14:textId="77777777" w:rsidR="00344954" w:rsidRPr="00380F5F" w:rsidRDefault="00344954" w:rsidP="00B230E9">
      <w:pPr>
        <w:pStyle w:val="05Kurztitel"/>
      </w:pPr>
      <w:r>
        <w:t>151e federale wet:</w:t>
      </w:r>
      <w:r>
        <w:tab/>
        <w:t>Wet op communicatieplatformen en wijziging van de wet inzake de communicatieautoriteit voor Oostenrijk (NR: GP XXVII RV 463 AB 509 blz. 69. BR: 10457 AB 10486 blz. 917.)</w:t>
      </w:r>
    </w:p>
    <w:p w14:paraId="6D6EB8AF" w14:textId="77777777" w:rsidR="004C1883" w:rsidRPr="00380F5F" w:rsidRDefault="00344954" w:rsidP="00B230E9">
      <w:pPr>
        <w:pStyle w:val="11Titel"/>
      </w:pPr>
      <w:r>
        <w:t>151e federale wet tot vaststelling van een wet op communicatieplatformen en tot wijziging van de wet inzake de communicatieautoriteit voor Oostenrijk</w:t>
      </w:r>
    </w:p>
    <w:p w14:paraId="4BAFF886" w14:textId="77777777" w:rsidR="004C1883" w:rsidRPr="00380F5F" w:rsidRDefault="004C1883" w:rsidP="00B230E9">
      <w:pPr>
        <w:pStyle w:val="12PromKlEinlSatz"/>
        <w:keepNext w:val="0"/>
      </w:pPr>
      <w:r>
        <w:t>Het Oostenrijkse parlement heeft het navolgende besloten:</w:t>
      </w:r>
    </w:p>
    <w:p w14:paraId="38DE1CB3" w14:textId="77777777" w:rsidR="004C1883" w:rsidRPr="00380F5F" w:rsidRDefault="004C1883" w:rsidP="00B230E9">
      <w:pPr>
        <w:pStyle w:val="41UeberschrG1"/>
        <w:keepLines/>
      </w:pPr>
      <w:r>
        <w:t>Artikel 1</w:t>
      </w:r>
    </w:p>
    <w:p w14:paraId="3BFFC7B5" w14:textId="77777777" w:rsidR="004C1883" w:rsidRPr="00380F5F" w:rsidRDefault="004C1883" w:rsidP="00B230E9">
      <w:pPr>
        <w:pStyle w:val="43UeberschrG2"/>
        <w:keepLines/>
      </w:pPr>
      <w:r>
        <w:t>Federale wet betreffende maatregelen ter bescherming van gebruikers op communicatieplatformen (Wet op communicatieplatformen [</w:t>
      </w:r>
      <w:proofErr w:type="spellStart"/>
      <w:r>
        <w:t>Kommunikationsplattformen-Gesetz</w:t>
      </w:r>
      <w:proofErr w:type="spellEnd"/>
      <w:r>
        <w:t>, ofwel “</w:t>
      </w:r>
      <w:proofErr w:type="spellStart"/>
      <w:r>
        <w:t>KoPl</w:t>
      </w:r>
      <w:proofErr w:type="spellEnd"/>
      <w:r>
        <w:t>-G”])</w:t>
      </w:r>
    </w:p>
    <w:p w14:paraId="5E9D4BEF" w14:textId="77777777" w:rsidR="004C1883" w:rsidRPr="00380F5F" w:rsidRDefault="004C1883" w:rsidP="00B230E9">
      <w:pPr>
        <w:pStyle w:val="42UeberschrG1-"/>
        <w:keepLines/>
      </w:pPr>
      <w:r>
        <w:t>Hoofdstuk 1</w:t>
      </w:r>
    </w:p>
    <w:p w14:paraId="53770037" w14:textId="77777777" w:rsidR="004C1883" w:rsidRPr="00380F5F" w:rsidRDefault="004C1883" w:rsidP="00B230E9">
      <w:pPr>
        <w:pStyle w:val="43UeberschrG2"/>
        <w:keepLines/>
      </w:pPr>
      <w:r>
        <w:t>Algemene bepalingen en definities</w:t>
      </w:r>
    </w:p>
    <w:p w14:paraId="17502981" w14:textId="77777777" w:rsidR="004C1883" w:rsidRPr="00380F5F" w:rsidRDefault="004C1883" w:rsidP="00B230E9">
      <w:pPr>
        <w:pStyle w:val="45UeberschrPara"/>
        <w:keepLines/>
      </w:pPr>
      <w:r>
        <w:t>Voorwerp en toepassingsgebied</w:t>
      </w:r>
    </w:p>
    <w:p w14:paraId="79550670" w14:textId="77777777" w:rsidR="004C1883" w:rsidRPr="00380F5F" w:rsidRDefault="004C1883" w:rsidP="00B230E9">
      <w:pPr>
        <w:pStyle w:val="51Abs"/>
      </w:pPr>
      <w:r>
        <w:rPr>
          <w:rStyle w:val="991GldSymbol"/>
        </w:rPr>
        <w:t>§ 1.</w:t>
      </w:r>
      <w:r>
        <w:t xml:space="preserve"> (1) Deze federale wet is gericht op de bevordering van de verantwoordelijke en transparante omgang van meldingen van de gebruikers over de hieronder vermelde inhoud op communicatieplatformen en de onmiddellijke behandeling van deze meldingen.</w:t>
      </w:r>
    </w:p>
    <w:p w14:paraId="4DE4E8F4" w14:textId="77777777" w:rsidR="004C1883" w:rsidRPr="00380F5F" w:rsidRDefault="004C1883" w:rsidP="00B230E9">
      <w:pPr>
        <w:pStyle w:val="51Abs"/>
      </w:pPr>
      <w:r>
        <w:t>(2) Binnen- en buitenlandse dienstverleners die communicatieplatformen (§ 2, punt 4) aanbieden met het oogmerk winst te maken, zijn onderworpen aan deze federale wet, behalve</w:t>
      </w:r>
    </w:p>
    <w:p w14:paraId="61C9B2A1" w14:textId="77777777" w:rsidR="004C1883" w:rsidRPr="00380F5F" w:rsidRDefault="004C1883" w:rsidP="00B230E9">
      <w:pPr>
        <w:pStyle w:val="52Aufzaehle1Ziffer"/>
        <w:tabs>
          <w:tab w:val="clear" w:pos="624"/>
        </w:tabs>
        <w:ind w:hanging="230"/>
      </w:pPr>
      <w:r>
        <w:t>1.</w:t>
      </w:r>
      <w:r>
        <w:tab/>
        <w:t>indien het aantal gebruikers in Oostenrijk dat door registratie beschikt over toegangsrechten tot het communicatieplatform in het vorige kalenderjaar gemiddeld lager is dan 100 000 personen en</w:t>
      </w:r>
    </w:p>
    <w:p w14:paraId="11D6AA1A" w14:textId="77777777" w:rsidR="004C1883" w:rsidRPr="00380F5F" w:rsidRDefault="004C1883" w:rsidP="00B230E9">
      <w:pPr>
        <w:pStyle w:val="52Aufzaehle1Ziffer"/>
        <w:tabs>
          <w:tab w:val="clear" w:pos="624"/>
        </w:tabs>
        <w:ind w:hanging="230"/>
      </w:pPr>
      <w:r>
        <w:t>2.</w:t>
      </w:r>
      <w:r>
        <w:tab/>
        <w:t>indien de omzet die in Oostenrijk is gegenereerd door de exploitatie van het communicatieplatform in het vorige kalenderjaar minder bedraagt dan 500 000 euro.</w:t>
      </w:r>
    </w:p>
    <w:p w14:paraId="7348523A" w14:textId="77777777" w:rsidR="004C1883" w:rsidRPr="00380F5F" w:rsidRDefault="004C1883" w:rsidP="00B230E9">
      <w:pPr>
        <w:pStyle w:val="51Abs"/>
        <w:keepNext/>
        <w:keepLines/>
      </w:pPr>
      <w:r>
        <w:t>(3) Dienstverleners van communicatieplatformen</w:t>
      </w:r>
    </w:p>
    <w:p w14:paraId="38877069" w14:textId="77777777" w:rsidR="004C1883" w:rsidRPr="00380F5F" w:rsidRDefault="004C1883" w:rsidP="00B230E9">
      <w:pPr>
        <w:pStyle w:val="52Aufzaehle1Ziffer"/>
        <w:tabs>
          <w:tab w:val="clear" w:pos="624"/>
        </w:tabs>
        <w:ind w:hanging="230"/>
      </w:pPr>
      <w:r>
        <w:t>1.</w:t>
      </w:r>
      <w:r>
        <w:tab/>
        <w:t>die alleen zijn bedoeld voor het bemiddelen of verkopen van goederen of diensten of voor het bemiddelen in onroerend goed of vacatures,</w:t>
      </w:r>
    </w:p>
    <w:p w14:paraId="3EF03101" w14:textId="77777777" w:rsidR="004C1883" w:rsidRPr="00380F5F" w:rsidRDefault="004C1883" w:rsidP="00B230E9">
      <w:pPr>
        <w:pStyle w:val="52Aufzaehle1Ziffer"/>
        <w:keepNext/>
        <w:keepLines/>
        <w:tabs>
          <w:tab w:val="clear" w:pos="624"/>
        </w:tabs>
        <w:ind w:hanging="230"/>
      </w:pPr>
      <w:r>
        <w:t>2.</w:t>
      </w:r>
      <w:r>
        <w:tab/>
        <w:t>waarvan het belangrijkste doel is het verstrekken van non-profit</w:t>
      </w:r>
    </w:p>
    <w:p w14:paraId="1F94CA6F" w14:textId="77777777" w:rsidR="004C1883" w:rsidRPr="00380F5F" w:rsidRDefault="004C1883" w:rsidP="00B230E9">
      <w:pPr>
        <w:pStyle w:val="52Aufzaehle2Lit"/>
        <w:tabs>
          <w:tab w:val="clear" w:pos="851"/>
        </w:tabs>
        <w:ind w:hanging="223"/>
      </w:pPr>
      <w:r>
        <w:t>a)</w:t>
      </w:r>
      <w:r>
        <w:tab/>
        <w:t>online-encyclopedieën of</w:t>
      </w:r>
    </w:p>
    <w:p w14:paraId="2A26BA59" w14:textId="77777777" w:rsidR="004C1883" w:rsidRPr="00380F5F" w:rsidRDefault="004C1883" w:rsidP="00B230E9">
      <w:pPr>
        <w:pStyle w:val="52Aufzaehle2Lit"/>
        <w:tabs>
          <w:tab w:val="clear" w:pos="851"/>
        </w:tabs>
        <w:ind w:hanging="223"/>
      </w:pPr>
      <w:r>
        <w:t>b)</w:t>
      </w:r>
      <w:r>
        <w:tab/>
        <w:t>onderwijs- en leerplatformen voor het overdragen van kennis, of</w:t>
      </w:r>
    </w:p>
    <w:p w14:paraId="2AC7C0C0" w14:textId="77777777" w:rsidR="004C1883" w:rsidRPr="00380F5F" w:rsidRDefault="004C1883" w:rsidP="00B230E9">
      <w:pPr>
        <w:pStyle w:val="52Aufzaehle1Ziffer"/>
        <w:tabs>
          <w:tab w:val="clear" w:pos="624"/>
        </w:tabs>
        <w:ind w:hanging="230"/>
      </w:pPr>
      <w:r>
        <w:t>3.</w:t>
      </w:r>
      <w:r>
        <w:tab/>
        <w:t>die door mediabedrijven (§ 1, lid 1, punt 6, van de wet betreffende media [</w:t>
      </w:r>
      <w:proofErr w:type="spellStart"/>
      <w:r>
        <w:t>Mediengesetz</w:t>
      </w:r>
      <w:proofErr w:type="spellEnd"/>
      <w:r>
        <w:t xml:space="preserve"> – </w:t>
      </w:r>
      <w:proofErr w:type="spellStart"/>
      <w:r>
        <w:t>MedienG</w:t>
      </w:r>
      <w:proofErr w:type="spellEnd"/>
      <w:r>
        <w:t xml:space="preserve">], Oostenrijks staatsblad nr. 314/1981) worden aangeboden in direct verband met hun journalistiek ontworpen </w:t>
      </w:r>
      <w:proofErr w:type="spellStart"/>
      <w:r>
        <w:t>contentaanbod</w:t>
      </w:r>
      <w:proofErr w:type="spellEnd"/>
      <w:r>
        <w:t>,</w:t>
      </w:r>
    </w:p>
    <w:p w14:paraId="4C3A461D" w14:textId="77777777" w:rsidR="004C1883" w:rsidRPr="00380F5F" w:rsidRDefault="004C1883" w:rsidP="00B230E9">
      <w:pPr>
        <w:pStyle w:val="58Schlussteile0Abs"/>
      </w:pPr>
      <w:r>
        <w:t>zijn in ieder geval vrijgesteld van de verplichtingen overeenkomstig deze federale wet.</w:t>
      </w:r>
    </w:p>
    <w:p w14:paraId="72A0A17F" w14:textId="77777777" w:rsidR="004C1883" w:rsidRPr="00380F5F" w:rsidRDefault="004C1883" w:rsidP="00B230E9">
      <w:pPr>
        <w:pStyle w:val="51Abs"/>
      </w:pPr>
      <w:r>
        <w:t>(4) Dienstverleners van videoplatformen (§ 2, punt 12) zijn vrijgesteld van de verplichtingen van deze federale wet gezien de programma’s (§ 2, punt 9) en de door gebruikers gegenereerde video’s (§ 2, punt 7) die daar worden aangeboden.</w:t>
      </w:r>
    </w:p>
    <w:p w14:paraId="1760729C" w14:textId="77777777" w:rsidR="004C1883" w:rsidRPr="00380F5F" w:rsidRDefault="004C1883" w:rsidP="00B230E9">
      <w:pPr>
        <w:pStyle w:val="51Abs"/>
      </w:pPr>
      <w:r>
        <w:lastRenderedPageBreak/>
        <w:t>(5) De toezichthoudende autoriteit moet op vraag van een dienstverlener vaststellen of deze valt onder het toepassingsgebied van deze federale wet.</w:t>
      </w:r>
    </w:p>
    <w:p w14:paraId="6A198CAE" w14:textId="77777777" w:rsidR="004C1883" w:rsidRPr="00380F5F" w:rsidRDefault="004C1883" w:rsidP="00B230E9">
      <w:pPr>
        <w:pStyle w:val="51Abs"/>
      </w:pPr>
      <w:r>
        <w:t>(6) De toezichthoudende autoriteit moet een lijst bijhouden van de dienstverleners die onder deze federale wet vallen en deze op passende wijze publiceren. De lijst, die in elk geval jaarlijks moet worden bijgewerkt, heeft een declaratoire werking. Als de toezichthoudende autoriteit bij de uitvoering van haar taken tot de conclusie komt dat de informatie op de lijst niet langer overeenkomt met de feiten, moet zij de noodzakelijke correcties aanbrengen.</w:t>
      </w:r>
    </w:p>
    <w:p w14:paraId="7136F062" w14:textId="77777777" w:rsidR="004C1883" w:rsidRPr="00380F5F" w:rsidRDefault="004C1883" w:rsidP="00B230E9">
      <w:pPr>
        <w:pStyle w:val="45UeberschrPara"/>
        <w:keepLines/>
      </w:pPr>
      <w:r>
        <w:t>Definities</w:t>
      </w:r>
    </w:p>
    <w:p w14:paraId="63B0E57F" w14:textId="77777777" w:rsidR="004C1883" w:rsidRPr="00380F5F" w:rsidRDefault="004C1883" w:rsidP="00B230E9">
      <w:pPr>
        <w:pStyle w:val="51Abs"/>
        <w:keepNext/>
        <w:keepLines/>
      </w:pPr>
      <w:r>
        <w:rPr>
          <w:rStyle w:val="991GldSymbol"/>
        </w:rPr>
        <w:t>§ 2.</w:t>
      </w:r>
      <w:r>
        <w:t xml:space="preserve"> In deze federale wet gelden de volgende definities:</w:t>
      </w:r>
    </w:p>
    <w:p w14:paraId="146129C2" w14:textId="77777777" w:rsidR="004C1883" w:rsidRPr="00380F5F" w:rsidRDefault="004C1883" w:rsidP="00B230E9">
      <w:pPr>
        <w:pStyle w:val="52Aufzaehle1Ziffer"/>
        <w:tabs>
          <w:tab w:val="clear" w:pos="624"/>
        </w:tabs>
        <w:ind w:hanging="230"/>
      </w:pPr>
      <w:r>
        <w:t>1.</w:t>
      </w:r>
      <w:r>
        <w:tab/>
        <w:t>onzelfstandig filiaal: een vaste bedrijfsvestiging via dewelke de activiteit van een dienstverlener volledig of gedeeltelijk wordt uitgeoefend;</w:t>
      </w:r>
    </w:p>
    <w:p w14:paraId="6E8BAB2D" w14:textId="77777777" w:rsidR="004C1883" w:rsidRPr="00380F5F" w:rsidRDefault="004C1883" w:rsidP="00B230E9">
      <w:pPr>
        <w:pStyle w:val="52Aufzaehle1Ziffer"/>
        <w:tabs>
          <w:tab w:val="clear" w:pos="624"/>
        </w:tabs>
        <w:ind w:hanging="230"/>
      </w:pPr>
      <w:r>
        <w:t>2.</w:t>
      </w:r>
      <w:r>
        <w:tab/>
        <w:t>dienst van de informatiemaatschappij: een doorgaans tegen vergoeding elektronisch op afstand op individuele vraag van de ontvanger ter beschikking gestelde dienst (§ 1, lid 1, punt 2) van de kennisgevingswet van 1999 [</w:t>
      </w:r>
      <w:proofErr w:type="spellStart"/>
      <w:r>
        <w:t>Notifikationsgesetz</w:t>
      </w:r>
      <w:proofErr w:type="spellEnd"/>
      <w:r>
        <w:t> 1999 – </w:t>
      </w:r>
      <w:proofErr w:type="spellStart"/>
      <w:r>
        <w:t>NotifG</w:t>
      </w:r>
      <w:proofErr w:type="spellEnd"/>
      <w:r>
        <w:t xml:space="preserve"> 1999], Oostenrijks staatsblad I, nr. 183/1999), met name het online verkopen van goederen en diensten, het online aanbieden van informatie, onlinereclame, elektronische zoekmachines en </w:t>
      </w:r>
      <w:proofErr w:type="spellStart"/>
      <w:r>
        <w:t>gegevensopvraagmogelijkheden</w:t>
      </w:r>
      <w:proofErr w:type="spellEnd"/>
      <w:r>
        <w:t>, alsook diensten die informatie via een elektronisch net verstrekken, die de toegang hiertoe tot stand brengen of die informatie van een gebruiker opslaan (§ 3, punt 1) van de e-commercewet [E-Commerce-</w:t>
      </w:r>
      <w:proofErr w:type="spellStart"/>
      <w:r>
        <w:t>Gesetz</w:t>
      </w:r>
      <w:proofErr w:type="spellEnd"/>
      <w:r>
        <w:t> – ECG], Oostenrijks staatsblad I nr. 152/2001);</w:t>
      </w:r>
    </w:p>
    <w:p w14:paraId="7F32C3EC" w14:textId="77777777" w:rsidR="004C1883" w:rsidRPr="00380F5F" w:rsidRDefault="004C1883" w:rsidP="00B230E9">
      <w:pPr>
        <w:pStyle w:val="52Aufzaehle1Ziffer"/>
        <w:tabs>
          <w:tab w:val="clear" w:pos="624"/>
        </w:tabs>
        <w:ind w:hanging="230"/>
      </w:pPr>
      <w:r>
        <w:t>3.</w:t>
      </w:r>
      <w:r>
        <w:tab/>
        <w:t>dienstverlener: de natuurlijke of rechtspersoon die een communicatieplatform aanbiedt;</w:t>
      </w:r>
    </w:p>
    <w:p w14:paraId="59932833" w14:textId="77777777" w:rsidR="004C1883" w:rsidRPr="00380F5F" w:rsidRDefault="004C1883" w:rsidP="00B230E9">
      <w:pPr>
        <w:pStyle w:val="52Aufzaehle1Ziffer"/>
        <w:tabs>
          <w:tab w:val="clear" w:pos="624"/>
        </w:tabs>
        <w:ind w:hanging="230"/>
      </w:pPr>
      <w:r>
        <w:t>4.</w:t>
      </w:r>
      <w:r>
        <w:tab/>
        <w:t>communicatieplatform: een dienst van de informatiemaatschappij die als hoofddoel of essentiële functie heeft om via massamedia uitwisseling van berichten of presentaties met intellectuele inhoud in woord, schrift, geluid of beeld mogelijk te maken tussen gebruikers en een grotere groep andere gebruikers;</w:t>
      </w:r>
    </w:p>
    <w:p w14:paraId="7D7A02EB" w14:textId="77777777" w:rsidR="004C1883" w:rsidRPr="00380F5F" w:rsidRDefault="004C1883" w:rsidP="00B230E9">
      <w:pPr>
        <w:pStyle w:val="52Aufzaehle1Ziffer"/>
        <w:tabs>
          <w:tab w:val="clear" w:pos="624"/>
        </w:tabs>
        <w:ind w:hanging="230"/>
      </w:pPr>
      <w:r>
        <w:t>5.</w:t>
      </w:r>
      <w:r>
        <w:tab/>
        <w:t>moederbedrijf: een bedrijf dat een of meerdere dochterbedrijven zoals bedoeld in § 244 van het wetboek van ondernemingsrecht [</w:t>
      </w:r>
      <w:proofErr w:type="spellStart"/>
      <w:r>
        <w:t>Unternehmensgesetzbuch</w:t>
      </w:r>
      <w:proofErr w:type="spellEnd"/>
      <w:r>
        <w:t> – UGB], Staatspublicatieblad [</w:t>
      </w:r>
      <w:proofErr w:type="spellStart"/>
      <w:r>
        <w:t>Reichsgesetzblatt</w:t>
      </w:r>
      <w:proofErr w:type="spellEnd"/>
      <w:r>
        <w:t> – </w:t>
      </w:r>
      <w:proofErr w:type="spellStart"/>
      <w:r>
        <w:t>RGBl</w:t>
      </w:r>
      <w:proofErr w:type="spellEnd"/>
      <w:r>
        <w:t>.], blz. 219/1897, beheert;</w:t>
      </w:r>
    </w:p>
    <w:p w14:paraId="4CCEDBC5" w14:textId="77777777" w:rsidR="004C1883" w:rsidRPr="00380F5F" w:rsidRDefault="004C1883" w:rsidP="00B230E9">
      <w:pPr>
        <w:pStyle w:val="52Aufzaehle1Ziffer"/>
        <w:tabs>
          <w:tab w:val="clear" w:pos="624"/>
        </w:tabs>
        <w:ind w:hanging="230"/>
      </w:pPr>
      <w:r>
        <w:t>6.</w:t>
      </w:r>
      <w:r>
        <w:tab/>
        <w:t>gebruiker: iedere persoon die gebruik maakt van een communicatieplatform, ongeacht of deze geregistreerd staat op het betreffende communicatieplatform;</w:t>
      </w:r>
    </w:p>
    <w:p w14:paraId="36D1EBB5" w14:textId="77777777" w:rsidR="004C1883" w:rsidRPr="00380F5F" w:rsidRDefault="004C1883" w:rsidP="00B230E9">
      <w:pPr>
        <w:pStyle w:val="52Aufzaehle1Ziffer"/>
        <w:tabs>
          <w:tab w:val="clear" w:pos="624"/>
        </w:tabs>
        <w:ind w:hanging="230"/>
      </w:pPr>
      <w:r>
        <w:t>7.</w:t>
      </w:r>
      <w:r>
        <w:tab/>
        <w:t>door gebruikers gegenereerde video: een reeks bewegende beelden, met of zonder geluid, die, ongeacht hun lengte, een individuele component vertegenwoordigen en door een gebruiker zijn gemaakt en door deze of een andere gebruiker naar een videoplatform worden geüpload;</w:t>
      </w:r>
    </w:p>
    <w:p w14:paraId="2E4C621C" w14:textId="77777777" w:rsidR="004C1883" w:rsidRPr="00380F5F" w:rsidRDefault="004C1883" w:rsidP="00B230E9">
      <w:pPr>
        <w:pStyle w:val="52Aufzaehle1Ziffer"/>
        <w:tabs>
          <w:tab w:val="clear" w:pos="624"/>
        </w:tabs>
        <w:ind w:hanging="230"/>
      </w:pPr>
      <w:r>
        <w:t>8.</w:t>
      </w:r>
      <w:r>
        <w:tab/>
        <w:t>onwettige inhoud: inhoud die op objectieve wijze een van de volgende feiten vormt en niet is gerechtvaardigd: ongeoorloofde dwang (§ 105 van het wetboek van strafrecht [</w:t>
      </w:r>
      <w:proofErr w:type="spellStart"/>
      <w:r>
        <w:t>Strafgesetzbuch</w:t>
      </w:r>
      <w:proofErr w:type="spellEnd"/>
      <w:r>
        <w:t> – </w:t>
      </w:r>
      <w:proofErr w:type="spellStart"/>
      <w:r>
        <w:t>StGB</w:t>
      </w:r>
      <w:proofErr w:type="spellEnd"/>
      <w:r>
        <w:t xml:space="preserve">]), Oostenrijks staatsblad nr. 60/1974), ernstige dreiging (§ 107 </w:t>
      </w:r>
      <w:proofErr w:type="spellStart"/>
      <w:r>
        <w:t>StGB</w:t>
      </w:r>
      <w:proofErr w:type="spellEnd"/>
      <w:r>
        <w:t xml:space="preserve">), </w:t>
      </w:r>
      <w:proofErr w:type="spellStart"/>
      <w:r>
        <w:t>stalking</w:t>
      </w:r>
      <w:proofErr w:type="spellEnd"/>
      <w:r>
        <w:t xml:space="preserve"> (§ 107a </w:t>
      </w:r>
      <w:proofErr w:type="spellStart"/>
      <w:r>
        <w:t>StGB</w:t>
      </w:r>
      <w:proofErr w:type="spellEnd"/>
      <w:r>
        <w:t xml:space="preserve">), aanhoudende intimidatie via telecommunicatie (§ 107c </w:t>
      </w:r>
      <w:proofErr w:type="spellStart"/>
      <w:r>
        <w:t>StGB</w:t>
      </w:r>
      <w:proofErr w:type="spellEnd"/>
      <w:r>
        <w:t xml:space="preserve">), beschuldiging van een reeds afgelopen wettelijk strafbare handeling (§ 113 </w:t>
      </w:r>
      <w:proofErr w:type="spellStart"/>
      <w:r>
        <w:t>StGB</w:t>
      </w:r>
      <w:proofErr w:type="spellEnd"/>
      <w:r>
        <w:t xml:space="preserve">), belediging (§ 115 </w:t>
      </w:r>
      <w:proofErr w:type="spellStart"/>
      <w:r>
        <w:t>StGB</w:t>
      </w:r>
      <w:proofErr w:type="spellEnd"/>
      <w:r>
        <w:t xml:space="preserve">), ongeoorloofde beeldopnames (§ 120a </w:t>
      </w:r>
      <w:proofErr w:type="spellStart"/>
      <w:r>
        <w:t>StGB</w:t>
      </w:r>
      <w:proofErr w:type="spellEnd"/>
      <w:r>
        <w:t xml:space="preserve">), afpersing (§ 144 </w:t>
      </w:r>
      <w:proofErr w:type="spellStart"/>
      <w:r>
        <w:t>StGB</w:t>
      </w:r>
      <w:proofErr w:type="spellEnd"/>
      <w:r>
        <w:t xml:space="preserve">), belediging van religieuze overtuigingen (§ 188 </w:t>
      </w:r>
      <w:proofErr w:type="spellStart"/>
      <w:r>
        <w:t>StGB</w:t>
      </w:r>
      <w:proofErr w:type="spellEnd"/>
      <w:r>
        <w:t xml:space="preserve">), pornografische afbeeldingen van minderjarigen (§ 207a </w:t>
      </w:r>
      <w:proofErr w:type="spellStart"/>
      <w:r>
        <w:t>StGB</w:t>
      </w:r>
      <w:proofErr w:type="spellEnd"/>
      <w:r>
        <w:t xml:space="preserve">), aangaan van seksuele contacten met minderjarigen (§ 208a </w:t>
      </w:r>
      <w:proofErr w:type="spellStart"/>
      <w:r>
        <w:t>StGB</w:t>
      </w:r>
      <w:proofErr w:type="spellEnd"/>
      <w:r>
        <w:t xml:space="preserve">), terroristische vereniging (§ 278b </w:t>
      </w:r>
      <w:proofErr w:type="spellStart"/>
      <w:r>
        <w:t>StGB</w:t>
      </w:r>
      <w:proofErr w:type="spellEnd"/>
      <w:r>
        <w:t xml:space="preserve">), aansporing tot het begaan van een terroristisch misdrijf (§ 278f </w:t>
      </w:r>
      <w:proofErr w:type="spellStart"/>
      <w:r>
        <w:t>StGB</w:t>
      </w:r>
      <w:proofErr w:type="spellEnd"/>
      <w:r>
        <w:t xml:space="preserve">), aansporing tot terroristische misdrijven en verheerlijking van terroristische misdrijven (§ 282a </w:t>
      </w:r>
      <w:proofErr w:type="spellStart"/>
      <w:r>
        <w:t>StGB</w:t>
      </w:r>
      <w:proofErr w:type="spellEnd"/>
      <w:r>
        <w:t xml:space="preserve">), ophitsing (§ 283 </w:t>
      </w:r>
      <w:proofErr w:type="spellStart"/>
      <w:r>
        <w:t>StGB</w:t>
      </w:r>
      <w:proofErr w:type="spellEnd"/>
      <w:r>
        <w:t>), § 3d, § 3g of § 3h van de verbodswet, Staatspublicatieblad [</w:t>
      </w:r>
      <w:proofErr w:type="spellStart"/>
      <w:r>
        <w:t>Staatsgesetzblatt</w:t>
      </w:r>
      <w:proofErr w:type="spellEnd"/>
      <w:r>
        <w:t> – </w:t>
      </w:r>
      <w:proofErr w:type="spellStart"/>
      <w:r>
        <w:t>StGBl</w:t>
      </w:r>
      <w:proofErr w:type="spellEnd"/>
      <w:r>
        <w:t>.] nr. 13/1945;</w:t>
      </w:r>
    </w:p>
    <w:p w14:paraId="435CA077" w14:textId="77777777" w:rsidR="004C1883" w:rsidRPr="00380F5F" w:rsidRDefault="004C1883" w:rsidP="00B230E9">
      <w:pPr>
        <w:pStyle w:val="52Aufzaehle1Ziffer"/>
        <w:tabs>
          <w:tab w:val="clear" w:pos="624"/>
        </w:tabs>
        <w:ind w:hanging="230"/>
      </w:pPr>
      <w:r>
        <w:t>9.</w:t>
      </w:r>
      <w:r>
        <w:tab/>
        <w:t xml:space="preserve">programma: een afzonderlijk, op zichzelf staand deel van een audiovisuele mediadienst dat, ongeacht de lengte, bestaat uit een reeks bewegende beelden, met of zonder geluid, en deel uitmaakt van een uitzendschema of catalogus gemaakt door een aanbieder van mediadiensten; de term omvat in het bijzonder speelfilms, videoclips, sportreportages, </w:t>
      </w:r>
      <w:proofErr w:type="spellStart"/>
      <w:r>
        <w:t>sitcoms</w:t>
      </w:r>
      <w:proofErr w:type="spellEnd"/>
      <w:r>
        <w:t>, documentaires, nieuws, programma’s over kunst en cultuur, kinderprogramma’s en oorspronkelijke producties;</w:t>
      </w:r>
    </w:p>
    <w:p w14:paraId="5384DC55" w14:textId="77777777" w:rsidR="004C1883" w:rsidRPr="00380F5F" w:rsidRDefault="004C1883" w:rsidP="00B230E9">
      <w:pPr>
        <w:pStyle w:val="52Aufzaehle1Ziffer"/>
        <w:tabs>
          <w:tab w:val="clear" w:pos="624"/>
        </w:tabs>
        <w:ind w:hanging="230"/>
      </w:pPr>
      <w:r>
        <w:t>10.</w:t>
      </w:r>
      <w:r>
        <w:tab/>
        <w:t>dochteronderneming: een bedrijf dat wordt beheerd door een moederbedrijf zoals bedoeld in § 244, UGB, Staatspublicatieblad blz. 219/1897, met inbegrip van iedere dochteronderneming van een moederbedrijf die onrechtstreeks wordt beheerd;</w:t>
      </w:r>
    </w:p>
    <w:p w14:paraId="2B058052" w14:textId="77777777" w:rsidR="004C1883" w:rsidRPr="00380F5F" w:rsidRDefault="004C1883" w:rsidP="00B230E9">
      <w:pPr>
        <w:pStyle w:val="52Aufzaehle1Ziffer"/>
        <w:tabs>
          <w:tab w:val="clear" w:pos="624"/>
        </w:tabs>
        <w:ind w:hanging="230"/>
      </w:pPr>
      <w:r>
        <w:t>11.</w:t>
      </w:r>
      <w:r>
        <w:tab/>
        <w:t>bedrijfsgroep: een moederbedrijf van een dienstverlener, alle dochterondernemingen ervan en alle andere bedrijven die hier economisch en juridisch mee verbonden zijn;</w:t>
      </w:r>
    </w:p>
    <w:p w14:paraId="0D18A2A8" w14:textId="77777777" w:rsidR="004C1883" w:rsidRPr="00380F5F" w:rsidRDefault="004C1883" w:rsidP="00B230E9">
      <w:pPr>
        <w:pStyle w:val="52Aufzaehle1Ziffer"/>
        <w:tabs>
          <w:tab w:val="clear" w:pos="624"/>
        </w:tabs>
        <w:ind w:hanging="230"/>
      </w:pPr>
      <w:r>
        <w:t>12.</w:t>
      </w:r>
      <w:r>
        <w:tab/>
        <w:t xml:space="preserve">videoplatform: een dienst in de zin van de artikelen 56 en 57 van het Verdrag betreffende de werking van de Europese Unie, waarbij het hoofddoel of een afzonderlijk deel van de dienst of een essentiële functie bestaat uit programma’s (punt 9) of door gebruikers gegenereerde video’s (punt </w:t>
      </w:r>
      <w:r>
        <w:lastRenderedPageBreak/>
        <w:t>7) of beide, waarvoor de platformaanbieder geen redactionele verantwoordelijkheid draagt, aan het grote publiek aan te bieden via elektronische communicatienetwerken in de zin van artikel 2, punt 1, van Richtlijn (EU) 2018/1972 tot vaststelling van het Europees wetboek voor elektronische communicatie, PB L 321/36 van 17.12.2018, voor informatie, amusement of educatie, en waarvan de organisatie, met inbegrip van automatische middelen of algoritmen, in het bijzonder door het aankondigen, markeren en rangschikken, wordt bepaald door de platformaanbieder.</w:t>
      </w:r>
    </w:p>
    <w:p w14:paraId="0524CAD8" w14:textId="77777777" w:rsidR="004C1883" w:rsidRPr="00380F5F" w:rsidRDefault="004C1883" w:rsidP="00B230E9">
      <w:pPr>
        <w:pStyle w:val="41UeberschrG1"/>
        <w:keepLines/>
      </w:pPr>
      <w:r>
        <w:t>Hoofdstuk 2</w:t>
      </w:r>
    </w:p>
    <w:p w14:paraId="6F8682B4" w14:textId="77777777" w:rsidR="004C1883" w:rsidRPr="00380F5F" w:rsidRDefault="004C1883" w:rsidP="00B230E9">
      <w:pPr>
        <w:pStyle w:val="43UeberschrG2"/>
        <w:keepLines/>
      </w:pPr>
      <w:r>
        <w:t>Vereisten voor communicatieplatformen</w:t>
      </w:r>
    </w:p>
    <w:p w14:paraId="1651231D" w14:textId="77777777" w:rsidR="004C1883" w:rsidRPr="00380F5F" w:rsidRDefault="004C1883" w:rsidP="00B230E9">
      <w:pPr>
        <w:pStyle w:val="45UeberschrPara"/>
        <w:keepLines/>
      </w:pPr>
      <w:r>
        <w:t>Meldings- en toetsingsprocedure</w:t>
      </w:r>
    </w:p>
    <w:p w14:paraId="41BCBC6B" w14:textId="77777777" w:rsidR="004C1883" w:rsidRPr="00380F5F" w:rsidRDefault="004C1883" w:rsidP="00B230E9">
      <w:pPr>
        <w:pStyle w:val="51Abs"/>
      </w:pPr>
      <w:r>
        <w:rPr>
          <w:rStyle w:val="991GldSymbol"/>
        </w:rPr>
        <w:t>§ 3.</w:t>
      </w:r>
      <w:r>
        <w:t xml:space="preserve"> (1) Dienstverleners moeten een doeltreffende en transparante procedure opzetten voor de omgang met en de afhandeling van meldingen over naar verluidt onwettige inhoud die op het communicatieplatform beschikbaar is.</w:t>
      </w:r>
    </w:p>
    <w:p w14:paraId="00952726" w14:textId="77777777" w:rsidR="004C1883" w:rsidRPr="00380F5F" w:rsidRDefault="004C1883" w:rsidP="00B230E9">
      <w:pPr>
        <w:pStyle w:val="51Abs"/>
      </w:pPr>
      <w:r>
        <w:t>(2) Een dergelijke procedure moet in ieder geval zo zijn ontwikkeld dat gebruikers via gemakkelijk terug te vinden, steeds beschikbare en eenvoudig te hanteren functies op het communicatieplatform</w:t>
      </w:r>
    </w:p>
    <w:p w14:paraId="750B7AD9" w14:textId="77777777" w:rsidR="004C1883" w:rsidRPr="00380F5F" w:rsidRDefault="004C1883" w:rsidP="00B230E9">
      <w:pPr>
        <w:pStyle w:val="52Aufzaehle1Ziffer"/>
        <w:tabs>
          <w:tab w:val="clear" w:pos="624"/>
        </w:tabs>
        <w:ind w:hanging="230"/>
      </w:pPr>
      <w:r>
        <w:t>1.</w:t>
      </w:r>
      <w:r>
        <w:tab/>
        <w:t>inhoud samen met de voor een evaluatie vereiste gegevens kunnen melden aan de dienstverlener,</w:t>
      </w:r>
    </w:p>
    <w:p w14:paraId="5474D0D1" w14:textId="77777777" w:rsidR="004C1883" w:rsidRPr="00380F5F" w:rsidRDefault="004C1883" w:rsidP="00B230E9">
      <w:pPr>
        <w:pStyle w:val="52Aufzaehle1Ziffer"/>
        <w:tabs>
          <w:tab w:val="clear" w:pos="624"/>
        </w:tabs>
        <w:ind w:hanging="230"/>
      </w:pPr>
      <w:r>
        <w:t>2.</w:t>
      </w:r>
      <w:r>
        <w:tab/>
        <w:t>een verklaring ontvangen waaruit blijkt hoe er wordt omgegaan met hun melding en wat het resultaat van de betreffende procedure was, en</w:t>
      </w:r>
    </w:p>
    <w:p w14:paraId="207BBC37" w14:textId="77777777" w:rsidR="004C1883" w:rsidRPr="00380F5F" w:rsidRDefault="004C1883" w:rsidP="00B230E9">
      <w:pPr>
        <w:pStyle w:val="52Aufzaehle1Ziffer"/>
        <w:tabs>
          <w:tab w:val="clear" w:pos="624"/>
        </w:tabs>
        <w:ind w:hanging="230"/>
      </w:pPr>
      <w:r>
        <w:t>3.</w:t>
      </w:r>
      <w:r>
        <w:tab/>
        <w:t>onmiddellijk op de hoogte worden gebracht van de essentiële beslissende overwegingen voor de afhandeling van de betreffende melding, met inbegrip van het eventuele tijdstip van de verwijdering of blokkering, alsmede worden geïnformeerd over de mogelijkheid een aanvraag om een​herzieningsprocedure uit te voeren (lid 4) en deel te nemen aan een klachtenprocedure (§ 7), waarbij deze informatie ook moet worden verstrekt aan de gebruiker die de betreffende inhoud heeft geüpload.</w:t>
      </w:r>
    </w:p>
    <w:p w14:paraId="45F05F19" w14:textId="77777777" w:rsidR="004C1883" w:rsidRPr="00380F5F" w:rsidRDefault="004C1883" w:rsidP="00B230E9">
      <w:pPr>
        <w:pStyle w:val="51Abs"/>
        <w:keepNext/>
        <w:keepLines/>
      </w:pPr>
      <w:r>
        <w:t>(3) Daarnaast moeten dienstverleners door het opzetten van de interne organisatie van de meldingsprocedure</w:t>
      </w:r>
    </w:p>
    <w:p w14:paraId="317D291C" w14:textId="77777777" w:rsidR="004C1883" w:rsidRPr="00380F5F" w:rsidRDefault="004C1883" w:rsidP="00B230E9">
      <w:pPr>
        <w:pStyle w:val="52Aufzaehle1Ziffer"/>
        <w:keepNext/>
        <w:keepLines/>
        <w:tabs>
          <w:tab w:val="clear" w:pos="624"/>
        </w:tabs>
        <w:ind w:hanging="230"/>
      </w:pPr>
      <w:r>
        <w:t>1.</w:t>
      </w:r>
      <w:r>
        <w:tab/>
        <w:t>ervoor zorgen dat gemelde inhoud,</w:t>
      </w:r>
    </w:p>
    <w:p w14:paraId="299EE7A6" w14:textId="77777777" w:rsidR="004C1883" w:rsidRPr="00380F5F" w:rsidRDefault="004C1883" w:rsidP="00B230E9">
      <w:pPr>
        <w:pStyle w:val="52Aufzaehle2Lit"/>
        <w:tabs>
          <w:tab w:val="clear" w:pos="851"/>
        </w:tabs>
        <w:ind w:hanging="223"/>
      </w:pPr>
      <w:r>
        <w:t>a)</w:t>
      </w:r>
      <w:r>
        <w:tab/>
        <w:t>op voorwaarde dat de onwettigheid ervan zonder verder onderzoek reeds duidelijk is voor een juridische leek, uiterlijk binnen 24 uur na indiening van de melding, wordt verwijderd of de toegang ertoe wordt geblokkeerd;</w:t>
      </w:r>
    </w:p>
    <w:p w14:paraId="502981ED" w14:textId="77777777" w:rsidR="004C1883" w:rsidRPr="00380F5F" w:rsidRDefault="004C1883" w:rsidP="00B230E9">
      <w:pPr>
        <w:pStyle w:val="52Aufzaehle2Lit"/>
        <w:tabs>
          <w:tab w:val="clear" w:pos="851"/>
        </w:tabs>
        <w:ind w:hanging="223"/>
      </w:pPr>
      <w:r>
        <w:t>b)</w:t>
      </w:r>
      <w:r>
        <w:tab/>
        <w:t>op voorwaarde dat de onwettigheid ervan pas na een gedetailleerde controle aan het licht komt, onmiddellijk na afsluiting van deze controle, maar uiterlijk binnen zeven dagen na de indiening van de melding, wordt verwijderd of de toegang ertoe wordt geblokkeerd;</w:t>
      </w:r>
    </w:p>
    <w:p w14:paraId="636A4AE5" w14:textId="77777777" w:rsidR="004C1883" w:rsidRPr="00380F5F" w:rsidRDefault="004C1883" w:rsidP="00B230E9">
      <w:pPr>
        <w:pStyle w:val="52Aufzaehle1Ziffer"/>
        <w:tabs>
          <w:tab w:val="clear" w:pos="624"/>
        </w:tabs>
        <w:ind w:hanging="230"/>
      </w:pPr>
      <w:r>
        <w:t>2.</w:t>
      </w:r>
      <w:r>
        <w:tab/>
        <w:t>in geval van blokkering of verwijdering van de betreffende inhoud, het tijdstip van de creatie en de gegevens die bij de dienstverlener al aanwezig zijn en die noodzakelijk zijn ter identificering van de gebruiker voor wie de betreffende inhoud op het communicatieplatform is opgeslagen en als bewijsmiddelen, ook met het oog op strafvervolging, bewaren en gedurende maximaal tien weken opslaan; deze termijn kan op uitdrukkelijk verzoek van een openbaar ministerie in individuele gevallen worden overschreden, indien het bewaren van het bewijsmateriaal anders in het gedrang zou komen; de gegevens moeten worden gewist als het doel van de verwerking niet meer bestaat.</w:t>
      </w:r>
    </w:p>
    <w:p w14:paraId="7FC81F4F" w14:textId="77777777" w:rsidR="004C1883" w:rsidRPr="00380F5F" w:rsidRDefault="004C1883" w:rsidP="00B230E9">
      <w:pPr>
        <w:pStyle w:val="51Abs"/>
      </w:pPr>
      <w:r>
        <w:t>(4) Dienstverleners moeten daarnaast ook ervoor zorgen dat een doeltreffende en transparante procedure voor de toetsing van hun beslissing inzake de blokkering of verwijdering van een gemelde inhoud (lid 3, punt 1) is opgezet. Een toetsing moet plaatsvinden, indien</w:t>
      </w:r>
    </w:p>
    <w:p w14:paraId="3B661E06" w14:textId="77777777" w:rsidR="004C1883" w:rsidRPr="00380F5F" w:rsidRDefault="004C1883" w:rsidP="00B230E9">
      <w:pPr>
        <w:pStyle w:val="52Aufzaehle1Ziffer"/>
        <w:tabs>
          <w:tab w:val="clear" w:pos="624"/>
        </w:tabs>
        <w:ind w:hanging="230"/>
      </w:pPr>
      <w:r>
        <w:t>1.</w:t>
      </w:r>
      <w:r>
        <w:tab/>
        <w:t>in het geval dat de inhoud niet wordt geblokkeerd of verwijderd, de gebruiker die de melding heeft gedaan, binnen twee weken na ontvangst van de beslissing, een verzoek (lid 3, punt 2) indient dat is gericht op de toetsing van deze beslissing;</w:t>
      </w:r>
    </w:p>
    <w:p w14:paraId="579A9DA0" w14:textId="77777777" w:rsidR="004C1883" w:rsidRPr="00380F5F" w:rsidRDefault="004C1883" w:rsidP="00B230E9">
      <w:pPr>
        <w:pStyle w:val="52Aufzaehle1Ziffer"/>
        <w:tabs>
          <w:tab w:val="clear" w:pos="624"/>
        </w:tabs>
        <w:ind w:hanging="230"/>
      </w:pPr>
      <w:r>
        <w:t>2.</w:t>
      </w:r>
      <w:r>
        <w:tab/>
        <w:t>in het geval van een blokkering of verwijdering van een inhoud, de gebruiker voor wie de inhoud op het communicatieplatform is opgeslagen binnen twee weken na ontvangst van de beslissing een verzoek (lid 3, punt 2) indient dat is gericht op de toetsing van deze beslissing.</w:t>
      </w:r>
    </w:p>
    <w:p w14:paraId="619DEDF9" w14:textId="77777777" w:rsidR="004C1883" w:rsidRPr="00380F5F" w:rsidRDefault="004C1883" w:rsidP="00B230E9">
      <w:pPr>
        <w:pStyle w:val="58Schlussteile0Abs"/>
      </w:pPr>
      <w:r>
        <w:t>De dienstverlener moet de in punten 1 en 2 vermelde gebruikers onverwijld op de hoogte stellen van het resultaat van de toetsing. De toetsingsprocedure moet binnen twee weken na indiening van het verzoek worden afgerond.</w:t>
      </w:r>
    </w:p>
    <w:p w14:paraId="02BF440D" w14:textId="77777777" w:rsidR="004C1883" w:rsidRPr="00380F5F" w:rsidRDefault="004C1883" w:rsidP="00B230E9">
      <w:pPr>
        <w:pStyle w:val="51Abs"/>
      </w:pPr>
      <w:r>
        <w:t>(5) Persoonsgebonden gegevens over de persoon die de melding heeft gedaan, mogen uitsluitend aan deze persoon worden verstrekt.</w:t>
      </w:r>
    </w:p>
    <w:p w14:paraId="7EA24AFC" w14:textId="77777777" w:rsidR="004C1883" w:rsidRPr="00380F5F" w:rsidRDefault="004C1883" w:rsidP="00B230E9">
      <w:pPr>
        <w:pStyle w:val="51Abs"/>
      </w:pPr>
      <w:r>
        <w:lastRenderedPageBreak/>
        <w:t xml:space="preserve">(6) De dienstverlener is niet verplicht om een meldings- of toetsingsprocedure uit te voeren, indien er met name op grond van de aard en frequentie van de binnengekomen meldingen met zeer hoge waarschijnlijkheid kan worden </w:t>
      </w:r>
      <w:proofErr w:type="spellStart"/>
      <w:r>
        <w:t>vanuitgegaan</w:t>
      </w:r>
      <w:proofErr w:type="spellEnd"/>
      <w:r>
        <w:t xml:space="preserve"> dat de meldingen ofwel op geautomatiseerde ofwel op misbruikende wijze tot stand zijn gebracht.</w:t>
      </w:r>
    </w:p>
    <w:p w14:paraId="3323A275" w14:textId="77777777" w:rsidR="004C1883" w:rsidRPr="00380F5F" w:rsidRDefault="004C1883" w:rsidP="00B230E9">
      <w:pPr>
        <w:pStyle w:val="51Abs"/>
      </w:pPr>
      <w:r>
        <w:t>(7) De toezichthoudende autoriteit kan bij verordening nadere bepalingen uitvaardigen over de inrichting van de meldingsprocedure, in het bijzonder met betrekking tot minimumnormen voor de gebruikte meldingsformulieren.</w:t>
      </w:r>
    </w:p>
    <w:p w14:paraId="791C251D" w14:textId="77777777" w:rsidR="004C1883" w:rsidRPr="00380F5F" w:rsidRDefault="004C1883" w:rsidP="00B230E9">
      <w:pPr>
        <w:pStyle w:val="45UeberschrPara"/>
        <w:keepLines/>
      </w:pPr>
      <w:r>
        <w:t>Rapportageverplichting</w:t>
      </w:r>
    </w:p>
    <w:p w14:paraId="47C8B5BB" w14:textId="77777777" w:rsidR="004C1883" w:rsidRPr="00380F5F" w:rsidRDefault="004C1883" w:rsidP="00B230E9">
      <w:pPr>
        <w:pStyle w:val="51Abs"/>
      </w:pPr>
      <w:r>
        <w:rPr>
          <w:rStyle w:val="991GldSymbol"/>
        </w:rPr>
        <w:t>§ 4.</w:t>
      </w:r>
      <w:r>
        <w:t xml:space="preserve"> (1) Dienstverleners zijn verplicht om elk jaar, en in het geval van communicatieplatformen met meer dan een miljoen geregistreerde gebruikers elk half jaar, een verslag op te stellen over de omgang met meldingen over naar verluidt onwettige inhoud. Het verslag moet uiterlijk één maand na het verstrijken van de in het verslag opgenomen periode bij de toezichthouder worden ingediend en tevens permanent en gemakkelijk vindbaar op de eigen website te worden geplaatst.</w:t>
      </w:r>
    </w:p>
    <w:p w14:paraId="79F0ABDC" w14:textId="77777777" w:rsidR="004C1883" w:rsidRPr="00380F5F" w:rsidRDefault="004C1883" w:rsidP="00B230E9">
      <w:pPr>
        <w:pStyle w:val="51Abs"/>
        <w:keepNext/>
        <w:keepLines/>
      </w:pPr>
      <w:r>
        <w:t>(2) Het verslag moet telkens de volgende punten bevatten:</w:t>
      </w:r>
    </w:p>
    <w:p w14:paraId="20FE0A77" w14:textId="77777777" w:rsidR="004C1883" w:rsidRPr="00380F5F" w:rsidRDefault="004C1883" w:rsidP="00B230E9">
      <w:pPr>
        <w:pStyle w:val="52Aufzaehle1Ziffer"/>
        <w:tabs>
          <w:tab w:val="clear" w:pos="624"/>
        </w:tabs>
        <w:ind w:hanging="230"/>
      </w:pPr>
      <w:r>
        <w:t>1.</w:t>
      </w:r>
      <w:r>
        <w:tab/>
        <w:t>algemene informatie over welke maatregelen een dienstverlener treft om onwettige inhoud op het platform tegen te gaan;</w:t>
      </w:r>
    </w:p>
    <w:p w14:paraId="4CE42E4D" w14:textId="77777777" w:rsidR="004C1883" w:rsidRPr="00380F5F" w:rsidRDefault="004C1883" w:rsidP="00B230E9">
      <w:pPr>
        <w:pStyle w:val="52Aufzaehle1Ziffer"/>
        <w:tabs>
          <w:tab w:val="clear" w:pos="624"/>
        </w:tabs>
        <w:ind w:hanging="230"/>
      </w:pPr>
      <w:r>
        <w:t>2.</w:t>
      </w:r>
      <w:r>
        <w:tab/>
        <w:t>beschrijvingen over de vormgeving en gebruikersvriendelijkheid van de meldingsprocedure (§ 3, leden 1 tot en met 3) en over de beslissingscriteria voor de verwijdering of blokkering van onwettige inhoud, met inbegrip van de daarbij uitgevoerde controlestappen, of er sprake is van een onwettige inhoud of een schending van de contractuele bepalingen tussen dienstverlener en gebruiker;</w:t>
      </w:r>
    </w:p>
    <w:p w14:paraId="68D12D37" w14:textId="77777777" w:rsidR="004C1883" w:rsidRPr="00380F5F" w:rsidRDefault="004C1883" w:rsidP="00B230E9">
      <w:pPr>
        <w:pStyle w:val="52Aufzaehle1Ziffer"/>
        <w:tabs>
          <w:tab w:val="clear" w:pos="624"/>
        </w:tabs>
        <w:ind w:hanging="230"/>
      </w:pPr>
      <w:r>
        <w:t>3.</w:t>
      </w:r>
      <w:r>
        <w:tab/>
        <w:t>beschrijvingen over het aantal tijdens de verslagperiode gedane meldingen over naar verluidt onwettige inhoud;</w:t>
      </w:r>
    </w:p>
    <w:p w14:paraId="3BC090BD" w14:textId="77777777" w:rsidR="004C1883" w:rsidRPr="00380F5F" w:rsidRDefault="004C1883" w:rsidP="00B230E9">
      <w:pPr>
        <w:pStyle w:val="52Aufzaehle1Ziffer"/>
        <w:tabs>
          <w:tab w:val="clear" w:pos="624"/>
        </w:tabs>
        <w:ind w:hanging="230"/>
      </w:pPr>
      <w:r>
        <w:t>4.</w:t>
      </w:r>
      <w:r>
        <w:tab/>
        <w:t>overzicht van het aantal meldingen over naar verluidt onwettige inhoud die tijdens de verslagperiode hebben geleid tot de verwijdering of blokkering van de inhoud waartegen bezwaar wordt gemaakt, met inbegrip van de informatie over welke stap van de controle (punt 2) heeft geleid tot de verwijdering of blokkering en een samenvattende beschrijving van de aard van de inhoud;</w:t>
      </w:r>
    </w:p>
    <w:p w14:paraId="657D82DE" w14:textId="77777777" w:rsidR="004C1883" w:rsidRPr="00380F5F" w:rsidRDefault="004C1883" w:rsidP="00B230E9">
      <w:pPr>
        <w:pStyle w:val="52Aufzaehle1Ziffer"/>
        <w:tabs>
          <w:tab w:val="clear" w:pos="624"/>
        </w:tabs>
        <w:ind w:hanging="230"/>
      </w:pPr>
      <w:r>
        <w:t>5.</w:t>
      </w:r>
      <w:r>
        <w:tab/>
        <w:t>overzicht van aantal, inhoud en resultaat van de toetsingsprocedure (§ 3, lid 4);</w:t>
      </w:r>
    </w:p>
    <w:p w14:paraId="1B12612F" w14:textId="77777777" w:rsidR="004C1883" w:rsidRPr="00380F5F" w:rsidRDefault="004C1883" w:rsidP="00B230E9">
      <w:pPr>
        <w:pStyle w:val="52Aufzaehle1Ziffer"/>
        <w:tabs>
          <w:tab w:val="clear" w:pos="624"/>
        </w:tabs>
        <w:ind w:hanging="230"/>
      </w:pPr>
      <w:r>
        <w:t>6.</w:t>
      </w:r>
      <w:r>
        <w:tab/>
        <w:t>beschrijving van de organisatie, de personele en technische uitrusting, de vakbekwaamheid van het personeel dat bevoegd is voor de verwerking van meldingen en de toetsingsprocedure en opleiding, scholing en begeleiding van de personen die bevoegd zijn voor de verwerking van meldingen en toetsingen;</w:t>
      </w:r>
    </w:p>
    <w:p w14:paraId="2B26F615" w14:textId="77777777" w:rsidR="004C1883" w:rsidRPr="00380F5F" w:rsidRDefault="004C1883" w:rsidP="00B230E9">
      <w:pPr>
        <w:pStyle w:val="52Aufzaehle1Ziffer"/>
        <w:tabs>
          <w:tab w:val="clear" w:pos="624"/>
        </w:tabs>
        <w:ind w:hanging="230"/>
      </w:pPr>
      <w:r>
        <w:t>7.</w:t>
      </w:r>
      <w:r>
        <w:tab/>
        <w:t>overzicht van de perioden tussen de indiening van de melding bij de dienstverlener, het begin van de toetsing en de verwijdering of blokkering van onwettelijke inhoud, ingedeeld op basis van de perioden “binnen 24 uur”, “binnen 72 uur”, “binnen zeven dagen” en “op een later tijdstip”;</w:t>
      </w:r>
    </w:p>
    <w:p w14:paraId="10BB4B57" w14:textId="77777777" w:rsidR="004C1883" w:rsidRPr="00380F5F" w:rsidRDefault="004C1883" w:rsidP="00B230E9">
      <w:pPr>
        <w:pStyle w:val="52Aufzaehle1Ziffer"/>
        <w:tabs>
          <w:tab w:val="clear" w:pos="624"/>
        </w:tabs>
        <w:ind w:hanging="230"/>
      </w:pPr>
      <w:r>
        <w:t>8.</w:t>
      </w:r>
      <w:r>
        <w:tab/>
        <w:t>overzicht van het aantal en de aard van de gevallen waarin de dienstverlener heeft afgezien van de uitvoering van een meldings- en toetsingsprocedure (§ 3, lid 7).</w:t>
      </w:r>
    </w:p>
    <w:p w14:paraId="7C45F58F" w14:textId="77777777" w:rsidR="004C1883" w:rsidRPr="00380F5F" w:rsidRDefault="004C1883" w:rsidP="00B230E9">
      <w:pPr>
        <w:pStyle w:val="51Abs"/>
      </w:pPr>
      <w:r>
        <w:t>(3) De toezichthoudende autoriteit moet bij verordening nadere bepalingen uitvaardigen voor de vormgeving van verslagen en voor de omvang van de verslagleggingsplicht om de informatieve waarde en vergelijkbaarheid van de verslagen te waarborgen.</w:t>
      </w:r>
    </w:p>
    <w:p w14:paraId="22EA6E8E" w14:textId="77777777" w:rsidR="004C1883" w:rsidRPr="00380F5F" w:rsidRDefault="004C1883" w:rsidP="00B230E9">
      <w:pPr>
        <w:pStyle w:val="45UeberschrPara"/>
        <w:keepLines/>
      </w:pPr>
      <w:r>
        <w:t>Verantwoordelijke functionaris en betekeningsgevolmachtigde</w:t>
      </w:r>
    </w:p>
    <w:p w14:paraId="169FFDF4" w14:textId="77777777" w:rsidR="004C1883" w:rsidRPr="00380F5F" w:rsidRDefault="004C1883" w:rsidP="00B230E9">
      <w:pPr>
        <w:pStyle w:val="51Abs"/>
        <w:keepNext/>
        <w:keepLines/>
      </w:pPr>
      <w:r>
        <w:rPr>
          <w:rStyle w:val="991GldSymbol"/>
        </w:rPr>
        <w:t>§ 5.</w:t>
      </w:r>
      <w:r>
        <w:t xml:space="preserve"> (1) Dienstverleners moeten een persoon aanstellen die voldoet aan de voorwaarden overeenkomstig § 9, lid 4, van de administratieve strafwet van 1991 [</w:t>
      </w:r>
      <w:proofErr w:type="spellStart"/>
      <w:r>
        <w:t>Verwaltungsstrafgesetz</w:t>
      </w:r>
      <w:proofErr w:type="spellEnd"/>
      <w:r>
        <w:t> 1991 – </w:t>
      </w:r>
      <w:proofErr w:type="spellStart"/>
      <w:r>
        <w:t>VStG</w:t>
      </w:r>
      <w:proofErr w:type="spellEnd"/>
      <w:r>
        <w:t>], Oostenrijks staatsblad nr. 52/1991. Deze persoon moet</w:t>
      </w:r>
    </w:p>
    <w:p w14:paraId="12DE2E3E" w14:textId="77777777" w:rsidR="004C1883" w:rsidRPr="00380F5F" w:rsidRDefault="004C1883" w:rsidP="00B230E9">
      <w:pPr>
        <w:pStyle w:val="52Aufzaehle1Ziffer"/>
        <w:tabs>
          <w:tab w:val="clear" w:pos="624"/>
        </w:tabs>
        <w:ind w:hanging="230"/>
      </w:pPr>
      <w:r>
        <w:t>1.</w:t>
      </w:r>
      <w:r>
        <w:tab/>
        <w:t>zorgen voor de naleving van de bepalingen van deze federale wet,</w:t>
      </w:r>
    </w:p>
    <w:p w14:paraId="70A0C7A1" w14:textId="77777777" w:rsidR="004C1883" w:rsidRPr="00380F5F" w:rsidRDefault="004C1883" w:rsidP="00B230E9">
      <w:pPr>
        <w:pStyle w:val="52Aufzaehle1Ziffer"/>
        <w:tabs>
          <w:tab w:val="clear" w:pos="624"/>
        </w:tabs>
        <w:ind w:hanging="230"/>
      </w:pPr>
      <w:r>
        <w:t>2.</w:t>
      </w:r>
      <w:r>
        <w:tab/>
        <w:t xml:space="preserve">beschikken over een </w:t>
      </w:r>
      <w:proofErr w:type="spellStart"/>
      <w:r>
        <w:t>verordeningsbevoegdheid</w:t>
      </w:r>
      <w:proofErr w:type="spellEnd"/>
      <w:r>
        <w:t xml:space="preserve"> die vereist is voor de naleving van de bepalingen van deze federale wet,</w:t>
      </w:r>
    </w:p>
    <w:p w14:paraId="631753C9" w14:textId="77777777" w:rsidR="004C1883" w:rsidRPr="00380F5F" w:rsidRDefault="004C1883" w:rsidP="00B230E9">
      <w:pPr>
        <w:pStyle w:val="52Aufzaehle1Ziffer"/>
        <w:tabs>
          <w:tab w:val="clear" w:pos="624"/>
        </w:tabs>
        <w:ind w:hanging="230"/>
      </w:pPr>
      <w:r>
        <w:t>3.</w:t>
      </w:r>
      <w:r>
        <w:tab/>
        <w:t>de kennis bezitten van de Duitse taal die noodzakelijk is om samen te werken met overheidsinstanties en rechtbanken, alsmede</w:t>
      </w:r>
    </w:p>
    <w:p w14:paraId="10F6403B" w14:textId="77777777" w:rsidR="004C1883" w:rsidRPr="00380F5F" w:rsidRDefault="004C1883" w:rsidP="00B230E9">
      <w:pPr>
        <w:pStyle w:val="52Aufzaehle1Ziffer"/>
        <w:tabs>
          <w:tab w:val="clear" w:pos="624"/>
        </w:tabs>
        <w:ind w:hanging="230"/>
      </w:pPr>
      <w:r>
        <w:t>4.</w:t>
      </w:r>
      <w:r>
        <w:tab/>
        <w:t>beschikken over de voor de uitvoering van zijn taken vereiste middelen.</w:t>
      </w:r>
    </w:p>
    <w:p w14:paraId="520AD4B9" w14:textId="77777777" w:rsidR="004C1883" w:rsidRPr="00380F5F" w:rsidRDefault="004C1883" w:rsidP="00B230E9">
      <w:pPr>
        <w:pStyle w:val="51Abs"/>
      </w:pPr>
      <w:r>
        <w:t>(2) De contactgegevens van de verantwoordelijke functionaris moeten steeds gemakkelijk en onmiddellijk toegankelijk zijn. De verantwoordelijke functionaris moet ervoor zorgen dat hij steeds bereikbaar is voor de toezichthoudende autoriteit.</w:t>
      </w:r>
    </w:p>
    <w:p w14:paraId="048FAD61" w14:textId="77777777" w:rsidR="004C1883" w:rsidRPr="00380F5F" w:rsidRDefault="004C1883" w:rsidP="00B230E9">
      <w:pPr>
        <w:pStyle w:val="51Abs"/>
      </w:pPr>
      <w:r>
        <w:lastRenderedPageBreak/>
        <w:t>(3) De verantwoordelijke functionaris moet zich voor een betekening via een betekeningsdienst zoals bedoeld in § 28b en § 35 van de betekeningswet [</w:t>
      </w:r>
      <w:proofErr w:type="spellStart"/>
      <w:r>
        <w:t>Zustellgesetz</w:t>
      </w:r>
      <w:proofErr w:type="spellEnd"/>
      <w:r>
        <w:t> – </w:t>
      </w:r>
      <w:proofErr w:type="spellStart"/>
      <w:r>
        <w:t>ZustG</w:t>
      </w:r>
      <w:proofErr w:type="spellEnd"/>
      <w:r>
        <w:t>], Oostenrijks staatsblad nr. 200/1982 registreren en bij de registratie meedelen dat er geen periode bestaat waarbinnen de betekening moet worden uitgesloten.</w:t>
      </w:r>
    </w:p>
    <w:p w14:paraId="16FB127F" w14:textId="77777777" w:rsidR="004C1883" w:rsidRPr="00380F5F" w:rsidRDefault="004C1883" w:rsidP="00B230E9">
      <w:pPr>
        <w:pStyle w:val="51Abs"/>
      </w:pPr>
      <w:r>
        <w:t>(4) De dienstverlener moet een natuurlijke of rechtspersoon aanwijzen als gevolmachtigde voor ambtelijke en gerechtelijke betekeningen. Lid 1, punt 3, lid 2, eerste volzin, en lid 3 zijn van toepassing.</w:t>
      </w:r>
    </w:p>
    <w:p w14:paraId="390144B7" w14:textId="77777777" w:rsidR="004C1883" w:rsidRPr="00380F5F" w:rsidRDefault="004C1883" w:rsidP="00B230E9">
      <w:pPr>
        <w:pStyle w:val="51Abs"/>
      </w:pPr>
      <w:r>
        <w:t>(5) De toezichthoudende autoriteit moet onmiddellijk op de hoogte worden gebracht van de persoon van de verantwoordelijke functionaris en de betekeningsgevolmachtigde.</w:t>
      </w:r>
    </w:p>
    <w:p w14:paraId="00B5EB43" w14:textId="77777777" w:rsidR="004C1883" w:rsidRPr="00380F5F" w:rsidRDefault="004C1883" w:rsidP="00B230E9">
      <w:pPr>
        <w:pStyle w:val="45UeberschrPara"/>
        <w:keepLines/>
      </w:pPr>
      <w:r>
        <w:t>Handhaving</w:t>
      </w:r>
    </w:p>
    <w:p w14:paraId="5E0F2774" w14:textId="77777777" w:rsidR="004C1883" w:rsidRPr="00380F5F" w:rsidRDefault="004C1883" w:rsidP="00B230E9">
      <w:pPr>
        <w:pStyle w:val="51Abs"/>
      </w:pPr>
      <w:r>
        <w:rPr>
          <w:rStyle w:val="991GldSymbol"/>
        </w:rPr>
        <w:t>§ 6.</w:t>
      </w:r>
      <w:r>
        <w:t xml:space="preserve"> (1) Komt een dienstverlener zijn verplichting inzake de aanstelling van een verantwoordelijke functionaris of een betekeningsgevolmachtigde niet uit eigen beweging na, dan moet de overheidsinstantie hem schriftelijk aanmanen tot aanstelling binnen een termijn van zeven dagen. Indien een dienstverlener niet beschikt over een zetel, een filiaal of ook geen onzelfstandig filiaal in het binnenland en blijkt dat een rechtsgeldige betekening van deze aanmaning in het buitenland niet of niet binnen gepaste tijd kan worden uitgevoerd, dan moet de aanmaning worden bekendgemaakt door publicatie op de website van de toezichthoudende autoriteit. De aanmaning geldt vanaf het tijdstip van de publicatie als betekend aan de dienstverlener. De publicatie moet ook de vermelding bevatten dat verdere beschikkingen van de overheidsinstantie met deponering bij de overheidsinstantie en terbeschikkingstelling voor afhaling als betekend gelden.</w:t>
      </w:r>
    </w:p>
    <w:p w14:paraId="06697D3D" w14:textId="77777777" w:rsidR="004C1883" w:rsidRPr="00380F5F" w:rsidRDefault="004C1883" w:rsidP="00B230E9">
      <w:pPr>
        <w:pStyle w:val="51Abs"/>
      </w:pPr>
      <w:r>
        <w:t>(2) Komt de dienstverlener de aanmaning van de toezichthoudende autoriteit die gericht is op de aanstelling van een verantwoordelijke functionaris of betekeningsgevolmachtigde niet na, dan moet deze instantie een geldboete (§ 10, lid 1) opleggen aan de dienstverlener. Indien de dienstverlener noch beschikt over een zetel, een filiaal of onzelfstandig filiaal in het binnenland noch een verantwoordelijke functionaris of betekeningsgevolmachtigde heeft aangesteld aan wie iets rechtsgeldig kan worden betekend, dan moeten besluiten of andere beschikkingen van de toezichthoudende autoriteit bij de toezichthoudende autoriteit worden gedeponeerd. De dienstverlener wordt op de hoogte gebracht van de deponering op de website van de toezichthoudende autoriteit. Ook het begin en de duur van de afhaaltermijn moeten worden aangegeven en er moet worden verwezen naar de uitwerking van de deponering (lid 3).</w:t>
      </w:r>
    </w:p>
    <w:p w14:paraId="17F641EA" w14:textId="77777777" w:rsidR="004C1883" w:rsidRPr="00380F5F" w:rsidRDefault="004C1883" w:rsidP="00B230E9">
      <w:pPr>
        <w:pStyle w:val="51Abs"/>
      </w:pPr>
      <w:r>
        <w:t>(3) Het gedeponeerde document moet minstens gedurende twee weken beschikbaar zijn voor afhaling. Deze termijn vangt aan op de dag van de publicatie van de plaatsing van de informatie op de website. Gedeponeerde documenten gelden als betekend vanaf de eerste dag van deze termijn.</w:t>
      </w:r>
    </w:p>
    <w:p w14:paraId="5D4B5CB0" w14:textId="77777777" w:rsidR="004C1883" w:rsidRPr="00380F5F" w:rsidRDefault="004C1883" w:rsidP="00B230E9">
      <w:pPr>
        <w:pStyle w:val="51Abs"/>
      </w:pPr>
      <w:r>
        <w:t>(4) De uitvoerbaarheid van besluiten in het geval van dienstverleners met zetel in het binnenland is onderworpen aan de voorschriften van de wet inzake administratieve uitvoerbaarheid 1991 – VVG, Oostenrijks staatsblad nr. 53/1991. Indien de dienstverlener niet beschikt over een zetel of filiaal en zelfs niet over een onzelfstandig filiaal in het binnenland, kunnen beslissingen van de toezichthoudende autoriteit over de oplegging van geldboetes overeenkomstig deze federale wet ook zo worden uitgevoerd dat aan de gekende debiteurs van de dienstverlener en de hiermee verbonden bedrijven (lid 5) bij besluit het verbod wordt opgelegd om de dienstverlener en de hiermee verbonden bedrijven te betalen. Als debiteur zoals bedoeld in de vorige zin gelden bedrijven die regelmatige handelsbetrekkingen hebben met de dienstverlener of de hiermee verbonden bedrijven (lid 5) met het oog op het op de markt brengen of verkopen van commerciële communicatie in Oostenrijk. Een op deze wijze met een betaalverbod gepaard gaande geldvordering moet aan de toezichthoudende autoriteit worden overgemaakt en heeft als effect dat de debiteur tegenover de dienstverlener of de hiermee verbonden bedrijven van betaling is vrijgesteld. De aldus binnengekomen bedragen moeten op een eigen rekening worden geregistreerd. Indien de som van de binnengekomen bedragen het bedrag van de uitvoerbare geldboete overschrijdt, moet het resterende bedrag worden overgemaakt aan de dienstverlener of het hiermee verbonden bedrijf.</w:t>
      </w:r>
    </w:p>
    <w:p w14:paraId="2F2FABFF" w14:textId="77777777" w:rsidR="004C1883" w:rsidRPr="00380F5F" w:rsidRDefault="004C1883" w:rsidP="00B230E9">
      <w:pPr>
        <w:pStyle w:val="51Abs"/>
        <w:keepNext/>
        <w:keepLines/>
      </w:pPr>
      <w:r>
        <w:t>(5) Als verbonden met een dienstverlener zoals bedoeld in lid 4 geldt</w:t>
      </w:r>
    </w:p>
    <w:p w14:paraId="52E62A3B" w14:textId="77777777" w:rsidR="004C1883" w:rsidRPr="00380F5F" w:rsidRDefault="004C1883" w:rsidP="00B230E9">
      <w:pPr>
        <w:pStyle w:val="52Aufzaehle1Ziffer"/>
        <w:tabs>
          <w:tab w:val="clear" w:pos="624"/>
        </w:tabs>
        <w:ind w:hanging="230"/>
      </w:pPr>
      <w:r>
        <w:t>1.</w:t>
      </w:r>
      <w:r>
        <w:tab/>
        <w:t>het moederbedrijf;</w:t>
      </w:r>
    </w:p>
    <w:p w14:paraId="62EEF60B" w14:textId="77777777" w:rsidR="004C1883" w:rsidRPr="00380F5F" w:rsidRDefault="004C1883" w:rsidP="00B230E9">
      <w:pPr>
        <w:pStyle w:val="52Aufzaehle1Ziffer"/>
        <w:tabs>
          <w:tab w:val="clear" w:pos="624"/>
        </w:tabs>
        <w:ind w:hanging="230"/>
      </w:pPr>
      <w:r>
        <w:t>2.</w:t>
      </w:r>
      <w:r>
        <w:tab/>
        <w:t>elk dochterbedrijf;</w:t>
      </w:r>
    </w:p>
    <w:p w14:paraId="0461F152" w14:textId="77777777" w:rsidR="004C1883" w:rsidRPr="00380F5F" w:rsidRDefault="004C1883" w:rsidP="00B230E9">
      <w:pPr>
        <w:pStyle w:val="52Aufzaehle1Ziffer"/>
        <w:tabs>
          <w:tab w:val="clear" w:pos="624"/>
        </w:tabs>
        <w:ind w:hanging="230"/>
      </w:pPr>
      <w:r>
        <w:t>3.</w:t>
      </w:r>
      <w:r>
        <w:tab/>
        <w:t>elk ander bedrijf uit de bedrijfsgroep van de dienstverlener en</w:t>
      </w:r>
    </w:p>
    <w:p w14:paraId="3C738ACA" w14:textId="77777777" w:rsidR="004C1883" w:rsidRPr="00380F5F" w:rsidRDefault="004C1883" w:rsidP="00B230E9">
      <w:pPr>
        <w:pStyle w:val="52Aufzaehle1Ziffer"/>
        <w:tabs>
          <w:tab w:val="clear" w:pos="624"/>
        </w:tabs>
        <w:ind w:hanging="230"/>
      </w:pPr>
      <w:r>
        <w:t>4.</w:t>
      </w:r>
      <w:r>
        <w:tab/>
        <w:t>elk bedrijf dat in het binnenland een regelmatige bedrijfsactiviteit uitoefent, d.w.z. beschikt over een stabiele en effectieve verbinding met de economie in het binnenland en een dergelijke handelsbetrekking heeft met een dienstverlener of een hiermee zoals bedoeld in punten 1 tot en met 3 verbonden bedrijf, met name door commerciële communicatie voor de publicatie op het communicatieplatform op de markt te brengen of te verkopen.</w:t>
      </w:r>
    </w:p>
    <w:p w14:paraId="37A04378" w14:textId="77777777" w:rsidR="004C1883" w:rsidRPr="00380F5F" w:rsidRDefault="004C1883" w:rsidP="00B230E9">
      <w:pPr>
        <w:pStyle w:val="45UeberschrPara"/>
        <w:keepLines/>
      </w:pPr>
      <w:r>
        <w:lastRenderedPageBreak/>
        <w:t>Klachtenprocedure</w:t>
      </w:r>
    </w:p>
    <w:p w14:paraId="1A493580" w14:textId="77777777" w:rsidR="004C1883" w:rsidRPr="00380F5F" w:rsidRDefault="004C1883" w:rsidP="00B230E9">
      <w:pPr>
        <w:pStyle w:val="51Abs"/>
      </w:pPr>
      <w:r>
        <w:rPr>
          <w:rStyle w:val="991GldSymbol"/>
        </w:rPr>
        <w:t>§ 7.</w:t>
      </w:r>
      <w:r>
        <w:t xml:space="preserve"> (1) Gebruikers kunnen zich bij klachten over de ontoereikendheid van de meldingsprocedure overeenkomstig § 3, lid 2, punten 1 tot en met 3, of over de ontoereikendheid van de toetsingsprocedure overeenkomstig § 3, lid 4, wenden tot het klachtenbureau. Om contact op te nemen met het klachtenbureau geldt als voorwaarde dat de gebruiker zich eerst heeft gewend tot de dienstverlener en van deze geen antwoord heeft gekregen of dat beide partijen er niet in slagen om hun geschil bij te leggen. Het klachtenbureau moet zorgen voor een minnelijke schikking door een oplossingsvoorstel uit te werken of zijn mening over het betreffende geval meedelen aan de gebruiker en dienstverlener.</w:t>
      </w:r>
    </w:p>
    <w:p w14:paraId="0596405A" w14:textId="77777777" w:rsidR="004C1883" w:rsidRPr="00380F5F" w:rsidRDefault="004C1883" w:rsidP="00B230E9">
      <w:pPr>
        <w:pStyle w:val="51Abs"/>
      </w:pPr>
      <w:r>
        <w:t>(2) Het klachtenbureau moet na het horen van de toezichthoudende autoriteit richtlijnen vastleggen voor de uitvoering van deze procedure, waarbij met name de aan de betreffende situatie aangepaste termijnen voor de beëindiging van de procedure moeten worden bepaald. De richtlijnen moeten worden gebaseerd op de beginselen van § 6, lid 2 en lid 6, punt 1, § 7, lid 1, § 8, lid 1, punten 1 en 2 en lid 2 van de wet inzake alternatieve geschiloplossing – </w:t>
      </w:r>
      <w:proofErr w:type="spellStart"/>
      <w:r>
        <w:t>AStG</w:t>
      </w:r>
      <w:proofErr w:type="spellEnd"/>
      <w:r>
        <w:t>, Oostenrijks staatsblad I nr. 105/2015 en moeten in geschikte vorm worden gepubliceerd.</w:t>
      </w:r>
    </w:p>
    <w:p w14:paraId="702F6FCB" w14:textId="77777777" w:rsidR="004C1883" w:rsidRPr="00380F5F" w:rsidRDefault="004C1883" w:rsidP="00B230E9">
      <w:pPr>
        <w:pStyle w:val="51Abs"/>
      </w:pPr>
      <w:r>
        <w:t>(3) Het klachtenbureau moet jaarlijks een verslag opstellen over de ingediende gevallen. Dit verslag moet in het kader van het activiteitenverslag overeenkomstig § 19, lid 2 van de wet inzake de communicatieautoriteit voor Oostenrijk [</w:t>
      </w:r>
      <w:proofErr w:type="spellStart"/>
      <w:r>
        <w:t>KommAustria-Gesetz</w:t>
      </w:r>
      <w:proofErr w:type="spellEnd"/>
      <w:r>
        <w:t> – KOG], Oostenrijks staatsblad I, nr. 32/2001, worden gepubliceerd. Bovendien moet het klachtenbureau aan de toezichthoudende autoriteit maandelijks een samenvatting verstrekken over het aantal, de soort en de inhoud van de afgehandelde klachten en de nieuwe klachten.</w:t>
      </w:r>
    </w:p>
    <w:p w14:paraId="66E0BA4D" w14:textId="77777777" w:rsidR="004C1883" w:rsidRPr="00380F5F" w:rsidRDefault="004C1883" w:rsidP="00B230E9">
      <w:pPr>
        <w:pStyle w:val="41UeberschrG1"/>
        <w:keepLines/>
      </w:pPr>
      <w:r>
        <w:t>Hoofdstuk 3</w:t>
      </w:r>
    </w:p>
    <w:p w14:paraId="56580A0B" w14:textId="77777777" w:rsidR="004C1883" w:rsidRPr="00380F5F" w:rsidRDefault="004C1883" w:rsidP="00B230E9">
      <w:pPr>
        <w:pStyle w:val="43UeberschrG2"/>
        <w:keepLines/>
      </w:pPr>
      <w:r>
        <w:t>Toezicht en sancties</w:t>
      </w:r>
    </w:p>
    <w:p w14:paraId="0A861B52" w14:textId="77777777" w:rsidR="004C1883" w:rsidRPr="00380F5F" w:rsidRDefault="004C1883" w:rsidP="00B230E9">
      <w:pPr>
        <w:pStyle w:val="45UeberschrPara"/>
        <w:keepLines/>
      </w:pPr>
      <w:r>
        <w:t>Toezichthoudende autoriteit, klachtenbureau, financieringsbijdragen</w:t>
      </w:r>
    </w:p>
    <w:p w14:paraId="55D2CBAA" w14:textId="77777777" w:rsidR="004C1883" w:rsidRPr="00380F5F" w:rsidRDefault="004C1883" w:rsidP="00B230E9">
      <w:pPr>
        <w:pStyle w:val="51Abs"/>
      </w:pPr>
      <w:r>
        <w:rPr>
          <w:rStyle w:val="991GldSymbol"/>
        </w:rPr>
        <w:t>§ 8.</w:t>
      </w:r>
      <w:r>
        <w:t xml:space="preserve"> (1) De toezichthoudende autoriteit in de zin van deze federale wet is de communicatieautoriteit voor Oostenrijk, opgericht overeenkomstig § 1 van de KOG.</w:t>
      </w:r>
    </w:p>
    <w:p w14:paraId="12DC1F6A" w14:textId="77777777" w:rsidR="004C1883" w:rsidRPr="00380F5F" w:rsidRDefault="004C1883" w:rsidP="00B230E9">
      <w:pPr>
        <w:pStyle w:val="51Abs"/>
      </w:pPr>
      <w:r>
        <w:t>(2) De administratieve ondersteuning van de communicatieautoriteit voor Oostenrijk in het kader van aangelegenheden van deze federale wet en de functie van het klachtenbureau zijn toevertrouwd aan RTR-GmbH, onder de verantwoordelijkheid van de bedrijfsleider voor het vakgebied media.</w:t>
      </w:r>
    </w:p>
    <w:p w14:paraId="21ADD324" w14:textId="77777777" w:rsidR="006F1770" w:rsidRPr="00380F5F" w:rsidRDefault="006F1770" w:rsidP="00B230E9">
      <w:pPr>
        <w:pStyle w:val="51Abs"/>
      </w:pPr>
      <w:r>
        <w:t>(2a) Als onderdeel van het activiteitenverslag dat over het jaar 2022 moet worden opgesteld (§ 19, lid 2, van de KOG), moet de toezichthoudende autoriteit met steun van het klachtenbureau de efficiëntie van de maatregelen en gedragsverplichtingen die in deze federale wet zijn vastgelegd evalueren, alsmede de ontwikkelingen die hiermee verband houden in de twee voorafgaande kalenderjaren.</w:t>
      </w:r>
    </w:p>
    <w:p w14:paraId="2489D74F" w14:textId="77777777" w:rsidR="004C1883" w:rsidRPr="00380F5F" w:rsidRDefault="004C1883" w:rsidP="00B230E9">
      <w:pPr>
        <w:pStyle w:val="51Abs"/>
      </w:pPr>
      <w:r>
        <w:t xml:space="preserve">(3) Voor de financiering van de uitgaven die ontstaan bij de uitvoering van de in deze federale wet vastgelegde taken voor </w:t>
      </w:r>
      <w:proofErr w:type="spellStart"/>
      <w:r>
        <w:t>KommAustria</w:t>
      </w:r>
      <w:proofErr w:type="spellEnd"/>
      <w:r>
        <w:t xml:space="preserve"> en RTR-GmbH wordt in verhouding van 2:1 gebruikgemaakt van enerzijds financieringsbijdragen van de krachtens deze federale wet geregistreerde dienstverleners en anderzijds nationale begrotingsmiddelen. Hiertoe moet uit de nationale begroting een subsidie van 80 000 euro uit de belastinginkomsten overeenkomstig § 3, lid 1, van de luistergeldwet [</w:t>
      </w:r>
      <w:proofErr w:type="spellStart"/>
      <w:r>
        <w:t>Rundfunkgebührengesetz</w:t>
      </w:r>
      <w:proofErr w:type="spellEnd"/>
      <w:r>
        <w:t> – RGG], Oostenrijks staatsblad I, nr. 159/1999, in aanvulling op de overeenkomstig § 35, lid 1, van de KOG te verstrekken bijdrage, jaarlijks op 30 januari worden overgemaakt. § 35, lid 1, derde en laatste volzin KOG zijn van toepassing.</w:t>
      </w:r>
    </w:p>
    <w:p w14:paraId="5715B343" w14:textId="77777777" w:rsidR="004C1883" w:rsidRPr="00380F5F" w:rsidRDefault="004C1883" w:rsidP="00B230E9">
      <w:pPr>
        <w:pStyle w:val="51Abs"/>
      </w:pPr>
      <w:r>
        <w:t>(4) De omvang van de financieringsbijdrage overeenkomstig lid 3, eerste volzin, wordt zo berekend dat alle dienstverleners in verhouding tot de omzet die zij halen uit commerciële communicatie in het binnenland bijdragen tot de financiering van het door financieringsbijdragen te betalen deel van de geraamde uitgaven. De bepalingen van § 35, leden 4 tot en met 14 van de KOG zijn van toepassing op de procedure voor vaststelling en verplichting van de financieringsbijdragen. Indien de dienstverlener niet over een zetel, een filiaal of zelfs een onzelfstandig filiaal in het binnenland beschikt, wordt de procedure voor de handhaving van de betaling van de financieringsbijdrage bepaald overeenkomstig § 6, lid 4.</w:t>
      </w:r>
    </w:p>
    <w:p w14:paraId="768AE8B4" w14:textId="77777777" w:rsidR="004C1883" w:rsidRPr="00380F5F" w:rsidRDefault="004C1883" w:rsidP="00B230E9">
      <w:pPr>
        <w:pStyle w:val="45UeberschrPara"/>
        <w:keepLines/>
      </w:pPr>
      <w:r>
        <w:t>Toezichtprocedure</w:t>
      </w:r>
    </w:p>
    <w:p w14:paraId="4A0E39A6" w14:textId="77777777" w:rsidR="004C1883" w:rsidRPr="00380F5F" w:rsidRDefault="004C1883" w:rsidP="00B230E9">
      <w:pPr>
        <w:pStyle w:val="51Abs"/>
      </w:pPr>
      <w:r>
        <w:rPr>
          <w:rStyle w:val="991GldSymbol"/>
        </w:rPr>
        <w:t>§ 9.</w:t>
      </w:r>
      <w:r>
        <w:t xml:space="preserve"> (1) Indien er bij het klachtenbureau binnen één maand meer dan vijf gegronde klachten (§ 7) over de ontoereikendheid van de door een dienstverlener getroffen maatregelen binnenkomen, moet de toezichthoudende autoriteit een procedure starten om de geschiktheid van deze maatregelen na te gaan met het oog op de naleving van de in § 3 vastgelegde vereisten.</w:t>
      </w:r>
    </w:p>
    <w:p w14:paraId="1EC683AD" w14:textId="77777777" w:rsidR="004C1883" w:rsidRPr="00380F5F" w:rsidRDefault="004C1883" w:rsidP="00B230E9">
      <w:pPr>
        <w:pStyle w:val="51Abs"/>
      </w:pPr>
      <w:r>
        <w:t xml:space="preserve">(2) Komt de toezichthoudende autoriteit op grond van de frequentie en aard van de klachten, de resultaten van de bestaande toezichtprocedures, een melding van het klachtenbureau of een eigen </w:t>
      </w:r>
      <w:r>
        <w:lastRenderedPageBreak/>
        <w:t>voorlopige inschatting tot de opvatting dat de in deze federale wet vastgelegde plichten worden geschonden, dan moet zij een toezichtprocedure starten en</w:t>
      </w:r>
    </w:p>
    <w:p w14:paraId="40B64CAE" w14:textId="77777777" w:rsidR="004C1883" w:rsidRPr="00380F5F" w:rsidRDefault="004C1883" w:rsidP="00B230E9">
      <w:pPr>
        <w:pStyle w:val="52Aufzaehle1Ziffer"/>
        <w:tabs>
          <w:tab w:val="clear" w:pos="624"/>
        </w:tabs>
        <w:ind w:hanging="230"/>
      </w:pPr>
      <w:r>
        <w:t>1.</w:t>
      </w:r>
      <w:r>
        <w:tab/>
        <w:t>behalve in de gevallen van punt 2, de dienstverlener bij besluit opdragen om de rechtmatige toestand te herstellen en gepaste voorzorgsmaatregelen te treffen om toekomstige rechtsovertredingen te vermijden; de dienstverlener moet binnen de door de toezichthoudende autoriteit vastgelegde termijn van maximaal vier weken voldoen aan dit besluit en via de verantwoordelijke functionaris de toezichthoudende autoriteit hierover in kennis stellen;</w:t>
      </w:r>
    </w:p>
    <w:p w14:paraId="2CA877F8" w14:textId="77777777" w:rsidR="004C1883" w:rsidRPr="00380F5F" w:rsidRDefault="004C1883" w:rsidP="00B230E9">
      <w:pPr>
        <w:pStyle w:val="52Aufzaehle1Ziffer"/>
        <w:tabs>
          <w:tab w:val="clear" w:pos="624"/>
        </w:tabs>
        <w:ind w:hanging="230"/>
      </w:pPr>
      <w:r>
        <w:t>2.</w:t>
      </w:r>
      <w:r>
        <w:tab/>
        <w:t>in de gevallen dat tegen een dienstverlener reeds meer dan éénmaal een besluit overeenkomstig punt 1 is uitgevaardigd, wanneer de dienstverlener een besluit overeenkomstig punt 1 niet naleeft, in het kader van een procedure overeenkomstig § 10 een geldboete opleggen.</w:t>
      </w:r>
    </w:p>
    <w:p w14:paraId="560F26E1" w14:textId="77777777" w:rsidR="004C1883" w:rsidRPr="00380F5F" w:rsidRDefault="004C1883" w:rsidP="00B230E9">
      <w:pPr>
        <w:pStyle w:val="51Abs"/>
      </w:pPr>
      <w:r>
        <w:t>(3) Bij de beoordeling van de geschiktheid en bij de oplegging van gepaste voorzorgsmaatregelen moet de toezichthoudende autoriteit er rekening mee houden dat de maatregelen die krachtens deze federale wet van de dienstverlener worden vereist, niet mogen leiden tot een algemene voorafgaande controle van de inhoud. De opgelegde voorzorgsmaatregelen en de daarbij gevergde maatregelen moeten, met inachtneming van de wettelijke belangen van de dienstverleners, geschikt en evenredig zijn voor het bereiken van de beoogde doelstellingen, zoals in het bijzonder de betere efficiëntie van de mechanismen tot bescherming van de gebruikers, de bescherming van het algemene publiek tegen onwettige inhoud en de behartiging van de belangen van personen die individueel worden getroffen door dergelijke inhoud.</w:t>
      </w:r>
    </w:p>
    <w:p w14:paraId="1E537203" w14:textId="77777777" w:rsidR="004C1883" w:rsidRPr="00380F5F" w:rsidRDefault="004C1883" w:rsidP="00B230E9">
      <w:pPr>
        <w:pStyle w:val="45UeberschrPara"/>
        <w:keepLines/>
      </w:pPr>
      <w:r>
        <w:t>Geldboetes</w:t>
      </w:r>
    </w:p>
    <w:p w14:paraId="0249A2A1" w14:textId="77777777" w:rsidR="004C1883" w:rsidRPr="00380F5F" w:rsidRDefault="004C1883" w:rsidP="00B230E9">
      <w:pPr>
        <w:pStyle w:val="51Abs"/>
      </w:pPr>
      <w:r>
        <w:rPr>
          <w:rStyle w:val="991GldSymbol"/>
        </w:rPr>
        <w:t>§ 10.</w:t>
      </w:r>
      <w:r>
        <w:t xml:space="preserve"> (1) Eenieder die, als hij alleen of als deel van een organisatie is aangesteld om een dienstverlener extern te vertegenwoordigen, of als persoon met de bevoegdheid om namens de dienstverlener in een leidinggevende functie beslissingen te nemen, ondanks een verzoek van de toezichthoudende autoriteit (§ 6, lid 1) niet voldoet aan de verplichting om een verantwoordelijke functionaris overeenkomstig § 5, lid 1, aan te stellen of aan de verplichting om een betekeningsgevolmachtigde overeenkomstig § 5, lid 4, aan te stellen, wordt bestraft met een geldboete van maximaal één miljoen euro. De toezichthoudende autoriteit ziet af van de bestraffing indien voor dezelfde overtreding reeds een geldboete is opgelegd aan de rechtspersoon zoals bedoeld in lid 2 en er geen sprake is van bijzondere omstandigheden die in de weg staan dat er wordt afgezien van de bestraffing.</w:t>
      </w:r>
    </w:p>
    <w:p w14:paraId="5DF09D2E" w14:textId="77777777" w:rsidR="006E7389" w:rsidRPr="00380F5F" w:rsidRDefault="006E7389" w:rsidP="00B230E9">
      <w:pPr>
        <w:pStyle w:val="51Abs"/>
      </w:pPr>
      <w:r>
        <w:t>(2) Afhankelijk van de ernst van de overtreding en in overeenstemming met § 9, lid 2, legt de toezichthoudende autoriteit een dienstverlener een geldboete op van maximaal tien miljoen euro indien</w:t>
      </w:r>
    </w:p>
    <w:p w14:paraId="72CACB5F" w14:textId="77777777" w:rsidR="006E7389" w:rsidRPr="00380F5F" w:rsidRDefault="006E7389" w:rsidP="00B230E9">
      <w:pPr>
        <w:pStyle w:val="52Aufzaehle1Ziffer"/>
        <w:keepNext/>
        <w:keepLines/>
        <w:tabs>
          <w:tab w:val="clear" w:pos="624"/>
        </w:tabs>
        <w:ind w:hanging="230"/>
      </w:pPr>
      <w:r>
        <w:t>1.</w:t>
      </w:r>
      <w:r>
        <w:tab/>
        <w:t>deze</w:t>
      </w:r>
    </w:p>
    <w:p w14:paraId="68E8EE4D" w14:textId="77777777" w:rsidR="006E7389" w:rsidRPr="00380F5F" w:rsidRDefault="006E7389" w:rsidP="00B230E9">
      <w:pPr>
        <w:pStyle w:val="52Aufzaehle2Lit"/>
        <w:tabs>
          <w:tab w:val="clear" w:pos="851"/>
        </w:tabs>
        <w:ind w:hanging="223"/>
      </w:pPr>
      <w:r>
        <w:t>a)</w:t>
      </w:r>
      <w:r>
        <w:tab/>
        <w:t>in strijd met § 3, lid 2, punten 1 tot en met 3, geen meldingsprocedure ter beschikking stelt of wel een dergelijk systeem ter beschikking stelt dat echter niet beschikt over alle functies overeenkomstig § 3, lid 2, punten 1 tot en met 3,</w:t>
      </w:r>
    </w:p>
    <w:p w14:paraId="4B0AE44D" w14:textId="77777777" w:rsidR="006E7389" w:rsidRPr="00380F5F" w:rsidRDefault="006E7389" w:rsidP="00B230E9">
      <w:pPr>
        <w:pStyle w:val="52Aufzaehle2Lit"/>
        <w:tabs>
          <w:tab w:val="clear" w:pos="851"/>
        </w:tabs>
        <w:ind w:hanging="223"/>
      </w:pPr>
      <w:r>
        <w:t>b)</w:t>
      </w:r>
      <w:r>
        <w:tab/>
        <w:t>in strijd met § 3, lid 3, punt 1, geen maatregelen treft voor de beoordeling en de daarop gebaseerde blokkering of verwijdering van onwettige inhoud,</w:t>
      </w:r>
    </w:p>
    <w:p w14:paraId="7BE54020" w14:textId="77777777" w:rsidR="006E7389" w:rsidRPr="00380F5F" w:rsidRDefault="006E7389" w:rsidP="00B230E9">
      <w:pPr>
        <w:pStyle w:val="52Aufzaehle2Lit"/>
        <w:tabs>
          <w:tab w:val="clear" w:pos="851"/>
        </w:tabs>
        <w:ind w:hanging="223"/>
      </w:pPr>
      <w:r>
        <w:t>c)</w:t>
      </w:r>
      <w:r>
        <w:tab/>
        <w:t>in strijd met § 3, lid 3, punt 2, er niet voor zorgt dat een verwijdering of blokkering van de betrokken inhoud als bewijsmiddel wordt bewaard en opgeslagen,</w:t>
      </w:r>
    </w:p>
    <w:p w14:paraId="24DA09E2" w14:textId="77777777" w:rsidR="006E7389" w:rsidRPr="00380F5F" w:rsidRDefault="006E7389" w:rsidP="00B230E9">
      <w:pPr>
        <w:pStyle w:val="52Aufzaehle2Lit"/>
        <w:tabs>
          <w:tab w:val="clear" w:pos="851"/>
        </w:tabs>
        <w:ind w:hanging="223"/>
      </w:pPr>
      <w:r>
        <w:t>d)</w:t>
      </w:r>
      <w:r>
        <w:tab/>
        <w:t>in strijd met § 3, lid 4, geen toetsingsprocedure ter beschikking stelt of wel een dergelijk systeem ter beschikking stelt maar dat niet overeenkomstig § 3, lid 4, doeltreffend en transparant is opgebouwd,</w:t>
      </w:r>
    </w:p>
    <w:p w14:paraId="5BB9D920" w14:textId="77777777" w:rsidR="006E7389" w:rsidRPr="00380F5F" w:rsidRDefault="006E7389" w:rsidP="00B230E9">
      <w:pPr>
        <w:pStyle w:val="52Aufzaehle2Lit"/>
        <w:tabs>
          <w:tab w:val="clear" w:pos="851"/>
        </w:tabs>
        <w:ind w:hanging="223"/>
      </w:pPr>
      <w:r>
        <w:t>e)</w:t>
      </w:r>
      <w:r>
        <w:tab/>
        <w:t>in strijd met § 3, lid 5, informatie verstrekt aan andere personen,</w:t>
      </w:r>
    </w:p>
    <w:p w14:paraId="03CB790B" w14:textId="77777777" w:rsidR="006E7389" w:rsidRPr="00380F5F" w:rsidRDefault="006F1770" w:rsidP="00B230E9">
      <w:pPr>
        <w:pStyle w:val="52Aufzaehle2Lit"/>
        <w:tabs>
          <w:tab w:val="clear" w:pos="851"/>
        </w:tabs>
        <w:ind w:hanging="223"/>
      </w:pPr>
      <w:r>
        <w:t>f)</w:t>
      </w:r>
      <w:r>
        <w:tab/>
        <w:t>in strijd met § 4, leden 1 en 2, niet, niet tijdig of slechts gedeeltelijk voldoet aan zijn meldingsplicht,</w:t>
      </w:r>
    </w:p>
    <w:p w14:paraId="2FEF5B5C" w14:textId="77777777" w:rsidR="006E7389" w:rsidRPr="00380F5F" w:rsidRDefault="006E7389" w:rsidP="00B230E9">
      <w:pPr>
        <w:pStyle w:val="52Aufzaehle2Lit"/>
        <w:tabs>
          <w:tab w:val="clear" w:pos="851"/>
        </w:tabs>
        <w:ind w:hanging="223"/>
      </w:pPr>
      <w:r>
        <w:t>g)</w:t>
      </w:r>
      <w:r>
        <w:tab/>
        <w:t>in strijd met § 5, lid 1, geen verantwoordelijke functionaris aanstelt, of</w:t>
      </w:r>
    </w:p>
    <w:p w14:paraId="0C90B363" w14:textId="77777777" w:rsidR="006E7389" w:rsidRPr="00380F5F" w:rsidRDefault="006E7389" w:rsidP="00B230E9">
      <w:pPr>
        <w:pStyle w:val="52Aufzaehle2Lit"/>
        <w:tabs>
          <w:tab w:val="clear" w:pos="851"/>
        </w:tabs>
        <w:ind w:hanging="223"/>
      </w:pPr>
      <w:r>
        <w:t>h)</w:t>
      </w:r>
      <w:r>
        <w:tab/>
        <w:t>in strijd met § 5, lid 4, geen betekeningsgevolmachtigde aanstelt,</w:t>
      </w:r>
    </w:p>
    <w:p w14:paraId="263EA413" w14:textId="77777777" w:rsidR="006E7389" w:rsidRPr="00380F5F" w:rsidRDefault="006E7389" w:rsidP="00B230E9">
      <w:pPr>
        <w:pStyle w:val="58Schlussteile1Ziffer"/>
      </w:pPr>
      <w:r>
        <w:t>en</w:t>
      </w:r>
    </w:p>
    <w:p w14:paraId="4C292ED7" w14:textId="77777777" w:rsidR="006E7389" w:rsidRPr="00380F5F" w:rsidRDefault="006E7389" w:rsidP="00B230E9">
      <w:pPr>
        <w:pStyle w:val="52Aufzaehle1Ziffer"/>
        <w:keepNext/>
        <w:keepLines/>
        <w:tabs>
          <w:tab w:val="clear" w:pos="624"/>
        </w:tabs>
        <w:ind w:hanging="230"/>
      </w:pPr>
      <w:r>
        <w:t>2. als</w:t>
      </w:r>
    </w:p>
    <w:p w14:paraId="62F6C1F3" w14:textId="77777777" w:rsidR="006E7389" w:rsidRPr="00380F5F" w:rsidRDefault="006E7389" w:rsidP="00B230E9">
      <w:pPr>
        <w:pStyle w:val="52Aufzaehle2Lit"/>
        <w:tabs>
          <w:tab w:val="clear" w:pos="851"/>
        </w:tabs>
        <w:ind w:hanging="223"/>
      </w:pPr>
      <w:r>
        <w:t>a)</w:t>
      </w:r>
      <w:r>
        <w:tab/>
        <w:t>de verantwoordelijke functionaris of,</w:t>
      </w:r>
    </w:p>
    <w:p w14:paraId="2F7B6AEF" w14:textId="77777777" w:rsidR="006E7389" w:rsidRPr="00380F5F" w:rsidRDefault="006E7389" w:rsidP="00B230E9">
      <w:pPr>
        <w:pStyle w:val="52Aufzaehle2Lit"/>
        <w:tabs>
          <w:tab w:val="clear" w:pos="851"/>
        </w:tabs>
        <w:ind w:hanging="223"/>
      </w:pPr>
      <w:r>
        <w:t>b)</w:t>
      </w:r>
      <w:r>
        <w:tab/>
        <w:t>omdat er in strijd met § 5, lid 1, geen verantwoordelijke functionaris is aangesteld, een persoon die alleen of als deel van een organisatie is aangesteld om een dienstverlener extern te vertegenwoordigen, of die de bevoegdheid heeft om namens de dienstverlener in een leidinggevende functie beslissingen te nemen,</w:t>
      </w:r>
    </w:p>
    <w:p w14:paraId="2CC21CA1" w14:textId="77777777" w:rsidR="006E7389" w:rsidRPr="00380F5F" w:rsidRDefault="006E7389" w:rsidP="00B230E9">
      <w:pPr>
        <w:pStyle w:val="58Schlussteile1Ziffer"/>
      </w:pPr>
      <w:r>
        <w:t>bij het uitoefenen van zijn verordenings- en beheersbevoegdheid heeft nagelaten ervoor te zorgen dat aan de in punt 1 genoemde verplichtingen wordt voldaan.</w:t>
      </w:r>
    </w:p>
    <w:p w14:paraId="2DD1231B" w14:textId="77777777" w:rsidR="004C1883" w:rsidRPr="00380F5F" w:rsidRDefault="004C1883" w:rsidP="00B230E9">
      <w:pPr>
        <w:pStyle w:val="51Abs"/>
        <w:keepNext/>
        <w:keepLines/>
      </w:pPr>
      <w:r>
        <w:lastRenderedPageBreak/>
        <w:t>(3) Bij de bepaling van de omvang van de geldboete als bedoeld in lid 1 of 2 moet in het bijzonder rekening worden gehouden met de volgende omstandigheden:</w:t>
      </w:r>
    </w:p>
    <w:p w14:paraId="4B3C9BC0" w14:textId="77777777" w:rsidR="004C1883" w:rsidRPr="00380F5F" w:rsidRDefault="004C1883" w:rsidP="00B230E9">
      <w:pPr>
        <w:pStyle w:val="52Aufzaehle1Ziffer"/>
        <w:tabs>
          <w:tab w:val="clear" w:pos="624"/>
        </w:tabs>
        <w:ind w:hanging="230"/>
      </w:pPr>
      <w:r>
        <w:t>1.</w:t>
      </w:r>
      <w:r>
        <w:tab/>
        <w:t>de financiële draagkracht van de dienstverlener, zoals bijvoorbeeld blijkt uit diens totale omzet;</w:t>
      </w:r>
    </w:p>
    <w:p w14:paraId="6F2FDF87" w14:textId="77777777" w:rsidR="004C1883" w:rsidRPr="00380F5F" w:rsidRDefault="004C1883" w:rsidP="00B230E9">
      <w:pPr>
        <w:pStyle w:val="52Aufzaehle1Ziffer"/>
        <w:tabs>
          <w:tab w:val="clear" w:pos="624"/>
        </w:tabs>
        <w:ind w:hanging="230"/>
      </w:pPr>
      <w:r>
        <w:t>2.</w:t>
      </w:r>
      <w:r>
        <w:tab/>
        <w:t>het aantal geregistreerde gebruikers van het platform;</w:t>
      </w:r>
    </w:p>
    <w:p w14:paraId="1A9F2286" w14:textId="77777777" w:rsidR="004C1883" w:rsidRPr="00380F5F" w:rsidRDefault="004C1883" w:rsidP="00B230E9">
      <w:pPr>
        <w:pStyle w:val="52Aufzaehle1Ziffer"/>
        <w:tabs>
          <w:tab w:val="clear" w:pos="624"/>
        </w:tabs>
        <w:ind w:hanging="230"/>
      </w:pPr>
      <w:r>
        <w:t>3.</w:t>
      </w:r>
      <w:r>
        <w:tab/>
        <w:t>eerdere inbreuken;</w:t>
      </w:r>
    </w:p>
    <w:p w14:paraId="65FC387B" w14:textId="77777777" w:rsidR="004C1883" w:rsidRPr="00380F5F" w:rsidRDefault="004C1883" w:rsidP="00B230E9">
      <w:pPr>
        <w:pStyle w:val="52Aufzaehle1Ziffer"/>
        <w:tabs>
          <w:tab w:val="clear" w:pos="624"/>
        </w:tabs>
        <w:ind w:hanging="230"/>
      </w:pPr>
      <w:r>
        <w:t>4.</w:t>
      </w:r>
      <w:r>
        <w:tab/>
        <w:t>de omvang en de duur van de nalatigheid van de dienstverlener met betrekking tot de naleving van de opgelegde verplichting;</w:t>
      </w:r>
    </w:p>
    <w:p w14:paraId="180FC3AB" w14:textId="77777777" w:rsidR="004C1883" w:rsidRPr="00380F5F" w:rsidRDefault="004C1883" w:rsidP="00B230E9">
      <w:pPr>
        <w:pStyle w:val="52Aufzaehle1Ziffer"/>
        <w:tabs>
          <w:tab w:val="clear" w:pos="624"/>
        </w:tabs>
        <w:ind w:hanging="230"/>
      </w:pPr>
      <w:r>
        <w:t>5.</w:t>
      </w:r>
      <w:r>
        <w:tab/>
        <w:t>de bijdrage aan de waarheidsvinding alsmede</w:t>
      </w:r>
    </w:p>
    <w:p w14:paraId="2FD229B3" w14:textId="77777777" w:rsidR="004C1883" w:rsidRPr="00380F5F" w:rsidRDefault="004C1883" w:rsidP="00B230E9">
      <w:pPr>
        <w:pStyle w:val="52Aufzaehle1Ziffer"/>
        <w:tabs>
          <w:tab w:val="clear" w:pos="624"/>
        </w:tabs>
        <w:ind w:hanging="230"/>
      </w:pPr>
      <w:r>
        <w:t>6.</w:t>
      </w:r>
      <w:r>
        <w:tab/>
        <w:t>de omvang van de getroffen voorzorgsmaatregelen om een inbreuk te voorkomen of de richtsnoeren voor medewerkers om zich te gedragen conform de wet.</w:t>
      </w:r>
    </w:p>
    <w:p w14:paraId="2C9682CF" w14:textId="77777777" w:rsidR="004C1883" w:rsidRPr="00380F5F" w:rsidRDefault="004C1883" w:rsidP="00B230E9">
      <w:pPr>
        <w:pStyle w:val="51Abs"/>
        <w:keepNext/>
        <w:keepLines/>
      </w:pPr>
      <w:r>
        <w:t>(4) Eenieder die als verantwoordelijke functionaris</w:t>
      </w:r>
    </w:p>
    <w:p w14:paraId="2524FD51" w14:textId="77777777" w:rsidR="004C1883" w:rsidRPr="00380F5F" w:rsidRDefault="004C1883" w:rsidP="00B230E9">
      <w:pPr>
        <w:pStyle w:val="52Aufzaehle1Ziffer"/>
        <w:tabs>
          <w:tab w:val="clear" w:pos="624"/>
        </w:tabs>
        <w:ind w:hanging="230"/>
      </w:pPr>
      <w:r>
        <w:t>1.</w:t>
      </w:r>
      <w:r>
        <w:tab/>
        <w:t>in strijd met § 5, lid 2, eerste volzin, er niet voor zorgt dat zijn contactgegevens steeds gemakkelijk en onmiddellijk toegankelijk ter beschikking staan, of</w:t>
      </w:r>
    </w:p>
    <w:p w14:paraId="1716D628" w14:textId="77777777" w:rsidR="004C1883" w:rsidRPr="00380F5F" w:rsidRDefault="004C1883" w:rsidP="00B230E9">
      <w:pPr>
        <w:pStyle w:val="52Aufzaehle1Ziffer"/>
        <w:tabs>
          <w:tab w:val="clear" w:pos="624"/>
        </w:tabs>
        <w:ind w:hanging="230"/>
      </w:pPr>
      <w:r>
        <w:t>2.</w:t>
      </w:r>
      <w:r>
        <w:tab/>
        <w:t>in strijd met § 5, lid 2, tweede volzin, er niet voor zorgt dat hij steeds bereikbaar is voor de toezichthoudende autoriteit of</w:t>
      </w:r>
    </w:p>
    <w:p w14:paraId="62228C2E" w14:textId="77777777" w:rsidR="004C1883" w:rsidRPr="00380F5F" w:rsidRDefault="004C1883" w:rsidP="00B230E9">
      <w:pPr>
        <w:pStyle w:val="52Aufzaehle1Ziffer"/>
        <w:tabs>
          <w:tab w:val="clear" w:pos="624"/>
        </w:tabs>
        <w:ind w:hanging="230"/>
      </w:pPr>
      <w:r>
        <w:t>3.</w:t>
      </w:r>
      <w:r>
        <w:tab/>
        <w:t>de in § 5, lid 3, vastgelegde verplichting niet vervult,</w:t>
      </w:r>
    </w:p>
    <w:p w14:paraId="62689DC5" w14:textId="77777777" w:rsidR="004C1883" w:rsidRPr="00380F5F" w:rsidRDefault="004C1883" w:rsidP="00B230E9">
      <w:pPr>
        <w:pStyle w:val="58Schlussteile0Abs"/>
      </w:pPr>
      <w:r>
        <w:t>wordt schuldig geacht aan een administratieve overtreding en wordt door de toezichthoudende autoriteit bestraft met een geldboete van maximaal 10 000 euro.</w:t>
      </w:r>
    </w:p>
    <w:p w14:paraId="62797F55" w14:textId="77777777" w:rsidR="004C1883" w:rsidRPr="00380F5F" w:rsidRDefault="004C1883" w:rsidP="00B230E9">
      <w:pPr>
        <w:pStyle w:val="51Abs"/>
        <w:keepNext/>
        <w:keepLines/>
      </w:pPr>
      <w:r>
        <w:t>(5) Eenieder die als betekeningsgevolmachtigde</w:t>
      </w:r>
    </w:p>
    <w:p w14:paraId="6A16C7E1" w14:textId="77777777" w:rsidR="004C1883" w:rsidRPr="00380F5F" w:rsidRDefault="004C1883" w:rsidP="00B230E9">
      <w:pPr>
        <w:pStyle w:val="52Aufzaehle1Ziffer"/>
        <w:tabs>
          <w:tab w:val="clear" w:pos="624"/>
        </w:tabs>
        <w:ind w:hanging="230"/>
      </w:pPr>
      <w:r>
        <w:t>1.</w:t>
      </w:r>
      <w:r>
        <w:tab/>
        <w:t>in strijd met § 5, lid 2, eerste volzin, juncto lid 4, tweede volzin, er niet voor zorgt dat zijn contactgegevens steeds vlot en op onmiddellijk terugvindbare wijze ter beschikking staan, of</w:t>
      </w:r>
    </w:p>
    <w:p w14:paraId="06FEE114" w14:textId="77777777" w:rsidR="004C1883" w:rsidRPr="00380F5F" w:rsidRDefault="004C1883" w:rsidP="00B230E9">
      <w:pPr>
        <w:pStyle w:val="52Aufzaehle1Ziffer"/>
        <w:tabs>
          <w:tab w:val="clear" w:pos="624"/>
        </w:tabs>
        <w:ind w:hanging="230"/>
      </w:pPr>
      <w:r>
        <w:t>2.</w:t>
      </w:r>
      <w:r>
        <w:tab/>
        <w:t>de in § 5, lid 3, juncto lid 4, tweede volzin, vastgelegde verplichting niet vervult,</w:t>
      </w:r>
    </w:p>
    <w:p w14:paraId="7B0D63AD" w14:textId="77777777" w:rsidR="004C1883" w:rsidRPr="00380F5F" w:rsidRDefault="004C1883" w:rsidP="00B230E9">
      <w:pPr>
        <w:pStyle w:val="58Schlussteile0Abs"/>
      </w:pPr>
      <w:r>
        <w:t>wordt schuldig geacht aan een administratieve inbreuk en wordt door de toezichthoudende autoriteit bestraft met een geldboete van maximaal 10 000 euro.</w:t>
      </w:r>
    </w:p>
    <w:p w14:paraId="4BB5D284" w14:textId="77777777" w:rsidR="004C1883" w:rsidRPr="00380F5F" w:rsidRDefault="004C1883" w:rsidP="00B230E9">
      <w:pPr>
        <w:pStyle w:val="51Abs"/>
        <w:keepNext/>
        <w:keepLines/>
      </w:pPr>
      <w:r>
        <w:t>(6) Eenieder die als dienstverlener</w:t>
      </w:r>
    </w:p>
    <w:p w14:paraId="1959F6BC" w14:textId="77777777" w:rsidR="004C1883" w:rsidRPr="00380F5F" w:rsidRDefault="004C1883" w:rsidP="00B230E9">
      <w:pPr>
        <w:pStyle w:val="52Aufzaehle1Ziffer"/>
        <w:tabs>
          <w:tab w:val="clear" w:pos="624"/>
        </w:tabs>
        <w:ind w:hanging="230"/>
      </w:pPr>
      <w:r>
        <w:t>1.</w:t>
      </w:r>
      <w:r>
        <w:tab/>
        <w:t>de verplichting tot het verstrekken van informatie ter bepaling van zijn statuut als dienstverlener onderworpen aan deze federale wet of</w:t>
      </w:r>
    </w:p>
    <w:p w14:paraId="2B5B498A" w14:textId="77777777" w:rsidR="004C1883" w:rsidRPr="00380F5F" w:rsidRDefault="004C1883" w:rsidP="00B230E9">
      <w:pPr>
        <w:pStyle w:val="52Aufzaehle1Ziffer"/>
        <w:tabs>
          <w:tab w:val="clear" w:pos="624"/>
        </w:tabs>
        <w:ind w:hanging="230"/>
      </w:pPr>
      <w:r>
        <w:t>2.</w:t>
      </w:r>
      <w:r>
        <w:tab/>
        <w:t>de verplichting tot het verstrekken van informatie en het verlenen van inzage in bescheiden en boeken (§ 8, lid 4, juncto § 35, lid 13, van de KOG)</w:t>
      </w:r>
    </w:p>
    <w:p w14:paraId="6820F24C" w14:textId="77777777" w:rsidR="004C1883" w:rsidRPr="00380F5F" w:rsidRDefault="004C1883" w:rsidP="00B230E9">
      <w:pPr>
        <w:pStyle w:val="58Schlussteile0Abs"/>
      </w:pPr>
      <w:r>
        <w:t>ondanks aanmaning daartoe niet nakomt, begaat een administratieve overtreding en wordt door de toezichthoudende autoriteit bestraft met een geldboete van ten hoogste 58 000 euro.</w:t>
      </w:r>
    </w:p>
    <w:p w14:paraId="52FC2C2B" w14:textId="77777777" w:rsidR="004C1883" w:rsidRPr="00380F5F" w:rsidRDefault="004C1883" w:rsidP="00B230E9">
      <w:pPr>
        <w:pStyle w:val="45UeberschrPara"/>
        <w:keepLines/>
      </w:pPr>
      <w:r>
        <w:t>Bezwaren</w:t>
      </w:r>
    </w:p>
    <w:p w14:paraId="2F37504E" w14:textId="77777777" w:rsidR="004C1883" w:rsidRPr="00380F5F" w:rsidRDefault="004C1883" w:rsidP="00B230E9">
      <w:pPr>
        <w:pStyle w:val="51Abs"/>
      </w:pPr>
      <w:r>
        <w:rPr>
          <w:rStyle w:val="991GldSymbol"/>
        </w:rPr>
        <w:t>§ 11.</w:t>
      </w:r>
      <w:r>
        <w:t xml:space="preserve"> Bezwaren tegen beslissingen over geldboetes en tegen beslissingen overeenkomstig § 9, lid 2, punt 1, hebben in afwijking van § 13, lid 1, van de wet inzake de procedure van administratieve rechtbanken [</w:t>
      </w:r>
      <w:proofErr w:type="spellStart"/>
      <w:r>
        <w:t>Verwaltungsgerichtsverfahrensgesetz</w:t>
      </w:r>
      <w:proofErr w:type="spellEnd"/>
      <w:r>
        <w:t> – </w:t>
      </w:r>
      <w:proofErr w:type="spellStart"/>
      <w:r>
        <w:t>VwGVG</w:t>
      </w:r>
      <w:proofErr w:type="spellEnd"/>
      <w:r>
        <w:t>], Oostenrijks staatsblad I, nr. 33/2013, geen opschortend effect. De hoogste administratieve rechtbank kan het opschortende effect in de betreffende procedure op verzoek toekennen, wanneer na afweging van alle betreffende belangen de uitvoering van het besluit voor de klager gepaard gaat met ernstige en niet onomkeerbare schade.</w:t>
      </w:r>
    </w:p>
    <w:p w14:paraId="78107C47" w14:textId="77777777" w:rsidR="004C1883" w:rsidRPr="00380F5F" w:rsidRDefault="004C1883" w:rsidP="00B230E9">
      <w:pPr>
        <w:pStyle w:val="41UeberschrG1"/>
        <w:keepLines/>
      </w:pPr>
      <w:r>
        <w:t>Hoofdstuk 4</w:t>
      </w:r>
    </w:p>
    <w:p w14:paraId="2B7C959F" w14:textId="77777777" w:rsidR="004C1883" w:rsidRPr="00380F5F" w:rsidRDefault="004C1883" w:rsidP="00B230E9">
      <w:pPr>
        <w:pStyle w:val="43UeberschrG2"/>
        <w:keepLines/>
      </w:pPr>
      <w:r>
        <w:t>Slotbepalingen</w:t>
      </w:r>
    </w:p>
    <w:p w14:paraId="6584C8E7" w14:textId="77777777" w:rsidR="004C1883" w:rsidRPr="00380F5F" w:rsidRDefault="004C1883" w:rsidP="00B230E9">
      <w:pPr>
        <w:pStyle w:val="45UeberschrPara"/>
        <w:keepLines/>
      </w:pPr>
      <w:r>
        <w:t>Verwijzingen en benamingen</w:t>
      </w:r>
    </w:p>
    <w:p w14:paraId="321C4572" w14:textId="77777777" w:rsidR="004C1883" w:rsidRPr="00380F5F" w:rsidRDefault="004C1883" w:rsidP="00B230E9">
      <w:pPr>
        <w:pStyle w:val="51Abs"/>
      </w:pPr>
      <w:r>
        <w:rPr>
          <w:rStyle w:val="991GldSymbol"/>
        </w:rPr>
        <w:t>§ 12.</w:t>
      </w:r>
      <w:r>
        <w:t xml:space="preserve"> (1) Als in deze federale wet wordt verwezen naar andere federale wetten, moeten deze telkens in de volgende versie worden toegepast. Tenzij anders bepaald in deze federale wet, blijven de bepalingen van de wet inzake audiovisuele diensten [</w:t>
      </w:r>
      <w:proofErr w:type="spellStart"/>
      <w:r>
        <w:t>Audiovisuelle</w:t>
      </w:r>
      <w:proofErr w:type="spellEnd"/>
      <w:r>
        <w:t xml:space="preserve"> </w:t>
      </w:r>
      <w:proofErr w:type="spellStart"/>
      <w:r>
        <w:t>Mediendienste-Gesetz</w:t>
      </w:r>
      <w:proofErr w:type="spellEnd"/>
      <w:r>
        <w:t> – AMD-G], Oostenrijks staatsblad I, nr. 84/2001, en van de wet inzake e-commerce onverminderd van kracht.</w:t>
      </w:r>
    </w:p>
    <w:p w14:paraId="01A1061A" w14:textId="77777777" w:rsidR="004C1883" w:rsidRPr="00380F5F" w:rsidRDefault="004C1883" w:rsidP="00B230E9">
      <w:pPr>
        <w:pStyle w:val="51Abs"/>
      </w:pPr>
      <w:r>
        <w:t>(2) Alle in deze federale wet gebruikte persoonsgebonden benamingen gelden in gelijke mate voor personen van zowel het mannelijke als het vrouwelijke geslacht.</w:t>
      </w:r>
    </w:p>
    <w:p w14:paraId="1973C533" w14:textId="77777777" w:rsidR="004C1883" w:rsidRPr="00380F5F" w:rsidRDefault="004C1883" w:rsidP="00B230E9">
      <w:pPr>
        <w:pStyle w:val="51Abs"/>
      </w:pPr>
      <w:r>
        <w:t>(3) De boetes die krachtens deze federale wet worden opgelegd, komen toe aan de federale overheid. Rechtsgeldige besluiten zijn uitvoerende titels. In totaal moet de helft van de som van de opgelegde boetes jaarlijks aan RTR-GmbH worden overgemaakt als een financiële bijdrage aan de vervulling van de taken van de toezichthoudende autoriteit en het klachtenbureau waarin deze federale wet voorziet.</w:t>
      </w:r>
    </w:p>
    <w:p w14:paraId="09610063" w14:textId="77777777" w:rsidR="004C1883" w:rsidRPr="00380F5F" w:rsidRDefault="004C1883" w:rsidP="00B230E9">
      <w:pPr>
        <w:pStyle w:val="45UeberschrPara"/>
        <w:keepLines/>
      </w:pPr>
      <w:r>
        <w:lastRenderedPageBreak/>
        <w:t>Uitvoering</w:t>
      </w:r>
    </w:p>
    <w:p w14:paraId="6958802F" w14:textId="77777777" w:rsidR="004C1883" w:rsidRPr="00380F5F" w:rsidRDefault="004C1883" w:rsidP="00B230E9">
      <w:pPr>
        <w:pStyle w:val="51Abs"/>
      </w:pPr>
      <w:r>
        <w:rPr>
          <w:rStyle w:val="991GldSymbol"/>
        </w:rPr>
        <w:t>§ 13.</w:t>
      </w:r>
      <w:r>
        <w:t xml:space="preserve"> De bondskanselier is bevoegd voor de uitvoering van deze federale wet.</w:t>
      </w:r>
    </w:p>
    <w:p w14:paraId="033A85B3" w14:textId="77777777" w:rsidR="004C1883" w:rsidRPr="00380F5F" w:rsidRDefault="004C1883" w:rsidP="00B230E9">
      <w:pPr>
        <w:pStyle w:val="45UeberschrPara"/>
        <w:keepLines/>
      </w:pPr>
      <w:r>
        <w:t>Inwerkingtreding en overgangsbepalingen</w:t>
      </w:r>
    </w:p>
    <w:p w14:paraId="7727CE22" w14:textId="77777777" w:rsidR="004C1883" w:rsidRPr="00380F5F" w:rsidRDefault="006E7389" w:rsidP="00B230E9">
      <w:pPr>
        <w:pStyle w:val="51Abs"/>
      </w:pPr>
      <w:r>
        <w:rPr>
          <w:rStyle w:val="991GldSymbol"/>
        </w:rPr>
        <w:t>§ 14.</w:t>
      </w:r>
      <w:r>
        <w:t xml:space="preserve"> Deze nationale wet treedt op 1 januari 2021 in werking. De dienstverleners die op het moment dat deze federale wet in werking treedt, onder de bepalingen ervan vallen, moeten de verplichtingen zoals vastgelegd in deze federale wet uiterlijk op 31 maart 2021 hebben uitgevoerd, en de dienstverleners die later toetreden binnen drie maanden na het begin van hun activiteit.</w:t>
      </w:r>
    </w:p>
    <w:p w14:paraId="4D1BF1B4" w14:textId="77777777" w:rsidR="004C1883" w:rsidRPr="00380F5F" w:rsidRDefault="004C1883" w:rsidP="00B230E9">
      <w:pPr>
        <w:pStyle w:val="41UeberschrG1"/>
        <w:keepLines/>
      </w:pPr>
      <w:r>
        <w:t>Artikel 2</w:t>
      </w:r>
    </w:p>
    <w:p w14:paraId="441460D4" w14:textId="77777777" w:rsidR="004C1883" w:rsidRPr="00380F5F" w:rsidRDefault="004C1883" w:rsidP="00B230E9">
      <w:pPr>
        <w:pStyle w:val="43UeberschrG2"/>
        <w:keepLines/>
      </w:pPr>
      <w:r>
        <w:t>Wijziging van de wet inzake de communicatieautoriteit voor Oostenrijk</w:t>
      </w:r>
    </w:p>
    <w:p w14:paraId="5CD38812" w14:textId="77777777" w:rsidR="004C1883" w:rsidRPr="00380F5F" w:rsidRDefault="004C1883" w:rsidP="00B230E9">
      <w:pPr>
        <w:pStyle w:val="12PromKlEinlSatz"/>
        <w:keepNext w:val="0"/>
      </w:pPr>
      <w:r>
        <w:t>De federale wet inzake de oprichting van een communicatieautoriteit voor Oostenrijk [</w:t>
      </w:r>
      <w:proofErr w:type="spellStart"/>
      <w:r>
        <w:t>KommAustria-Gesetz</w:t>
      </w:r>
      <w:proofErr w:type="spellEnd"/>
      <w:r>
        <w:t xml:space="preserve"> - KOG], Oostenrijks staatsblad I, nr. 32/2001, laatstelijk gewijzigd bij de federale wet, Oostenrijks staatsblad I, nr. 24/2020, wordt als volgt gewijzigd:</w:t>
      </w:r>
    </w:p>
    <w:p w14:paraId="3A17F953" w14:textId="77777777" w:rsidR="004C1883" w:rsidRPr="00380F5F" w:rsidRDefault="004C1883" w:rsidP="00B230E9">
      <w:pPr>
        <w:pStyle w:val="21NovAo1"/>
        <w:keepLines/>
      </w:pPr>
      <w:r>
        <w:t>1. In § 2, lid 1, wordt de punt aan het einde van punt 14 vervangen door een komma, en wordt het volgende punt 15 ingevoegd:</w:t>
      </w:r>
    </w:p>
    <w:p w14:paraId="44C4B660" w14:textId="77777777" w:rsidR="004C1883" w:rsidRPr="00380F5F" w:rsidRDefault="004C1883" w:rsidP="00B230E9">
      <w:pPr>
        <w:pStyle w:val="52Aufzaehle1Ziffer"/>
        <w:tabs>
          <w:tab w:val="clear" w:pos="624"/>
        </w:tabs>
        <w:ind w:hanging="410"/>
      </w:pPr>
      <w:r>
        <w:t>“15.</w:t>
      </w:r>
      <w:r>
        <w:tab/>
        <w:t>Het uitvoeren van de taken overeenkomstig de wet op communicatieplatformen [</w:t>
      </w:r>
      <w:proofErr w:type="spellStart"/>
      <w:r>
        <w:t>KoPl</w:t>
      </w:r>
      <w:proofErr w:type="spellEnd"/>
      <w:r>
        <w:t>-G], Oostenrijks staatsblad I, nr. 151/2020.”</w:t>
      </w:r>
    </w:p>
    <w:p w14:paraId="499556D1" w14:textId="77777777" w:rsidR="004C1883" w:rsidRPr="00380F5F" w:rsidRDefault="004C1883" w:rsidP="00B230E9">
      <w:pPr>
        <w:pStyle w:val="21NovAo1"/>
        <w:keepLines/>
      </w:pPr>
      <w:r>
        <w:t>2. In § 2, lid 3, wordt de punt aan het einde van punt 9 vervangen door een puntkomma, en wordt het volgende punt 10 toegevoegd:</w:t>
      </w:r>
    </w:p>
    <w:p w14:paraId="013076E2" w14:textId="77777777" w:rsidR="004C1883" w:rsidRPr="00380F5F" w:rsidRDefault="004C1883" w:rsidP="00B230E9">
      <w:pPr>
        <w:pStyle w:val="52Aufzaehle1Ziffer"/>
        <w:tabs>
          <w:tab w:val="clear" w:pos="624"/>
        </w:tabs>
        <w:ind w:hanging="410"/>
      </w:pPr>
      <w:r>
        <w:t>“10.</w:t>
      </w:r>
      <w:r>
        <w:tab/>
        <w:t>zorgen voor effectieve en transparante maatregelen door de dienstverleners van communicatieplatformen.”</w:t>
      </w:r>
    </w:p>
    <w:p w14:paraId="3B4D5F3E" w14:textId="77777777" w:rsidR="004C1883" w:rsidRPr="00380F5F" w:rsidRDefault="004C1883" w:rsidP="00B230E9">
      <w:pPr>
        <w:pStyle w:val="21NovAo1"/>
        <w:keepLines/>
      </w:pPr>
      <w:r>
        <w:t>3. In § 13, lid 4, punt 1, wordt de punt aan het einde van letter m) vervangen door een puntkomma, en wordt de volgende letter n) toegevoegd:</w:t>
      </w:r>
    </w:p>
    <w:p w14:paraId="224BAEA2" w14:textId="77777777" w:rsidR="004C1883" w:rsidRPr="00380F5F" w:rsidRDefault="004C1883" w:rsidP="00B230E9">
      <w:pPr>
        <w:pStyle w:val="52Aufzaehle1Ziffer"/>
        <w:tabs>
          <w:tab w:val="clear" w:pos="624"/>
        </w:tabs>
        <w:ind w:hanging="410"/>
      </w:pPr>
      <w:r>
        <w:t>“n)</w:t>
      </w:r>
      <w:r>
        <w:tab/>
        <w:t xml:space="preserve">taken van de toezichthoudende autoriteit als bedoeld in de </w:t>
      </w:r>
      <w:proofErr w:type="spellStart"/>
      <w:r>
        <w:t>KoPl</w:t>
      </w:r>
      <w:proofErr w:type="spellEnd"/>
      <w:r>
        <w:t>-G.”</w:t>
      </w:r>
    </w:p>
    <w:p w14:paraId="4C774B60" w14:textId="77777777" w:rsidR="004C1883" w:rsidRPr="00380F5F" w:rsidRDefault="004C1883" w:rsidP="00B230E9">
      <w:pPr>
        <w:pStyle w:val="21NovAo1"/>
        <w:keepLines/>
      </w:pPr>
      <w:r>
        <w:t>4. In § 17, lid 6a, punt 3, wordt aan het eind de punt vervangen door een puntkomma en wordt het volgende punt 4 toegevoegd:</w:t>
      </w:r>
    </w:p>
    <w:p w14:paraId="17938981" w14:textId="77777777" w:rsidR="004C1883" w:rsidRPr="00380F5F" w:rsidRDefault="003F6B42" w:rsidP="00B230E9">
      <w:pPr>
        <w:pStyle w:val="52Aufzaehle1Ziffer"/>
        <w:tabs>
          <w:tab w:val="clear" w:pos="624"/>
        </w:tabs>
        <w:ind w:hanging="410"/>
      </w:pPr>
      <w:r>
        <w:t>“4.</w:t>
      </w:r>
      <w:r>
        <w:tab/>
        <w:t xml:space="preserve">klachtenbureau als bedoeld in de </w:t>
      </w:r>
      <w:proofErr w:type="spellStart"/>
      <w:r>
        <w:t>KoPl</w:t>
      </w:r>
      <w:proofErr w:type="spellEnd"/>
      <w:r>
        <w:t>-G.”</w:t>
      </w:r>
    </w:p>
    <w:p w14:paraId="120ED55C" w14:textId="77777777" w:rsidR="004C1883" w:rsidRPr="00380F5F" w:rsidRDefault="004C1883" w:rsidP="00B230E9">
      <w:pPr>
        <w:pStyle w:val="21NovAo1"/>
        <w:keepLines/>
      </w:pPr>
      <w:r>
        <w:t>5. In § 19, lid 3, punt 5a, wordt de volgende letter d) toegevoegd:</w:t>
      </w:r>
    </w:p>
    <w:p w14:paraId="5E1BE670" w14:textId="77777777" w:rsidR="004C1883" w:rsidRPr="00380F5F" w:rsidRDefault="00B132B5" w:rsidP="00B230E9">
      <w:pPr>
        <w:pStyle w:val="52Aufzaehle1Ziffer"/>
        <w:tabs>
          <w:tab w:val="clear" w:pos="624"/>
        </w:tabs>
        <w:ind w:hanging="410"/>
      </w:pPr>
      <w:r>
        <w:t xml:space="preserve">“d) klachtenbureau als bedoeld in de </w:t>
      </w:r>
      <w:proofErr w:type="spellStart"/>
      <w:r>
        <w:t>KoPl</w:t>
      </w:r>
      <w:proofErr w:type="spellEnd"/>
      <w:r>
        <w:t>-G,”.</w:t>
      </w:r>
    </w:p>
    <w:p w14:paraId="6F64437B" w14:textId="77777777" w:rsidR="006E7389" w:rsidRPr="00380F5F" w:rsidRDefault="006E7389" w:rsidP="00B230E9">
      <w:pPr>
        <w:pStyle w:val="21NovAo1"/>
        <w:keepLines/>
      </w:pPr>
      <w:r>
        <w:t>6. Aan § 44 wordt het volgende lid 25 toegevoegd:</w:t>
      </w:r>
    </w:p>
    <w:p w14:paraId="747DBBFE" w14:textId="77777777" w:rsidR="004C1883" w:rsidRPr="00380F5F" w:rsidRDefault="006E7389" w:rsidP="00B230E9">
      <w:pPr>
        <w:pStyle w:val="51Abs"/>
      </w:pPr>
      <w:r>
        <w:t>“(25) § 2, leden 1 en 3, § 13, lid 4, § 17, lid 6a en § 19, lid 3, in de versie van de federale wet in Oostenrijks staatsblad I, nr. 151/2020, treden op 1 januari 2021 in werking.”</w:t>
      </w:r>
    </w:p>
    <w:p w14:paraId="16A1F849" w14:textId="77777777" w:rsidR="00344954" w:rsidRPr="00380F5F" w:rsidRDefault="00344954" w:rsidP="00B230E9">
      <w:pPr>
        <w:pStyle w:val="68UnterschrL"/>
        <w:keepNext/>
        <w:keepLines/>
      </w:pPr>
      <w:r>
        <w:t>Van der Bellen</w:t>
      </w:r>
    </w:p>
    <w:p w14:paraId="5EBEC97B" w14:textId="77777777" w:rsidR="00344954" w:rsidRPr="00380F5F" w:rsidRDefault="00344954" w:rsidP="00B230E9">
      <w:pPr>
        <w:pStyle w:val="68UnterschrL"/>
      </w:pPr>
      <w:proofErr w:type="spellStart"/>
      <w:r>
        <w:t>Kurz</w:t>
      </w:r>
      <w:bookmarkStart w:id="0" w:name="_GoBack"/>
      <w:bookmarkEnd w:id="0"/>
      <w:proofErr w:type="spellEnd"/>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CFFAC" w14:textId="77777777" w:rsidR="0003298C" w:rsidRDefault="0003298C" w:rsidP="00427CB8">
      <w:r>
        <w:separator/>
      </w:r>
    </w:p>
  </w:endnote>
  <w:endnote w:type="continuationSeparator" w:id="0">
    <w:p w14:paraId="735F40C4" w14:textId="77777777" w:rsidR="0003298C" w:rsidRDefault="0003298C" w:rsidP="00427CB8">
      <w:r>
        <w:continuationSeparator/>
      </w:r>
    </w:p>
  </w:endnote>
  <w:endnote w:type="continuationNotice" w:id="1">
    <w:p w14:paraId="6BAFAA02" w14:textId="77777777" w:rsidR="0003298C" w:rsidRDefault="00032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4ECD" w14:textId="77777777"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4A8E6" w14:textId="77777777"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FBE0E" w14:textId="77777777"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ABA0B" w14:textId="77777777" w:rsidR="0003298C" w:rsidRDefault="0003298C" w:rsidP="00427CB8">
      <w:r>
        <w:separator/>
      </w:r>
    </w:p>
  </w:footnote>
  <w:footnote w:type="continuationSeparator" w:id="0">
    <w:p w14:paraId="062E3493" w14:textId="77777777" w:rsidR="0003298C" w:rsidRDefault="0003298C" w:rsidP="00427CB8">
      <w:r>
        <w:continuationSeparator/>
      </w:r>
    </w:p>
  </w:footnote>
  <w:footnote w:type="continuationNotice" w:id="1">
    <w:p w14:paraId="5EC5C0EA" w14:textId="77777777" w:rsidR="0003298C" w:rsidRDefault="00032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2349" w14:textId="77777777" w:rsidR="00427CB8" w:rsidRPr="00380F5F" w:rsidRDefault="00344954" w:rsidP="00344954">
    <w:pPr>
      <w:pStyle w:val="62Kopfzeile"/>
    </w:pPr>
    <w:r>
      <w:tab/>
      <w:t>Oostenrijks staatsblad I – Gepubliceerd op 23 december 2020 – nr.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van </w:t>
    </w:r>
    <w:fldSimple w:instr=" NUMPAGES  \* Arabic  \* MERGEFORMAT ">
      <w:r w:rsidR="00CA5291">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EC07" w14:textId="77777777" w:rsidR="00427CB8" w:rsidRPr="00380F5F" w:rsidRDefault="00344954" w:rsidP="00344954">
    <w:pPr>
      <w:pStyle w:val="62Kopfzeile"/>
    </w:pPr>
    <w:r>
      <w:tab/>
      <w:t>Oostenrijks staatsblad I – Gepubliceerd op 23 december 2020 – nr.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van </w:t>
    </w:r>
    <w:fldSimple w:instr=" NUMPAGES  \* Arabic  \* MERGEFORMAT ">
      <w:r w:rsidR="00E53C04">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9CADD" w14:textId="77777777"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van </w:t>
    </w:r>
    <w:fldSimple w:instr=" NUMPAGES  \* MERGEFORMAT ">
      <w:r w:rsidR="00E53C04">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3298C"/>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0C14"/>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4471"/>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71BA9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HTML Variable"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nl-NL"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nl-NL"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nl-NL"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nl-NL"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nl-NL"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nl-NL"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nl-NL"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nl-NL"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nl-NL" w:eastAsia="de-DE"/>
    </w:rPr>
  </w:style>
  <w:style w:type="character" w:customStyle="1" w:styleId="21NovAo1Zchn">
    <w:name w:val="21_NovAo1 Zchn"/>
    <w:link w:val="21NovAo1"/>
    <w:locked/>
    <w:rsid w:val="006E7389"/>
    <w:rPr>
      <w:i/>
      <w:color w:val="000000"/>
      <w:lang w:val="nl-NL"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5321</Words>
  <Characters>30333</Characters>
  <Application>Microsoft Office Word</Application>
  <DocSecurity>0</DocSecurity>
  <Lines>252</Lines>
  <Paragraphs>71</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