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A1C" w:rsidRPr="00B655D7" w:rsidRDefault="001561F1" w:rsidP="00AD7A1C">
      <w:pPr>
        <w:ind w:left="-634" w:right="-778"/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0169 F-- HU</w:t>
      </w:r>
      <w:r w:rsidR="00AD7A1C">
        <w:rPr>
          <w:rFonts w:ascii="Courier New" w:hAnsi="Courier New"/>
          <w:sz w:val="20"/>
        </w:rPr>
        <w:t>- ------ 20180420 --- --- PROJET</w:t>
      </w:r>
    </w:p>
    <w:p w:rsidR="00AD7A1C" w:rsidRDefault="00AD7A1C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REPUBLIQUE"/>
            </w:pPr>
            <w:r>
              <w:t>FRANCIA KÖZTÁRSASÁG</w:t>
            </w:r>
          </w:p>
        </w:tc>
      </w:tr>
      <w:tr w:rsidR="00B73D02" w:rsidTr="006516B7">
        <w:trPr>
          <w:cantSplit/>
          <w:trHeight w:val="4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Timbre"/>
            </w:pPr>
            <w:r>
              <w:t>Gazdasági és Pénzügyminisztérium</w:t>
            </w:r>
          </w:p>
        </w:tc>
      </w:tr>
      <w:tr w:rsidR="00B73D02" w:rsidTr="006516B7">
        <w:trPr>
          <w:cantSplit/>
          <w:trHeight w:val="22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</w:tbl>
    <w:p w:rsidR="00073A3D" w:rsidRPr="002E197B" w:rsidRDefault="00D50503" w:rsidP="00B73D02">
      <w:pPr>
        <w:pStyle w:val="SNNature"/>
        <w:jc w:val="left"/>
      </w:pPr>
      <w:r>
        <w:t>[...]-i ... számú rendelet a pilóta nélküli légi járművek jelzőberendezéseihez kapcsolódó célkitűzések, valamint a postai és elektronikus hírközlési törvénykönyv L. 34-9-2. cikkében meghatározott mentességek feltételeinek meghatározásáról</w:t>
      </w:r>
    </w:p>
    <w:p w:rsidR="00073A3D" w:rsidRPr="002E197B" w:rsidRDefault="00D50503">
      <w:pPr>
        <w:pStyle w:val="SNNORCentr"/>
      </w:pPr>
      <w:r>
        <w:t>NOR: […]</w:t>
      </w:r>
    </w:p>
    <w:p w:rsidR="00073A3D" w:rsidRPr="002E197B" w:rsidRDefault="00D50503">
      <w:pPr>
        <w:pStyle w:val="SNAutorit"/>
        <w:spacing w:after="0"/>
        <w:jc w:val="both"/>
      </w:pPr>
      <w:r>
        <w:rPr>
          <w:i/>
        </w:rPr>
        <w:t xml:space="preserve">Az érintettek köre: a </w:t>
      </w:r>
      <w:r>
        <w:rPr>
          <w:b w:val="0"/>
          <w:i/>
        </w:rPr>
        <w:t>rendeletileg megállapított tömeghatárt meghaladó, pilóta nélküli légi járművek távirányítói – pilóta nélküli légi járművek gyártói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 xml:space="preserve">Tárgy: </w:t>
      </w:r>
      <w:r>
        <w:rPr>
          <w:b w:val="0"/>
          <w:i/>
        </w:rPr>
        <w:t xml:space="preserve">e szöveg meghatározza a rendeletileg megállapított tömeghatárt meghaladó, pilóta nélküli légi járművekre kötelezően felszerelendő elektronikus és világító jelzőberendezésekre vonatkozó célkitűzéseket, valamint az e kötelezettség alóli felmentés feltételeit és az ezzel kapcsolatos szankciókat. 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Hatálybalépés:</w:t>
      </w:r>
      <w:r>
        <w:rPr>
          <w:b w:val="0"/>
          <w:i/>
        </w:rPr>
        <w:t xml:space="preserve"> A szöveg a 2019. január 1-jén hatályba lépő postai és elektronikus hírközlési törvény R. 20-25-1. cikke és R. 20-25-2. cikke rendelkezéseinek kivételével a közzététel napját követő napon lép hatályba.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Megjegyzés:</w:t>
      </w:r>
      <w:r>
        <w:rPr>
          <w:b w:val="0"/>
          <w:i/>
        </w:rPr>
        <w:t xml:space="preserve"> A postai és elektronikus hírközlési törvénykönyvnek a pilóta nélküli polgári légi járművek biztonságos használatának megerősítéséről szóló, 2016. október 24-i 2016-1428. számú törvény által módosított L. 34-9-2. cikke értelmében, azon pilóta nélküli légi járműveket, kivéve az állami légi járműveket, amelyek tömege meghaladja a rendeletileg megállapított határértéket, elektronikus vagy digitális jelzőberendezéssel és világító jelzőberendezéssel kell felszerelni. E rendelet meghatározza az e berendezésekhez rendelt célkitűzéseket, valamint az e kötelezettség alóli felmentés feltételeit.</w:t>
      </w:r>
    </w:p>
    <w:p w:rsidR="00073A3D" w:rsidRPr="002E197B" w:rsidRDefault="00D50503">
      <w:pPr>
        <w:pStyle w:val="SNAutorit"/>
        <w:spacing w:before="120"/>
        <w:jc w:val="both"/>
      </w:pPr>
      <w:r>
        <w:rPr>
          <w:i/>
        </w:rPr>
        <w:t xml:space="preserve">Referenciaszövegek: </w:t>
      </w:r>
      <w:r>
        <w:rPr>
          <w:b w:val="0"/>
          <w:i/>
        </w:rPr>
        <w:t xml:space="preserve">a rendelet a pilóta nélküli polgári légi járművek biztonságos használatának megerősítéséről szóló, 2016. október 24-i 2016-1428. sz. törvény 4. cikke I. pontjának végrehajtásáról rendelkezik. A postai és elektronikus hírközlési törvénykönyv e rendelettel módosított cikkei – a módosítás szerinti változatában – megtekinthetők a Légifrance honlapon (http.//www.legifrance.gouv.fr). </w:t>
      </w:r>
    </w:p>
    <w:p w:rsidR="00073A3D" w:rsidRPr="002E197B" w:rsidRDefault="00D50503">
      <w:pPr>
        <w:pStyle w:val="SNAutorit"/>
      </w:pPr>
      <w:r>
        <w:t>A Miniszterelnök,</w:t>
      </w:r>
    </w:p>
    <w:p w:rsidR="00073A3D" w:rsidRPr="002E197B" w:rsidRDefault="00D50503">
      <w:pPr>
        <w:pStyle w:val="SNRapport"/>
      </w:pPr>
      <w:r>
        <w:t>a gazdasági és pénzügyminiszter jelentése alapján,</w:t>
      </w:r>
    </w:p>
    <w:p w:rsidR="003B26B1" w:rsidRPr="002E197B" w:rsidRDefault="00D50503" w:rsidP="001B21F1">
      <w:pPr>
        <w:jc w:val="both"/>
      </w:pPr>
      <w:r>
        <w:t>tekintettel a műszaki szabályokkal és az információs társadalom szolgáltatásaira vonatkozó szabályokkal kapcsolatos információszolgáltatási eljárás megállapításáról szóló, 2015. szeptember 9-i (EU) 2015/1535 európai parlamenti és tanácsi irányelvre (egységes szerkezetbe foglalt szöveg), és nevezetesen az év/XXX/F sz. értesítésre;</w:t>
      </w:r>
    </w:p>
    <w:p w:rsidR="001B21F1" w:rsidRDefault="001B21F1" w:rsidP="001B21F1">
      <w:pPr>
        <w:ind w:left="426" w:hanging="426"/>
        <w:jc w:val="both"/>
      </w:pPr>
    </w:p>
    <w:p w:rsidR="00073A3D" w:rsidRPr="002E197B" w:rsidRDefault="00D50503" w:rsidP="001B21F1">
      <w:pPr>
        <w:ind w:left="426" w:hanging="426"/>
        <w:jc w:val="both"/>
      </w:pPr>
      <w:r>
        <w:lastRenderedPageBreak/>
        <w:t>tekintettel a polgári légi közlekedés törvénykönyvére, különösen annak D. 510-3. cikkére;</w:t>
      </w:r>
    </w:p>
    <w:p w:rsidR="00073A3D" w:rsidRPr="002E197B" w:rsidRDefault="00073A3D" w:rsidP="001B21F1">
      <w:pPr>
        <w:ind w:left="426" w:hanging="426"/>
        <w:jc w:val="both"/>
      </w:pPr>
    </w:p>
    <w:p w:rsidR="00073A3D" w:rsidRPr="002E197B" w:rsidRDefault="00D50503" w:rsidP="001B21F1">
      <w:pPr>
        <w:jc w:val="both"/>
      </w:pPr>
      <w:r>
        <w:t>tekintettel a postai és elektronikus hírközlési törvénykönyvre, különösen annak L. 34-9 -2. cikkére;</w:t>
      </w:r>
    </w:p>
    <w:p w:rsidR="00073A3D" w:rsidRPr="002E197B" w:rsidRDefault="00073A3D" w:rsidP="001B21F1">
      <w:pPr>
        <w:ind w:left="426" w:hanging="426"/>
        <w:jc w:val="both"/>
      </w:pPr>
    </w:p>
    <w:p w:rsidR="00073A3D" w:rsidRPr="002E197B" w:rsidRDefault="00D50503" w:rsidP="001B21F1">
      <w:pPr>
        <w:ind w:left="426" w:hanging="426"/>
        <w:jc w:val="both"/>
      </w:pPr>
      <w:r>
        <w:t>tekintettel a belbiztonsági törvénykönyvre, különösen a VIII. könyv V. címére;</w:t>
      </w:r>
    </w:p>
    <w:p w:rsidR="00073A3D" w:rsidRPr="002E197B" w:rsidRDefault="00073A3D" w:rsidP="001B21F1">
      <w:pPr>
        <w:ind w:left="426" w:hanging="426"/>
        <w:jc w:val="both"/>
      </w:pPr>
    </w:p>
    <w:p w:rsidR="00073A3D" w:rsidRPr="002E197B" w:rsidRDefault="00D50503" w:rsidP="001B21F1">
      <w:pPr>
        <w:ind w:left="426" w:hanging="426"/>
        <w:jc w:val="both"/>
      </w:pPr>
      <w:r>
        <w:t>tekintettel a közlekedési törvénykönyvre, és különösen annak L. 6100-1. és L. 6111-1. cikkeire;</w:t>
      </w:r>
    </w:p>
    <w:p w:rsidR="00073A3D" w:rsidRPr="002E197B" w:rsidRDefault="00073A3D" w:rsidP="001B21F1">
      <w:pPr>
        <w:jc w:val="both"/>
        <w:rPr>
          <w:sz w:val="22"/>
          <w:szCs w:val="20"/>
        </w:rPr>
      </w:pPr>
    </w:p>
    <w:p w:rsidR="00073A3D" w:rsidRPr="002E197B" w:rsidRDefault="00D50503" w:rsidP="001B21F1">
      <w:pPr>
        <w:pStyle w:val="SNVisa"/>
        <w:ind w:firstLine="0"/>
        <w:jc w:val="both"/>
      </w:pPr>
      <w:r>
        <w:t>tekintettel az Elektronikus Hírközlési és Postai Szabályozó Hatóság XXX-én/-án kelt véleményére;</w:t>
      </w:r>
    </w:p>
    <w:p w:rsidR="00073A3D" w:rsidRPr="002E197B" w:rsidRDefault="00073A3D">
      <w:pPr>
        <w:pStyle w:val="SNConsultation"/>
      </w:pPr>
    </w:p>
    <w:p w:rsidR="00073A3D" w:rsidRPr="002E197B" w:rsidRDefault="00D50503">
      <w:pPr>
        <w:pStyle w:val="SNConsultation"/>
      </w:pPr>
      <w:r>
        <w:t>az Államtanács (... szekció) meghallgatását követően,</w:t>
      </w:r>
    </w:p>
    <w:p w:rsidR="00073A3D" w:rsidRPr="002E197B" w:rsidRDefault="00D50503">
      <w:pPr>
        <w:pStyle w:val="SNActe"/>
      </w:pPr>
      <w:r>
        <w:t>elrendeli a következőket:</w:t>
      </w:r>
    </w:p>
    <w:p w:rsidR="00073A3D" w:rsidRPr="002E197B" w:rsidRDefault="00D50503">
      <w:pPr>
        <w:pStyle w:val="SNActe"/>
      </w:pPr>
      <w:r>
        <w:t>I. fejezet: A jelzőberendezésekkel kapcsolatos célkitűzésekre vonatkozó rendelkezések</w:t>
      </w:r>
    </w:p>
    <w:p w:rsidR="00073A3D" w:rsidRPr="002E197B" w:rsidRDefault="00D50503">
      <w:pPr>
        <w:pStyle w:val="SNArticle"/>
      </w:pPr>
      <w:r>
        <w:t>1. cikk</w:t>
      </w:r>
    </w:p>
    <w:p w:rsidR="00073A3D" w:rsidRPr="002E197B" w:rsidRDefault="00D50503">
      <w:pPr>
        <w:pStyle w:val="BodyText"/>
      </w:pPr>
      <w:r>
        <w:t>A postai és elektronikus hírközlési törvény szabályozási része II. könyve I. címe 5. szakaszának 6. alszakasza (államtanácsi rendeletek) kiegészül az alábbi szövegezésű R. 20-24-2 cikkel: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R. 20-24-2 cikk</w:t>
      </w:r>
      <w:r>
        <w:t xml:space="preserve"> – I. – Az L. 34-9-2. cikk első bekezdésében megnevezett elektronikus vagy digitális jelzőberendezés célja, hogy a biztonság, a honvédelem, a segítségnyújtás és a vám területén működő szolgálatok azonosítani és lokalizálni tudják azokat a levegőben lévő, pilóta nélküli légi járműveket, amelyek tömege meghaladja a rendeletileg megállapított határértéket.</w:t>
      </w:r>
    </w:p>
    <w:p w:rsidR="00073A3D" w:rsidRPr="002E197B" w:rsidRDefault="00D50503">
      <w:pPr>
        <w:pStyle w:val="BodyText"/>
      </w:pPr>
      <w:r>
        <w:t>E célból a berendezésnek az alábbi információkat kell elektronikus úton továbbítania:</w:t>
      </w:r>
    </w:p>
    <w:p w:rsidR="00073A3D" w:rsidRPr="002E197B" w:rsidRDefault="00D50503">
      <w:pPr>
        <w:pStyle w:val="BodyText"/>
      </w:pPr>
      <w:r>
        <w:t>1. az elektronikus vagy digitális jelzőberendezés azonosító száma;</w:t>
      </w:r>
    </w:p>
    <w:p w:rsidR="00073A3D" w:rsidRPr="002E197B" w:rsidRDefault="00D50503">
      <w:pPr>
        <w:pStyle w:val="BodyText"/>
      </w:pPr>
      <w:r>
        <w:t xml:space="preserve">2. a légi jármű földrajzi helyzetének koordinátái és magassága; </w:t>
      </w:r>
    </w:p>
    <w:p w:rsidR="00073A3D" w:rsidRPr="002E197B" w:rsidRDefault="00D50503">
      <w:pPr>
        <w:pStyle w:val="BodyText"/>
      </w:pPr>
      <w:r>
        <w:t>3. ezen földrajzi helyzet naptári napja és pontos ideje;</w:t>
      </w:r>
    </w:p>
    <w:p w:rsidR="00073A3D" w:rsidRPr="002E197B" w:rsidRDefault="00D50503">
      <w:pPr>
        <w:pStyle w:val="BodyText"/>
      </w:pPr>
      <w:r>
        <w:t>4. a légi jármű felszállási pontjához tartozó földrajzi helyzet koordinátái;</w:t>
      </w:r>
    </w:p>
    <w:p w:rsidR="00073A3D" w:rsidRPr="002E197B" w:rsidRDefault="00D50503">
      <w:pPr>
        <w:pStyle w:val="BodyText"/>
      </w:pPr>
      <w:r>
        <w:t>5. A légi jármű útvonala és sebessége.</w:t>
      </w:r>
    </w:p>
    <w:p w:rsidR="00073A3D" w:rsidRPr="002E197B" w:rsidRDefault="00D50503">
      <w:pPr>
        <w:pStyle w:val="BodyText"/>
      </w:pPr>
      <w:r>
        <w:t>Ezen információkat – adott esetben és a szükséges tudás keretein belül – bírói, közigazgatási vagy nyomozati vizsgálat és statisztika céljából az erre jogosult személyek felhasználhatják.</w:t>
      </w:r>
    </w:p>
    <w:p w:rsidR="00073A3D" w:rsidRPr="002E197B" w:rsidRDefault="00D50503">
      <w:pPr>
        <w:pStyle w:val="BodyText"/>
      </w:pPr>
      <w:r>
        <w:t>II. – Az L. 34-9-2. cikk első bekezdésében megnevezett fényjelző berendezés célja, hogy a biztonság, a honvédelem, a segítségnyújtás és a vám területén működő szolgálatok könnyebben észrevegyék, és más légi járművektől megkülönböztessék azokat a levegőben lévő, pilóta nélküli légi járműveket, amelyek tömege meghaladja a rendeletileg megállapított határértéket.</w:t>
      </w:r>
    </w:p>
    <w:p w:rsidR="00073A3D" w:rsidRPr="002E197B" w:rsidRDefault="00D50503">
      <w:pPr>
        <w:pStyle w:val="BodyText"/>
      </w:pPr>
      <w:r>
        <w:t>III – A belügyminiszter, a közlekedési miniszter és az elektronikus hírközlésért felelős miniszter rendelete meghatározza az elektronikus vagy digitális jelzőberendezés műszaki jellemzőit és a továbbított információk formátumát, valamint a világító jelző</w:t>
      </w:r>
      <w:r w:rsidR="00653110">
        <w:t>berendezés műszaki jellemzőit.</w:t>
      </w:r>
      <w:r>
        <w:t>”</w:t>
      </w:r>
    </w:p>
    <w:p w:rsidR="002E197B" w:rsidRPr="002E197B" w:rsidRDefault="002E197B">
      <w:pPr>
        <w:pStyle w:val="BodyText"/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lastRenderedPageBreak/>
        <w:t>II. fejezet: A jelzési kötelezettség alóli mentesség feltételeire vonatkozó rendelkezések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2. cikk</w:t>
      </w:r>
    </w:p>
    <w:p w:rsidR="00073A3D" w:rsidRPr="002E197B" w:rsidRDefault="00073A3D">
      <w:pPr>
        <w:pStyle w:val="BodyText"/>
        <w:jc w:val="center"/>
        <w:rPr>
          <w:b/>
        </w:rPr>
      </w:pPr>
    </w:p>
    <w:p w:rsidR="00073A3D" w:rsidRPr="002E197B" w:rsidRDefault="00D50503">
      <w:pPr>
        <w:pStyle w:val="BodyText"/>
      </w:pPr>
      <w:r>
        <w:t>A postai és elektronikus hírközlési törvény szabályozási része II. könyve II. címe 5. szakaszának 6. alszakasza (államtanácsi rendeletek) kiegészül az alábbi szövegezésű R. 20-24-3. cikkel: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R. 20-24-3. cikk</w:t>
      </w:r>
      <w:r>
        <w:t xml:space="preserve"> – I. – A pilóta nélküli légi járművek mentesülnek az elektronikus vagy digitális jelzőberendezések kötelező felszerelése alól:</w:t>
      </w:r>
    </w:p>
    <w:p w:rsidR="00073A3D" w:rsidRPr="002E197B" w:rsidRDefault="00D50503">
      <w:pPr>
        <w:pStyle w:val="BodyText"/>
      </w:pPr>
      <w:r>
        <w:t xml:space="preserve">1. Ha azokat szabadidős céllal használják, ideértve a versenyeket is, és látótávolságon belül olyan személy távirányításával működnek, aki a polgári légiközlekedés törvénykönyvének D. 510-3. cikkében megnevezett repülőmodellező szövetséghez csatlakozott, országosan elismert egyesület vagy a sportminiszter által jóváhagyott több sportágra, köztük a repülőgépmodellezésre szakosodott és légiforgalmi tájékoztató útján közzétett, kellően azonosított helyen működő és ezen mentesség alá tartozó egyesület tagja; </w:t>
      </w:r>
    </w:p>
    <w:p w:rsidR="00073A3D" w:rsidRPr="002E197B" w:rsidRDefault="00D50503">
      <w:pPr>
        <w:pStyle w:val="BodyText"/>
        <w:spacing w:after="0"/>
      </w:pPr>
      <w:r>
        <w:t>2. Ha azokat zárt vagy fedett téren használják;</w:t>
      </w:r>
    </w:p>
    <w:p w:rsidR="002E197B" w:rsidRPr="002E197B" w:rsidRDefault="002E197B">
      <w:pPr>
        <w:pStyle w:val="BodyText"/>
        <w:spacing w:after="0"/>
      </w:pPr>
    </w:p>
    <w:p w:rsidR="00073A3D" w:rsidRPr="002E197B" w:rsidRDefault="00BF6B0E">
      <w:pPr>
        <w:pStyle w:val="BodyText"/>
        <w:spacing w:after="0"/>
      </w:pPr>
      <w:r>
        <w:t>3. Ha a közlekedési törvény L. 6100-1. cikkének második bekezdésében megnevezett légi jármű kategóriába tartoznak, és nem sértik a katonai légi járművekre és a vámhatóságok, a közbiztonsági szervek és a polgári biztonsági szolgálatok által használt, állami tulajdonban lévő légi járművekre alkalmazandó rendelkezéseket;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4. Ha nem tartoznak a közlekedési törvény L. 6100-1. cikke második bekezdésében megnevezett légi járművek kategóriába, azonban vámügyi, rendőrségi, polgári biztonsági feladatok ellátására vagy a belbiztonsági törvénykönyv VIII. könyve V. címében említett valamely gyakorlati eljárás megvalósítására használják őket”</w:t>
      </w:r>
    </w:p>
    <w:p w:rsidR="00073A3D" w:rsidRPr="002E197B" w:rsidRDefault="00073A3D">
      <w:pPr>
        <w:pStyle w:val="ListParagraph"/>
        <w:ind w:left="0"/>
        <w:jc w:val="both"/>
        <w:rPr>
          <w:color w:val="auto"/>
        </w:rPr>
      </w:pPr>
    </w:p>
    <w:p w:rsidR="00073A3D" w:rsidRPr="002E197B" w:rsidRDefault="00073A3D">
      <w:pPr>
        <w:pStyle w:val="BodyText"/>
        <w:spacing w:after="0"/>
        <w:jc w:val="left"/>
      </w:pPr>
    </w:p>
    <w:p w:rsidR="00073A3D" w:rsidRPr="002E197B" w:rsidRDefault="00D50503" w:rsidP="002E197B">
      <w:pPr>
        <w:pStyle w:val="BodyText"/>
        <w:tabs>
          <w:tab w:val="left" w:pos="0"/>
        </w:tabs>
      </w:pPr>
      <w:r>
        <w:t>II. – A pilóta nélküli légi járművek mentesülnek az üzemképes állapotban lévő fényjelző berendezés kötelező felszerelése alól:</w:t>
      </w:r>
    </w:p>
    <w:p w:rsidR="00073A3D" w:rsidRPr="002E197B" w:rsidRDefault="00D50503">
      <w:pPr>
        <w:pStyle w:val="BodyText"/>
      </w:pPr>
      <w:r>
        <w:t xml:space="preserve">1. Ha azokat szabadidős céllal használják, ideértve a versenyeket is, és látótávolságon belül olyan személy távirányításával működnek, aki a polgári légiközlekedés törvénykönyvének D. 510-3. cikkében megnevezett repülőmodellező szövetséghez csatlakozott, országosan elismert egyesület vagy a sportminiszter által jóváhagyott több sportágra, köztük a repülőgépmodellezésre szakosodott és légiforgalmi tájékoztató útján közzétett, kellően azonosított helyen működő és ezen mentesség alá tartozó egyesület tagja; </w:t>
      </w:r>
    </w:p>
    <w:p w:rsidR="00073A3D" w:rsidRPr="002E197B" w:rsidRDefault="00D50503">
      <w:pPr>
        <w:pStyle w:val="BodyText"/>
        <w:tabs>
          <w:tab w:val="left" w:pos="0"/>
        </w:tabs>
        <w:jc w:val="left"/>
      </w:pPr>
      <w:r>
        <w:t>2. Ha azokat zárt vagy fedett téren használják;</w:t>
      </w:r>
    </w:p>
    <w:p w:rsidR="00073A3D" w:rsidRPr="002E197B" w:rsidRDefault="00D50503" w:rsidP="002E197B">
      <w:pPr>
        <w:pStyle w:val="BodyText"/>
        <w:tabs>
          <w:tab w:val="left" w:pos="0"/>
        </w:tabs>
      </w:pPr>
      <w:r>
        <w:t xml:space="preserve">3. Ha azokkal a polgári légiközlekedésért felelős miniszter által meghatározott feltételek szerint próba vagy ellenőrzés céljából kísérleti repüléseket hajtanak végre; </w:t>
      </w:r>
    </w:p>
    <w:p w:rsidR="00073A3D" w:rsidRPr="002E197B" w:rsidRDefault="00BF6B0E">
      <w:pPr>
        <w:pStyle w:val="BodyText"/>
        <w:spacing w:after="0"/>
      </w:pPr>
      <w:r>
        <w:t>4. Ha a közlekedési törvény L. 6100-1. cikkének második bekezdésében említett légi jármű kategóriába tartoznak, és nem sértik a katonai légi járművekre és a vámhatóságok, a közbiztonsági szervek és a polgári biztonsági szolgálatok által használt, állami tulajdonban lévő légi járművekre alkalmazandó rendelkezéseket;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 xml:space="preserve">5. Ha nem tartoznak a közlekedési törvény L. 6100-1. cikke második bekezdésében említett légi járművek kategóriába, azonban vámügyi, rendőrségi, polgári biztonsági feladatok ellátására vagy </w:t>
      </w:r>
      <w:r>
        <w:rPr>
          <w:color w:val="auto"/>
        </w:rPr>
        <w:lastRenderedPageBreak/>
        <w:t>a belbiztonsági törvénykönyv VIII. könyve V. címében említett valamely gyakorlati eljárás megvalósítására használják őket</w:t>
      </w:r>
      <w:r w:rsidR="009F33DE">
        <w:rPr>
          <w:color w:val="auto"/>
        </w:rPr>
        <w:t>.”</w:t>
      </w:r>
    </w:p>
    <w:p w:rsidR="00073A3D" w:rsidRPr="002E197B" w:rsidRDefault="00073A3D">
      <w:pPr>
        <w:pStyle w:val="BodyText"/>
        <w:tabs>
          <w:tab w:val="left" w:pos="0"/>
        </w:tabs>
        <w:jc w:val="left"/>
      </w:pPr>
    </w:p>
    <w:p w:rsidR="00073A3D" w:rsidRPr="002E197B" w:rsidRDefault="00D50503">
      <w:pPr>
        <w:pStyle w:val="BodyText"/>
        <w:tabs>
          <w:tab w:val="left" w:pos="0"/>
        </w:tabs>
        <w:jc w:val="center"/>
        <w:rPr>
          <w:b/>
        </w:rPr>
      </w:pPr>
      <w:r>
        <w:rPr>
          <w:b/>
        </w:rPr>
        <w:t>III. fejezet: Szankciók</w:t>
      </w:r>
    </w:p>
    <w:p w:rsidR="00073A3D" w:rsidRPr="002E197B" w:rsidRDefault="00073A3D">
      <w:pPr>
        <w:pStyle w:val="BodyText"/>
        <w:tabs>
          <w:tab w:val="left" w:pos="0"/>
        </w:tabs>
        <w:jc w:val="center"/>
        <w:rPr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4. cikk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both"/>
        <w:rPr>
          <w:rFonts w:eastAsia="Calibri"/>
        </w:rPr>
      </w:pPr>
      <w:r>
        <w:t>A postai és elektronikus hírközlési törvény szabályozási része II. könyve II. címe 5. szakaszának 7. alszakasza (államtanácsi rendeletek) kiegészül az alábbi szövegezésű R. 20-25-1. cikkel és az R. 20-25-2. cikkel:</w:t>
      </w:r>
    </w:p>
    <w:p w:rsidR="00073A3D" w:rsidRPr="002E197B" w:rsidRDefault="00073A3D">
      <w:pPr>
        <w:rPr>
          <w:rFonts w:eastAsia="Calibri"/>
        </w:rPr>
      </w:pPr>
    </w:p>
    <w:p w:rsidR="00073A3D" w:rsidRPr="002E197B" w:rsidRDefault="00D50503">
      <w:r>
        <w:rPr>
          <w:i/>
        </w:rPr>
        <w:t>„R. 20-25-1. cikk</w:t>
      </w:r>
      <w:r>
        <w:t xml:space="preserve"> – Negyedik osztályba sorolt szabálysértésekért kiszabható pénzbírsággal sújtandó:</w:t>
      </w:r>
    </w:p>
    <w:p w:rsidR="00073A3D" w:rsidRPr="002E197B" w:rsidRDefault="00073A3D">
      <w:pPr>
        <w:rPr>
          <w:i/>
        </w:rPr>
      </w:pPr>
    </w:p>
    <w:p w:rsidR="00073A3D" w:rsidRPr="002E197B" w:rsidRDefault="00D50503">
      <w:pPr>
        <w:jc w:val="both"/>
      </w:pPr>
      <w:r>
        <w:t>1. ha a pilóta nélküli légi jármű tulajdonosa az L. 34-9-2. cikk első bekezdésében és az R. 20-24- 2. cikk I. bekezdésében meghatározott elektronikus vagy digitális jelzőberendezés hiányában, vagy működésképtelen elektronikus vagy numerikus jelzőberendezéssel működteti a légi járművet;</w:t>
      </w:r>
    </w:p>
    <w:p w:rsidR="00073A3D" w:rsidRPr="002E197B" w:rsidRDefault="00073A3D"/>
    <w:p w:rsidR="00073A3D" w:rsidRPr="002E197B" w:rsidRDefault="00D50503">
      <w:pPr>
        <w:jc w:val="both"/>
        <w:rPr>
          <w:rFonts w:eastAsia="Calibri"/>
        </w:rPr>
      </w:pPr>
      <w:r>
        <w:t>2. ha a pilóta nélküli légi jármű tulajdonosa az L. 34-9-2. cikk első bekezdésében és az R. 20-24 -2. cikk II. bekezdésében meghatározott fényjelző berendezés hiányában, vagy működésképtelen fényjelző berendezé</w:t>
      </w:r>
      <w:r w:rsidR="002D4570">
        <w:t>ssel működteti a légi járművet.</w:t>
      </w:r>
      <w:r>
        <w:t>”</w:t>
      </w:r>
    </w:p>
    <w:p w:rsidR="00FA699A" w:rsidRPr="002E197B" w:rsidRDefault="00FA699A">
      <w:pPr>
        <w:jc w:val="both"/>
        <w:rPr>
          <w:rFonts w:eastAsia="Calibri"/>
        </w:rPr>
      </w:pPr>
    </w:p>
    <w:p w:rsidR="00FA699A" w:rsidRPr="002E197B" w:rsidRDefault="00FA699A" w:rsidP="00FA699A">
      <w:r>
        <w:t>„</w:t>
      </w:r>
      <w:r>
        <w:rPr>
          <w:i/>
        </w:rPr>
        <w:t>R. 20-25-2. cikk</w:t>
      </w:r>
      <w:r>
        <w:t xml:space="preserve"> – Ötödik osztályba sorolt szabálysértésekért kiszabható pénzbírsággal sújtandó, ha:</w:t>
      </w:r>
    </w:p>
    <w:p w:rsidR="00FA699A" w:rsidRPr="002E197B" w:rsidRDefault="00FA699A" w:rsidP="00FA699A">
      <w:pPr>
        <w:rPr>
          <w:i/>
        </w:rPr>
      </w:pPr>
    </w:p>
    <w:p w:rsidR="00FA699A" w:rsidRPr="00311055" w:rsidRDefault="00FA699A" w:rsidP="00FA699A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Az L. 34-9-2. cikk első bekezdésében említett elektronikus vagy digitális jelzés önkéntes kibocsátása a kibocsátás pillanatában nem kapcsolódik tényleges repüléshez és olyan pilóta nélküli légi járműről adják le, amelyet a szállítási törvénykönyv XXX. cikkében említ</w:t>
      </w:r>
      <w:r w:rsidR="002D4570">
        <w:rPr>
          <w:rFonts w:ascii="Times New              Roman;se" w:hAnsi="Times New              Roman;se"/>
        </w:rPr>
        <w:t>ett adatbázisban regisztráltak.</w:t>
      </w:r>
      <w:r>
        <w:rPr>
          <w:rFonts w:ascii="Times New              Roman;se" w:hAnsi="Times New              Roman;se"/>
        </w:rPr>
        <w:t>”</w:t>
      </w:r>
    </w:p>
    <w:p w:rsidR="00073A3D" w:rsidRPr="002E197B" w:rsidRDefault="00073A3D">
      <w:pPr>
        <w:jc w:val="center"/>
        <w:rPr>
          <w:rFonts w:eastAsia="Calibri"/>
          <w:b/>
          <w:lang w:eastAsia="fr-FR"/>
        </w:rPr>
      </w:pPr>
    </w:p>
    <w:p w:rsidR="00073A3D" w:rsidRPr="002E197B" w:rsidRDefault="00073A3D"/>
    <w:p w:rsidR="00073A3D" w:rsidRPr="002E197B" w:rsidRDefault="00D50503">
      <w:pPr>
        <w:jc w:val="center"/>
        <w:rPr>
          <w:b/>
          <w:bCs/>
        </w:rPr>
      </w:pPr>
      <w:r>
        <w:rPr>
          <w:b/>
          <w:bCs/>
        </w:rPr>
        <w:t>5. cikk</w:t>
      </w:r>
    </w:p>
    <w:p w:rsidR="00073A3D" w:rsidRPr="002E197B" w:rsidRDefault="00073A3D"/>
    <w:p w:rsidR="00BE1E1D" w:rsidRPr="00311055" w:rsidRDefault="00D50503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A büntetőeljárásról szóló törvénykönyv R. 48-1. cikkének 12. pontjában a „polgári légi közlekedési törvénykönyv</w:t>
      </w:r>
      <w:r w:rsidR="002D4570">
        <w:rPr>
          <w:rFonts w:ascii="Times New              Roman;se" w:hAnsi="Times New              Roman;se"/>
        </w:rPr>
        <w:t>”</w:t>
      </w:r>
      <w:r>
        <w:rPr>
          <w:rFonts w:ascii="Times New              Roman;se" w:hAnsi="Times New              Roman;se"/>
        </w:rPr>
        <w:t xml:space="preserve"> szöveg a „és a postai és elektronikus hírközlési törvénykönyv R. 20-25-1. és 20-25-2. cikkei” szavakkal egészül ki. </w:t>
      </w:r>
    </w:p>
    <w:p w:rsidR="00073A3D" w:rsidRPr="002E197B" w:rsidRDefault="00073A3D"/>
    <w:p w:rsidR="00073A3D" w:rsidRPr="002E197B" w:rsidRDefault="00D50503">
      <w:pPr>
        <w:jc w:val="center"/>
        <w:rPr>
          <w:b/>
        </w:rPr>
      </w:pPr>
      <w:r>
        <w:rPr>
          <w:b/>
        </w:rPr>
        <w:t>IV. fejezet: Záró rendelkezések</w:t>
      </w:r>
    </w:p>
    <w:p w:rsidR="00073A3D" w:rsidRPr="002E197B" w:rsidRDefault="00073A3D">
      <w:pPr>
        <w:rPr>
          <w:b/>
        </w:rPr>
      </w:pPr>
    </w:p>
    <w:p w:rsidR="00073A3D" w:rsidRPr="002E197B" w:rsidRDefault="00D50503">
      <w:pPr>
        <w:jc w:val="center"/>
        <w:rPr>
          <w:b/>
        </w:rPr>
      </w:pPr>
      <w:r>
        <w:rPr>
          <w:b/>
        </w:rPr>
        <w:t>6. cikk</w:t>
      </w:r>
    </w:p>
    <w:p w:rsidR="00697687" w:rsidRPr="002E197B" w:rsidRDefault="00697687">
      <w:pPr>
        <w:pStyle w:val="BodyText"/>
      </w:pPr>
    </w:p>
    <w:p w:rsidR="00073A3D" w:rsidRPr="002E197B" w:rsidRDefault="00D50503">
      <w:pPr>
        <w:pStyle w:val="BodyText"/>
        <w:rPr>
          <w:b/>
        </w:rPr>
      </w:pPr>
      <w:r>
        <w:t>E rendelet rendelkezései Francia Polinézián, Wallis és Futuna területén és a Francia Déli és Antarktiszi Területeken alkalmazandók.</w:t>
      </w:r>
    </w:p>
    <w:p w:rsidR="00073A3D" w:rsidRPr="002E197B" w:rsidRDefault="00073A3D">
      <w:pPr>
        <w:jc w:val="center"/>
        <w:rPr>
          <w:b/>
        </w:rPr>
      </w:pPr>
    </w:p>
    <w:p w:rsidR="00073A3D" w:rsidRPr="002E197B" w:rsidRDefault="00D50503" w:rsidP="001B21F1">
      <w:pPr>
        <w:pStyle w:val="BodyText"/>
        <w:keepNext/>
        <w:keepLines/>
        <w:jc w:val="center"/>
        <w:rPr>
          <w:b/>
        </w:rPr>
      </w:pPr>
      <w:r>
        <w:rPr>
          <w:b/>
        </w:rPr>
        <w:lastRenderedPageBreak/>
        <w:t>7. cikk</w:t>
      </w:r>
      <w:bookmarkStart w:id="0" w:name="_GoBack"/>
      <w:bookmarkEnd w:id="0"/>
    </w:p>
    <w:p w:rsidR="00073A3D" w:rsidRPr="002E197B" w:rsidRDefault="00D50503">
      <w:pPr>
        <w:pStyle w:val="SNAutorit"/>
        <w:spacing w:before="120" w:after="0"/>
        <w:ind w:firstLine="0"/>
        <w:jc w:val="both"/>
      </w:pPr>
      <w:r>
        <w:rPr>
          <w:b w:val="0"/>
        </w:rPr>
        <w:t>E rendelet a 2019. január 1-jén hatályba lépő postai és elektronikus hírközlési törvény R. 20-25-1 cikke és R. 20-25-2. cikke rendelkezéseinek kivételével a közzététel napját követő napon lép hatályba.</w:t>
      </w:r>
    </w:p>
    <w:p w:rsidR="00073A3D" w:rsidRPr="002E197B" w:rsidRDefault="00D50503">
      <w:pPr>
        <w:pStyle w:val="SNArticle"/>
      </w:pPr>
      <w:r>
        <w:t>8. cikk</w:t>
      </w:r>
    </w:p>
    <w:p w:rsidR="00073A3D" w:rsidRPr="002E197B" w:rsidRDefault="00D50503">
      <w:pPr>
        <w:pStyle w:val="BodyText"/>
      </w:pPr>
      <w:r>
        <w:t xml:space="preserve">E rendelet végrehajtásáért, amelyet a Francia Köztársaság </w:t>
      </w:r>
      <w:r>
        <w:rPr>
          <w:i/>
        </w:rPr>
        <w:t>Hivatalos Lapjában</w:t>
      </w:r>
      <w:r>
        <w:t xml:space="preserve"> tesznek közzé, hatáskörének megfelelően az államminiszter, a környezetvédelmi és szolidáris átmenetért felelős miniszter, a pecsétőr, igazságügyi miniszter, a gazdasági és pénzügyminiszter, a tengerentúli területekért felelős miniszter és az államminiszter mellé rendelt miniszter, környezetvédelmi és szolidáris átmenetért felelős miniszter, közlekedési miniszter felel.</w:t>
      </w:r>
    </w:p>
    <w:p w:rsidR="00073A3D" w:rsidRPr="002E197B" w:rsidRDefault="00D50503">
      <w:pPr>
        <w:pStyle w:val="SNDate"/>
      </w:pPr>
      <w:r>
        <w:t>Kelt:</w:t>
      </w:r>
    </w:p>
    <w:p w:rsidR="00073A3D" w:rsidRPr="002E197B" w:rsidRDefault="00D50503">
      <w:pPr>
        <w:pStyle w:val="SNDate"/>
      </w:pPr>
      <w:r>
        <w:t>A Miniszterelnök nevében:</w:t>
      </w:r>
    </w:p>
    <w:p w:rsidR="00073A3D" w:rsidRPr="002E197B" w:rsidRDefault="00D50503">
      <w:pPr>
        <w:pStyle w:val="SNSignatureGauche"/>
      </w:pPr>
      <w:r>
        <w:t>Államminiszter, belügyminiszter,</w:t>
      </w:r>
    </w:p>
    <w:p w:rsidR="00073A3D" w:rsidRPr="002E197B" w:rsidRDefault="00D50503">
      <w:pPr>
        <w:pStyle w:val="SNSignatureprnomnomGauche"/>
        <w:rPr>
          <w:color w:val="auto"/>
        </w:rPr>
      </w:pPr>
      <w:r>
        <w:rPr>
          <w:color w:val="auto"/>
        </w:rPr>
        <w:t>Gérard COLOMB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Államminiszter, a környezetvédelmi és szolidáris átmenetért felelős miniszter,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lastRenderedPageBreak/>
        <w:t>Nicolas HULOT</w:t>
      </w:r>
    </w:p>
    <w:p w:rsidR="00000ECF" w:rsidRPr="002E197B" w:rsidRDefault="00000ECF" w:rsidP="00697687">
      <w:pPr>
        <w:pStyle w:val="SNSignatureprnomnomDroite"/>
        <w:ind w:left="0"/>
        <w:jc w:val="left"/>
        <w:rPr>
          <w:color w:val="auto"/>
        </w:rPr>
      </w:pPr>
      <w:r>
        <w:rPr>
          <w:color w:val="auto"/>
        </w:rPr>
        <w:t>A pecsétőr, igazságügyi miniszter</w:t>
      </w: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D47282" w:rsidRPr="002E197B" w:rsidRDefault="00000ECF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  <w:r>
        <w:rPr>
          <w:color w:val="auto"/>
        </w:rPr>
        <w:t>Nicole BELLOUBET</w:t>
      </w:r>
    </w:p>
    <w:p w:rsidR="00697687" w:rsidRPr="002E197B" w:rsidRDefault="00697687" w:rsidP="002D4570">
      <w:pPr>
        <w:pStyle w:val="SNSignatureGauche"/>
        <w:tabs>
          <w:tab w:val="left" w:pos="1125"/>
        </w:tabs>
        <w:ind w:left="0"/>
      </w:pPr>
    </w:p>
    <w:p w:rsidR="00073A3D" w:rsidRPr="002E197B" w:rsidRDefault="00D50503">
      <w:pPr>
        <w:pStyle w:val="SNSignatureGauche"/>
      </w:pPr>
      <w:r>
        <w:t>A gazdasági és pénzügyminiszter,</w:t>
      </w:r>
    </w:p>
    <w:p w:rsidR="00073A3D" w:rsidRPr="002E197B" w:rsidRDefault="00D50503">
      <w:pPr>
        <w:pStyle w:val="SNSignatureGauche"/>
      </w:pPr>
      <w:r>
        <w:t>Bruno LEMAIRE</w:t>
      </w:r>
    </w:p>
    <w:p w:rsidR="00073A3D" w:rsidRPr="002D4570" w:rsidRDefault="00F54C64" w:rsidP="002D4570">
      <w:pPr>
        <w:pStyle w:val="SNSignatureprnomnomGauche"/>
        <w:tabs>
          <w:tab w:val="left" w:pos="5812"/>
          <w:tab w:val="left" w:pos="6237"/>
          <w:tab w:val="left" w:pos="6379"/>
          <w:tab w:val="left" w:pos="7230"/>
          <w:tab w:val="left" w:pos="7797"/>
          <w:tab w:val="left" w:pos="8364"/>
        </w:tabs>
        <w:ind w:left="0" w:right="0"/>
        <w:jc w:val="right"/>
        <w:rPr>
          <w:color w:val="auto"/>
        </w:rPr>
      </w:pPr>
      <w:r>
        <w:rPr>
          <w:color w:val="auto"/>
        </w:rPr>
        <w:t>A tengerentúli területekért felelős miniszter,</w:t>
      </w:r>
    </w:p>
    <w:p w:rsidR="00073A3D" w:rsidRPr="002E197B" w:rsidRDefault="00D50503" w:rsidP="002E197B">
      <w:pPr>
        <w:pStyle w:val="SNSignatureGauche"/>
        <w:tabs>
          <w:tab w:val="left" w:pos="8222"/>
        </w:tabs>
        <w:ind w:left="0" w:right="0"/>
        <w:jc w:val="right"/>
      </w:pPr>
      <w:r>
        <w:t>Annick GIRARDIN</w:t>
      </w:r>
    </w:p>
    <w:p w:rsidR="00073A3D" w:rsidRPr="002E197B" w:rsidRDefault="00D50503">
      <w:pPr>
        <w:pStyle w:val="SNSignatureGauche"/>
      </w:pPr>
      <w:r>
        <w:t>Az államminiszter mellé rendelt miniszter, környezetvédelmi és szolidáris átmenetért felelős miniszter, közlekedési miniszter</w:t>
      </w:r>
    </w:p>
    <w:p w:rsidR="00073A3D" w:rsidRPr="002E197B" w:rsidRDefault="00D50503">
      <w:pPr>
        <w:pStyle w:val="SNSignatureGauche"/>
      </w:pPr>
      <w:r>
        <w:lastRenderedPageBreak/>
        <w:t>Elisabeth BORNE</w:t>
      </w:r>
    </w:p>
    <w:sectPr w:rsidR="00073A3D" w:rsidRPr="002E197B" w:rsidSect="0014705D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52" w:rsidRDefault="00A30E52" w:rsidP="00660ECB">
      <w:r>
        <w:separator/>
      </w:r>
    </w:p>
  </w:endnote>
  <w:endnote w:type="continuationSeparator" w:id="0">
    <w:p w:rsidR="00A30E52" w:rsidRDefault="00A30E52" w:rsidP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             Roman;se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52" w:rsidRDefault="00A30E52" w:rsidP="00660ECB">
      <w:r>
        <w:separator/>
      </w:r>
    </w:p>
  </w:footnote>
  <w:footnote w:type="continuationSeparator" w:id="0">
    <w:p w:rsidR="00A30E52" w:rsidRDefault="00A30E52" w:rsidP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7FD"/>
    <w:multiLevelType w:val="multilevel"/>
    <w:tmpl w:val="CF72BE8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D"/>
    <w:rsid w:val="00000ECF"/>
    <w:rsid w:val="000448F5"/>
    <w:rsid w:val="00073A3D"/>
    <w:rsid w:val="0014705D"/>
    <w:rsid w:val="001561F1"/>
    <w:rsid w:val="001B21F1"/>
    <w:rsid w:val="002D4570"/>
    <w:rsid w:val="002E197B"/>
    <w:rsid w:val="00311055"/>
    <w:rsid w:val="003723F5"/>
    <w:rsid w:val="00397D5C"/>
    <w:rsid w:val="003B26B1"/>
    <w:rsid w:val="003D3349"/>
    <w:rsid w:val="003D5A5C"/>
    <w:rsid w:val="003F769D"/>
    <w:rsid w:val="004D1C2C"/>
    <w:rsid w:val="005527AE"/>
    <w:rsid w:val="005F3DB6"/>
    <w:rsid w:val="00653110"/>
    <w:rsid w:val="00660ECB"/>
    <w:rsid w:val="006732B4"/>
    <w:rsid w:val="00697687"/>
    <w:rsid w:val="0082741D"/>
    <w:rsid w:val="008E4588"/>
    <w:rsid w:val="009A32C8"/>
    <w:rsid w:val="009A4C69"/>
    <w:rsid w:val="009F33DE"/>
    <w:rsid w:val="00A30E52"/>
    <w:rsid w:val="00AD7A1C"/>
    <w:rsid w:val="00B73D02"/>
    <w:rsid w:val="00BE1E1D"/>
    <w:rsid w:val="00BF6B0E"/>
    <w:rsid w:val="00D47282"/>
    <w:rsid w:val="00D50503"/>
    <w:rsid w:val="00F54C64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E37A5-71EB-4C82-A2C0-A7FA0E9A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hu-HU" w:bidi="ar-SA"/>
    </w:rPr>
  </w:style>
  <w:style w:type="character" w:customStyle="1" w:styleId="SNDateCar">
    <w:name w:val="SNDate Car"/>
    <w:qFormat/>
    <w:rPr>
      <w:sz w:val="24"/>
      <w:szCs w:val="24"/>
      <w:lang w:val="hu-HU" w:bidi="ar-SA"/>
    </w:rPr>
  </w:style>
  <w:style w:type="character" w:customStyle="1" w:styleId="SNArticleCar">
    <w:name w:val="SNArticle Car"/>
    <w:qFormat/>
    <w:rPr>
      <w:b/>
      <w:sz w:val="24"/>
      <w:szCs w:val="24"/>
      <w:lang w:val="hu-HU" w:bidi="ar-SA"/>
    </w:rPr>
  </w:style>
  <w:style w:type="character" w:customStyle="1" w:styleId="SNenProjet">
    <w:name w:val="SNenProjet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basedOn w:val="Policepardfaut1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TextebrutCar">
    <w:name w:val="Texte brut Car"/>
    <w:qFormat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lang w:eastAsia="zh-C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qFormat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Textebrut1">
    <w:name w:val="Texte brut1"/>
    <w:basedOn w:val="Normal"/>
    <w:qFormat/>
    <w:rPr>
      <w:rFonts w:ascii="Calibri" w:eastAsia="Calibri" w:hAnsi="Calibri" w:cs="Calibri"/>
      <w:color w:val="000000"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rFonts w:eastAsia="Calibri"/>
      <w:color w:val="000000"/>
    </w:r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CB"/>
    <w:rPr>
      <w:rFonts w:ascii="Times New Roman" w:eastAsia="Times New Roman" w:hAnsi="Times New Roman" w:cs="Times New Roman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CB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MINEFI</Company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Ke, Tingting</cp:lastModifiedBy>
  <cp:revision>10</cp:revision>
  <cp:lastPrinted>2018-03-29T14:13:00Z</cp:lastPrinted>
  <dcterms:created xsi:type="dcterms:W3CDTF">2018-03-28T11:38:00Z</dcterms:created>
  <dcterms:modified xsi:type="dcterms:W3CDTF">2018-04-20T14:09:00Z</dcterms:modified>
  <dc:language>fr-FR</dc:language>
</cp:coreProperties>
</file>