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61F7" w14:textId="6570D42B" w:rsidR="00B767EF" w:rsidRPr="006E5BC5"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rPr>
      </w:pPr>
      <w:r w:rsidRPr="006E5BC5">
        <w:rPr>
          <w:rFonts w:ascii="Times New Roman" w:hAnsi="Times New Roman"/>
          <w:b/>
          <w:sz w:val="36"/>
        </w:rPr>
        <w:t>Erlass vom 10</w:t>
      </w:r>
      <w:r w:rsidR="009A68DA" w:rsidRPr="006E5BC5">
        <w:rPr>
          <w:rFonts w:ascii="Times New Roman" w:hAnsi="Times New Roman"/>
          <w:b/>
          <w:sz w:val="36"/>
        </w:rPr>
        <w:t>.</w:t>
      </w:r>
      <w:r w:rsidRPr="006E5BC5">
        <w:rPr>
          <w:rFonts w:ascii="Times New Roman" w:hAnsi="Times New Roman"/>
          <w:b/>
          <w:sz w:val="36"/>
        </w:rPr>
        <w:t xml:space="preserve"> Mai 2019 zur Änderung des Erlasses vom 25. Juni 1980 zur Genehmigung der allgemeinen Bestimmungen der Sicherheitsvorschriften zur Vorbeugung von aus Bränden und Paniken resultierenden Gefahren in Einrichtungen mit Publikumsverkehr (ERP)</w:t>
      </w:r>
    </w:p>
    <w:p w14:paraId="07833EEA" w14:textId="77777777" w:rsidR="00B767EF" w:rsidRPr="006E5BC5"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6E5BC5">
        <w:rPr>
          <w:rFonts w:ascii="Times New Roman" w:hAnsi="Times New Roman"/>
          <w:sz w:val="24"/>
        </w:rPr>
        <w:br/>
        <w:t xml:space="preserve">Betroffene Zielgruppen: Betreiber und Eigentümer von Einrichtungen mit Publikumsverkehr, Bauherren, Bauleiter, Architekten, Mitglieder von Sicherheitsausschüssen, technische Prüfer, Hersteller und Installateure von Anlagen, die Kältemittel enthalten. </w:t>
      </w:r>
      <w:r w:rsidRPr="006E5BC5">
        <w:rPr>
          <w:rFonts w:ascii="Times New Roman" w:hAnsi="Times New Roman"/>
          <w:sz w:val="24"/>
        </w:rPr>
        <w:br/>
        <w:t xml:space="preserve">Gegenstand: Änderung einer Bestimmung in Bezug auf die Verwendung von Kältemitteln in Räumen mit Publikumsverkehr. </w:t>
      </w:r>
      <w:r w:rsidRPr="006E5BC5">
        <w:rPr>
          <w:rFonts w:ascii="Times New Roman" w:hAnsi="Times New Roman"/>
          <w:sz w:val="24"/>
        </w:rPr>
        <w:br/>
        <w:t xml:space="preserve">Inkrafttreten: am Tag nach der Veröffentlichung im Amtsblatt der Französischen Republik. </w:t>
      </w:r>
      <w:r w:rsidRPr="006E5BC5">
        <w:rPr>
          <w:rFonts w:ascii="Times New Roman" w:hAnsi="Times New Roman"/>
          <w:sz w:val="24"/>
        </w:rPr>
        <w:br/>
        <w:t xml:space="preserve">Hinweis: In der Verordnung (EU) Nr. 517/2014 des Europäischen Parlaments und des Rates vom 16. April 2014 über fluorierte Treibhausgase ist eine Reduzierung dieser Gasemissionen und insbesondere der Mengen an Fluorkohlenwasserstoffen (FKW) vorgesehen. Bestimmte FKW werden in Heizungs-, Lüftungs-, Klima- und Warmwasserbereitungsgeräten oder anlagen in Einrichtungen mit Publikumsverkehr eingesetzt. Die im Bereich der Klimatisierung/Kühlung in Einrichtungen mit Publikumsverkehr eingesetzten Alternativen zu den FKW sind meistens brennbar. Durch den vorliegenden Erlass soll die Verwendung dieser Alternativen in Einrichtungen mit Publikumsverkehr erlaubt werden, sofern einige Maßnahmen zum Management der Risiken umgesetzt werden. Die in diesem Erlass festgelegten Bestimmungen für das Risikomanagement stützen sich auf die Stellungnahme der Generaldirektion für Risikoprävention (direction générale de la prévention des risques, DGPR) des Ministeriums für den ökologischen und solidarischen Wandel (ministère de la transition écologique et solidaire, MTES) und auf die von dem Nationalen Institut für Industrielle Umwelt und Risiken (institut national de l’environnement industriel et des risques, INERIS) durchgeführte Risikoanalyse. </w:t>
      </w:r>
      <w:r w:rsidRPr="006E5BC5">
        <w:rPr>
          <w:rFonts w:ascii="Times New Roman" w:hAnsi="Times New Roman"/>
          <w:sz w:val="24"/>
        </w:rPr>
        <w:br/>
        <w:t xml:space="preserve">Verweise: Der durch den vorliegenden Erlass geänderte Text kann in seiner durch diese Änderung entstandenen Fassung auf der Website Légifrance (http://www.legifrance.gouv.fr) abgerufen werden. </w:t>
      </w:r>
    </w:p>
    <w:p w14:paraId="511145FD" w14:textId="66DE5FC2" w:rsidR="00B767EF" w:rsidRPr="006E5BC5"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6E5BC5">
        <w:rPr>
          <w:rFonts w:ascii="Times New Roman" w:hAnsi="Times New Roman"/>
          <w:sz w:val="24"/>
        </w:rPr>
        <w:br/>
        <w:t>Der Staatsminister, Minister des Inneren,</w:t>
      </w:r>
      <w:r w:rsidRPr="006E5BC5">
        <w:rPr>
          <w:rFonts w:ascii="Times New Roman" w:hAnsi="Times New Roman"/>
          <w:sz w:val="24"/>
        </w:rPr>
        <w:br/>
        <w:t>gestützt auf die Richtlinie (EU) 2015/1535 des Europäischen Parlaments und des Rates vom 9. September 2015 über ein Informationsverfahren auf dem Gebiet der technischen Vorschriften und der Vorschriften für die Dienste der Informationsgesellschaft, insbesondere auf die Notifizierung Nr. 2018/467/F;</w:t>
      </w:r>
      <w:r w:rsidRPr="006E5BC5">
        <w:rPr>
          <w:rFonts w:ascii="Times New Roman" w:hAnsi="Times New Roman"/>
          <w:sz w:val="24"/>
        </w:rPr>
        <w:br/>
        <w:t>gestützt auf die Bau- und Wohnungsordnung, insbesondere auf Artikel R. 123-12;</w:t>
      </w:r>
      <w:r w:rsidRPr="006E5BC5">
        <w:rPr>
          <w:rFonts w:ascii="Times New Roman" w:hAnsi="Times New Roman"/>
          <w:sz w:val="24"/>
        </w:rPr>
        <w:br/>
        <w:t>gestützt auf den geänderten Erlass vom 25. Juni 1980 zur Genehmigung der allgemeinen Bestimmungen der Sicherheitsvorschriften zur Vorbeugung von aus Bränden und Paniken resultierenden Gefahren in Einrichtungen mit Publikumsverkehr;</w:t>
      </w:r>
      <w:r w:rsidRPr="006E5BC5">
        <w:rPr>
          <w:rFonts w:ascii="Times New Roman" w:hAnsi="Times New Roman"/>
          <w:sz w:val="24"/>
        </w:rPr>
        <w:br/>
        <w:t>Gestützt auf die Stellungnahme des Hohen Rates für Bauwesen und Energieeffizienz vom 16. Oktober 2018</w:t>
      </w:r>
      <w:r w:rsidR="001E5363" w:rsidRPr="006E5BC5">
        <w:rPr>
          <w:rFonts w:ascii="Times New Roman" w:hAnsi="Times New Roman"/>
          <w:sz w:val="24"/>
        </w:rPr>
        <w:t>;</w:t>
      </w:r>
      <w:r w:rsidRPr="006E5BC5">
        <w:rPr>
          <w:rFonts w:ascii="Times New Roman" w:hAnsi="Times New Roman"/>
          <w:sz w:val="24"/>
        </w:rPr>
        <w:br/>
        <w:t>Gestützt auf die Stellungnahme des Nationalen Rates für die Bewertung von Normen vom 11. Oktober 2018</w:t>
      </w:r>
      <w:r w:rsidR="001E5363" w:rsidRPr="006E5BC5">
        <w:rPr>
          <w:rFonts w:ascii="Times New Roman" w:hAnsi="Times New Roman"/>
          <w:sz w:val="24"/>
        </w:rPr>
        <w:t>;</w:t>
      </w:r>
      <w:r w:rsidRPr="006E5BC5">
        <w:rPr>
          <w:rFonts w:ascii="Times New Roman" w:hAnsi="Times New Roman"/>
          <w:sz w:val="24"/>
        </w:rPr>
        <w:br/>
        <w:t>Hiermit wird angeordnet:</w:t>
      </w:r>
    </w:p>
    <w:p w14:paraId="1EB6D07B" w14:textId="77777777" w:rsidR="00B767EF" w:rsidRPr="006E5BC5"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6E5BC5">
        <w:rPr>
          <w:rFonts w:ascii="Times New Roman" w:hAnsi="Times New Roman"/>
          <w:b/>
          <w:sz w:val="24"/>
        </w:rPr>
        <w:lastRenderedPageBreak/>
        <w:t>Artikel 1</w:t>
      </w:r>
    </w:p>
    <w:p w14:paraId="6668C2CB" w14:textId="77777777" w:rsidR="00B767EF" w:rsidRPr="006E5BC5"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E5BC5">
        <w:rPr>
          <w:rFonts w:ascii="Times New Roman" w:hAnsi="Times New Roman"/>
          <w:sz w:val="24"/>
        </w:rPr>
        <w:br/>
        <w:t>Buch II Titel I Kapitel V der Sicherheitsvorschriften zur Vorbeugung von aus Bränden und Paniken resultierenden Gefahren in Einrichtungen mit Publikumsverkehr, genehmigt durch den oben genannten Erlass vom 25. Juni 1980, wird nach Maßgabe der Artikel 2 und 3 geändert.</w:t>
      </w:r>
    </w:p>
    <w:p w14:paraId="5C05C3DB" w14:textId="77777777" w:rsidR="00B767EF" w:rsidRPr="006E5BC5"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6E5BC5">
        <w:rPr>
          <w:rFonts w:ascii="Times New Roman" w:hAnsi="Times New Roman"/>
          <w:b/>
          <w:sz w:val="24"/>
        </w:rPr>
        <w:t>Artikel 2</w:t>
      </w:r>
    </w:p>
    <w:p w14:paraId="643787CA" w14:textId="77777777" w:rsidR="00B767EF" w:rsidRPr="006E5BC5"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E5BC5">
        <w:rPr>
          <w:rFonts w:ascii="Times New Roman" w:hAnsi="Times New Roman"/>
          <w:sz w:val="24"/>
        </w:rPr>
        <w:br/>
        <w:t xml:space="preserve">Artikel CH 35 wird durch die folgenden Bestimmungen ersetzt: </w:t>
      </w:r>
      <w:r w:rsidRPr="006E5BC5">
        <w:rPr>
          <w:rFonts w:ascii="Times New Roman" w:hAnsi="Times New Roman"/>
          <w:sz w:val="24"/>
        </w:rPr>
        <w:br/>
        <w:t>„Geräte oder Anlagen, die Kältemittel enthalten</w:t>
      </w:r>
      <w:r w:rsidRPr="006E5BC5">
        <w:rPr>
          <w:rFonts w:ascii="Times New Roman" w:hAnsi="Times New Roman"/>
          <w:sz w:val="24"/>
        </w:rPr>
        <w:br/>
        <w:t xml:space="preserve">§ 1. Für die Anwendung des vorliegenden Artikels gelten folgende Begriffsbestimmungen: </w:t>
      </w:r>
    </w:p>
    <w:p w14:paraId="41614B6A" w14:textId="77777777" w:rsidR="00B767EF" w:rsidRPr="006E5BC5"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E5BC5">
        <w:rPr>
          <w:rFonts w:ascii="Times New Roman" w:hAnsi="Times New Roman"/>
          <w:sz w:val="24"/>
        </w:rPr>
        <w:br/>
        <w:t xml:space="preserve">– „Brennbare Kältemittel“ sind Fluide, die durch Flammenausbreitung bei einer Temperatur von 60 °C und einem Druck von 101,3 kPa gekennzeichnet sind; </w:t>
      </w:r>
      <w:r w:rsidRPr="006E5BC5">
        <w:rPr>
          <w:rFonts w:ascii="Times New Roman" w:hAnsi="Times New Roman"/>
          <w:sz w:val="24"/>
        </w:rPr>
        <w:br/>
        <w:t xml:space="preserve">– „toxische Kältemittel“ sind Fluide, bei denen eine Toxizität in Konzentrationen unter 400 ppm nachgewiesen wurde. </w:t>
      </w:r>
    </w:p>
    <w:p w14:paraId="4C970516" w14:textId="77777777" w:rsidR="00B767EF" w:rsidRPr="006E5BC5"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E5BC5">
        <w:rPr>
          <w:rFonts w:ascii="Times New Roman" w:hAnsi="Times New Roman"/>
          <w:sz w:val="24"/>
        </w:rPr>
        <w:br/>
        <w:t xml:space="preserve">Thermodynamische Geräte und Anlagen, die für die Heizung, Lüftung, Klimatisierung und Warmwasserbereitung bestimmt sind, müssen nachfolgenden Bestimmungen entsprechen. </w:t>
      </w:r>
      <w:r w:rsidRPr="006E5BC5">
        <w:rPr>
          <w:rFonts w:ascii="Times New Roman" w:hAnsi="Times New Roman"/>
          <w:sz w:val="24"/>
        </w:rPr>
        <w:br/>
        <w:t xml:space="preserve">§ 2. Anwendbare Bestimmungen, unabhängig von dem verwendeten Kältemittel. </w:t>
      </w:r>
      <w:r w:rsidRPr="006E5BC5">
        <w:rPr>
          <w:rFonts w:ascii="Times New Roman" w:hAnsi="Times New Roman"/>
          <w:sz w:val="24"/>
        </w:rPr>
        <w:br/>
        <w:t xml:space="preserve">Werden Anlagen mit eingebautem Kompressor in Räumen mit Publikumsverkehr aufgestellt, sind hermetische bzw. zugängliche hermetische Kompressoren einzusetzen. </w:t>
      </w:r>
      <w:r w:rsidRPr="006E5BC5">
        <w:rPr>
          <w:rFonts w:ascii="Times New Roman" w:hAnsi="Times New Roman"/>
          <w:sz w:val="24"/>
        </w:rPr>
        <w:br/>
        <w:t xml:space="preserve">Werden die Anlagen in einem Maschinenraum aufgestellt, müssen sich in diesem mindestens zwei in verschiedenen Höhen liegende Belüftungsöffnungen befinden, die aus dem Gebäude nach außen führen. Der Maschinenraum muss von der Heizungsanlage getrennt sein und darf keine direkte Verbindung zu den Räumen mit Publikumsverkehr haben. </w:t>
      </w:r>
      <w:r w:rsidRPr="006E5BC5">
        <w:rPr>
          <w:rFonts w:ascii="Times New Roman" w:hAnsi="Times New Roman"/>
          <w:sz w:val="24"/>
        </w:rPr>
        <w:br/>
        <w:t xml:space="preserve">Die Rohrleitungen für den Kältemitteltransport sind aus Metall. </w:t>
      </w:r>
      <w:r w:rsidRPr="006E5BC5">
        <w:rPr>
          <w:rFonts w:ascii="Times New Roman" w:hAnsi="Times New Roman"/>
          <w:sz w:val="24"/>
        </w:rPr>
        <w:br/>
        <w:t xml:space="preserve">Die für die Isolation der Rohrleitungen verwendete Dämmung muss in Räumen mit Publikumsverkehr und den entsprechenden Fluchtwegen aus einem Material der Klassifizierung M1 oder CL-s3, d0 und in den anderen Gebäudeteilen der Einrichtung aus einem Material der Klassifizierung M3 oder DL-s3, d0 sein. </w:t>
      </w:r>
      <w:r w:rsidRPr="006E5BC5">
        <w:rPr>
          <w:rFonts w:ascii="Times New Roman" w:hAnsi="Times New Roman"/>
          <w:sz w:val="24"/>
        </w:rPr>
        <w:br/>
        <w:t xml:space="preserve">Leitungen und Behälter, in denen sich die für den Kältetransport verwendeten Fluide befinden (auch „Kälteträger“ genannt), müssen den Bestimmungen von Artikel CH 25 § 3 entsprechen. </w:t>
      </w:r>
      <w:r w:rsidRPr="006E5BC5">
        <w:rPr>
          <w:rFonts w:ascii="Times New Roman" w:hAnsi="Times New Roman"/>
          <w:sz w:val="24"/>
        </w:rPr>
        <w:br/>
        <w:t xml:space="preserve">Die für Kältemittel- und Kälteträgerbehälter verwendeten Dämmungen müssen in Räumen mit Publikumsverkehr und den entsprechenden Fluchtwegen aus einem Material der Klassifizierung M1 oder B-s3, d0 und in den anderen Gebäudeteilen der Einrichtung aus einem Material der Klassifizierung M3 oder D-s3, d0 sein. </w:t>
      </w:r>
      <w:r w:rsidRPr="006E5BC5">
        <w:rPr>
          <w:rFonts w:ascii="Times New Roman" w:hAnsi="Times New Roman"/>
          <w:sz w:val="24"/>
        </w:rPr>
        <w:br/>
        <w:t xml:space="preserve">§ 3. Anwendbare Bestimmungen bei der Verwendung von brennbaren Kältemitteln. </w:t>
      </w:r>
      <w:r w:rsidRPr="006E5BC5">
        <w:rPr>
          <w:rFonts w:ascii="Times New Roman" w:hAnsi="Times New Roman"/>
          <w:sz w:val="24"/>
        </w:rPr>
        <w:br/>
        <w:t xml:space="preserve">Die Bestimmungen von § 3 gelten nicht für Anlagen mit hermetischer Versiegelung und CE-Kennzeichnung. </w:t>
      </w:r>
      <w:r w:rsidRPr="006E5BC5">
        <w:rPr>
          <w:rFonts w:ascii="Times New Roman" w:hAnsi="Times New Roman"/>
          <w:sz w:val="24"/>
        </w:rPr>
        <w:br/>
        <w:t xml:space="preserve">An Rohrleitungen, die brennbare Kältemittel transportieren, dürfen – außer für den </w:t>
      </w:r>
      <w:r w:rsidRPr="006E5BC5">
        <w:rPr>
          <w:rFonts w:ascii="Times New Roman" w:hAnsi="Times New Roman"/>
          <w:sz w:val="24"/>
        </w:rPr>
        <w:lastRenderedPageBreak/>
        <w:t xml:space="preserve">Anschluss von Einheiten – keine abnehmbaren Anschlussstutzen angebracht werden. </w:t>
      </w:r>
      <w:r w:rsidRPr="006E5BC5">
        <w:rPr>
          <w:rFonts w:ascii="Times New Roman" w:hAnsi="Times New Roman"/>
          <w:sz w:val="24"/>
        </w:rPr>
        <w:br/>
        <w:t xml:space="preserve">Rohrleitungen, die brennbare Kältemittel transportieren, sind gegen alle Bruchgefahren zu schützen. Diese Anforderung wird durch Anbringung der Rohrleitungen in einer Mindesthöhe von zwei Metern über dem Boden oder durch Anbringung eines mechanischen Schutzes erfüllt. </w:t>
      </w:r>
      <w:r w:rsidRPr="006E5BC5">
        <w:rPr>
          <w:rFonts w:ascii="Times New Roman" w:hAnsi="Times New Roman"/>
          <w:sz w:val="24"/>
        </w:rPr>
        <w:br/>
        <w:t>Der Innendurchmesser von Rohrleitungen, die brennbare Kältemittel in flüssiger Form transportieren, ist kleiner als 50 mm.</w:t>
      </w:r>
      <w:r w:rsidRPr="006E5BC5">
        <w:rPr>
          <w:rFonts w:ascii="Times New Roman" w:hAnsi="Times New Roman"/>
          <w:sz w:val="24"/>
        </w:rPr>
        <w:br/>
        <w:t xml:space="preserve">Ergänzend zu den in § 2 festgelegten Bedingungen müssen Dämmungen, die für die Isolation der inneren Einheiten, in denen sich brennbare Kältemittel befinden, eingesetzt werden, aus einem Material der Klassifizierung M1 oder B-s3, d0 sein. </w:t>
      </w:r>
      <w:r w:rsidRPr="006E5BC5">
        <w:rPr>
          <w:rFonts w:ascii="Times New Roman" w:hAnsi="Times New Roman"/>
          <w:sz w:val="24"/>
        </w:rPr>
        <w:br/>
        <w:t xml:space="preserve">Maschinenräume sind Räume mit mittleren Risiken im Sinn von Artikel CO 28 § 2. </w:t>
      </w:r>
      <w:r w:rsidRPr="006E5BC5">
        <w:rPr>
          <w:rFonts w:ascii="Times New Roman" w:hAnsi="Times New Roman"/>
          <w:sz w:val="24"/>
        </w:rPr>
        <w:br/>
        <w:t xml:space="preserve">a) Sperrzone. </w:t>
      </w:r>
      <w:r w:rsidRPr="006E5BC5">
        <w:rPr>
          <w:rFonts w:ascii="Times New Roman" w:hAnsi="Times New Roman"/>
          <w:sz w:val="24"/>
        </w:rPr>
        <w:br/>
        <w:t xml:space="preserve">Im Umkreis der abnehmbaren Anschlussstutzen von Einheiten, in denen sich brennbare Kältemittel befinden, wird eine Zone eingerichtet, in der sich keinerlei Zündquellen und insbesondere keine Flammen oder Geräte mit möglicher Funkenbildung befinden dürfen, um jegliche Entzündungsgefahr bei einem Leck zu vermeiden. </w:t>
      </w:r>
      <w:r w:rsidRPr="006E5BC5">
        <w:rPr>
          <w:rFonts w:ascii="Times New Roman" w:hAnsi="Times New Roman"/>
          <w:sz w:val="24"/>
        </w:rPr>
        <w:br/>
        <w:t xml:space="preserve">In der nachstehenden Tabelle ist der Radius dieser Sperrzone festgelegt, je nachdem, ob sich die Anlagen innerhalb oder außerhalb der Einrichtung befinden, sowie je nach Verbrennungseigenschaften des Fluids: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49"/>
        <w:gridCol w:w="1742"/>
        <w:gridCol w:w="1973"/>
        <w:gridCol w:w="1992"/>
      </w:tblGrid>
      <w:tr w:rsidR="00B767EF" w:rsidRPr="006E5BC5" w14:paraId="4C9966B3" w14:textId="77777777"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0631" w14:textId="0DD82B3C" w:rsidR="00B767EF" w:rsidRPr="006E5BC5" w:rsidRDefault="00B767EF" w:rsidP="00B767EF">
            <w:pPr>
              <w:spacing w:after="0" w:line="240" w:lineRule="auto"/>
              <w:jc w:val="center"/>
              <w:rPr>
                <w:rFonts w:ascii="Times New Roman" w:eastAsia="Times New Roman" w:hAnsi="Times New Roman" w:cs="Times New Roman"/>
                <w:b/>
                <w:bCs/>
                <w:sz w:val="24"/>
                <w:szCs w:val="24"/>
              </w:rPr>
            </w:pPr>
            <w:r w:rsidRPr="006E5BC5">
              <w:rPr>
                <w:rFonts w:ascii="Times New Roman" w:hAnsi="Times New Roman"/>
                <w:b/>
                <w:sz w:val="24"/>
              </w:rPr>
              <w:br/>
              <w:t xml:space="preserve">Innendurchmesser D der Rohrleitung (in mm), in der das Fluid in flüssiger Phase transportiert wird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19608A" w14:textId="77777777" w:rsidR="00B767EF" w:rsidRPr="006E5BC5" w:rsidRDefault="00B767EF" w:rsidP="00B767EF">
            <w:pPr>
              <w:spacing w:after="0" w:line="240" w:lineRule="auto"/>
              <w:jc w:val="center"/>
              <w:rPr>
                <w:rFonts w:ascii="Times New Roman" w:eastAsia="Times New Roman" w:hAnsi="Times New Roman" w:cs="Times New Roman"/>
                <w:b/>
                <w:bCs/>
                <w:sz w:val="24"/>
                <w:szCs w:val="24"/>
              </w:rPr>
            </w:pPr>
            <w:r w:rsidRPr="006E5BC5">
              <w:rPr>
                <w:rFonts w:ascii="Times New Roman" w:hAnsi="Times New Roman"/>
                <w:b/>
                <w:sz w:val="24"/>
              </w:rPr>
              <w:br/>
              <w:t xml:space="preserve">Radius (m) </w:t>
            </w:r>
          </w:p>
        </w:tc>
      </w:tr>
      <w:tr w:rsidR="00B767EF" w:rsidRPr="006E5BC5" w14:paraId="052FA11E" w14:textId="77777777"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AF54" w14:textId="77777777" w:rsidR="00B767EF" w:rsidRPr="006E5BC5"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3FC3C" w14:textId="703FD139" w:rsidR="00B767EF" w:rsidRPr="006E5BC5" w:rsidRDefault="00B767EF" w:rsidP="00B767EF">
            <w:pPr>
              <w:spacing w:after="0" w:line="240" w:lineRule="auto"/>
              <w:jc w:val="center"/>
              <w:rPr>
                <w:rFonts w:ascii="Times New Roman" w:eastAsia="Times New Roman" w:hAnsi="Times New Roman" w:cs="Times New Roman"/>
                <w:b/>
                <w:bCs/>
                <w:sz w:val="24"/>
                <w:szCs w:val="24"/>
              </w:rPr>
            </w:pPr>
            <w:r w:rsidRPr="006E5BC5">
              <w:rPr>
                <w:rFonts w:ascii="Times New Roman" w:hAnsi="Times New Roman"/>
                <w:b/>
                <w:sz w:val="24"/>
              </w:rPr>
              <w:br/>
              <w:t>Anlagen im Außenbereich</w:t>
            </w:r>
            <w:r w:rsidR="00F634DE" w:rsidRPr="006E5BC5">
              <w:rPr>
                <w:rFonts w:ascii="Times New Roman" w:hAnsi="Times New Roman"/>
                <w:b/>
                <w:sz w:val="24"/>
              </w:rPr>
              <w:t xml:space="preserve"> </w:t>
            </w:r>
            <w:r w:rsidRPr="006E5BC5">
              <w:rPr>
                <w:rFonts w:ascii="Times New Roman" w:hAnsi="Times New Roman"/>
                <w:b/>
                <w:sz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7804" w14:textId="5B4A73A3" w:rsidR="00B767EF" w:rsidRPr="006E5BC5" w:rsidRDefault="00B767EF" w:rsidP="00B767EF">
            <w:pPr>
              <w:spacing w:after="0" w:line="240" w:lineRule="auto"/>
              <w:jc w:val="center"/>
              <w:rPr>
                <w:rFonts w:ascii="Times New Roman" w:eastAsia="Times New Roman" w:hAnsi="Times New Roman" w:cs="Times New Roman"/>
                <w:b/>
                <w:bCs/>
                <w:sz w:val="24"/>
                <w:szCs w:val="24"/>
              </w:rPr>
            </w:pPr>
            <w:r w:rsidRPr="006E5BC5">
              <w:rPr>
                <w:rFonts w:ascii="Times New Roman" w:hAnsi="Times New Roman"/>
                <w:b/>
                <w:sz w:val="24"/>
              </w:rPr>
              <w:br/>
              <w:t>Anlagen im Innenbereich</w:t>
            </w:r>
            <w:r w:rsidR="00F634DE" w:rsidRPr="006E5BC5">
              <w:rPr>
                <w:rFonts w:ascii="Times New Roman" w:hAnsi="Times New Roman"/>
                <w:b/>
                <w:sz w:val="24"/>
              </w:rPr>
              <w:t xml:space="preserve"> </w:t>
            </w:r>
            <w:r w:rsidRPr="006E5BC5">
              <w:rPr>
                <w:rFonts w:ascii="Times New Roman" w:hAnsi="Times New Roman"/>
                <w:b/>
                <w:sz w:val="24"/>
              </w:rPr>
              <w:t>(2)</w:t>
            </w:r>
            <w:r w:rsidRPr="006E5BC5">
              <w:rPr>
                <w:rFonts w:ascii="Times New Roman" w:hAnsi="Times New Roman"/>
                <w:b/>
                <w:sz w:val="24"/>
              </w:rPr>
              <w:br/>
              <w:t xml:space="preserve">LII ≥ 0,10 kg/m3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2B6" w14:textId="52431ED6" w:rsidR="00B767EF" w:rsidRPr="006E5BC5" w:rsidRDefault="00B767EF" w:rsidP="00B767EF">
            <w:pPr>
              <w:spacing w:after="0" w:line="240" w:lineRule="auto"/>
              <w:jc w:val="center"/>
              <w:rPr>
                <w:rFonts w:ascii="Times New Roman" w:eastAsia="Times New Roman" w:hAnsi="Times New Roman" w:cs="Times New Roman"/>
                <w:b/>
                <w:bCs/>
                <w:sz w:val="24"/>
                <w:szCs w:val="24"/>
              </w:rPr>
            </w:pPr>
            <w:r w:rsidRPr="006E5BC5">
              <w:rPr>
                <w:rFonts w:ascii="Times New Roman" w:hAnsi="Times New Roman"/>
                <w:b/>
                <w:sz w:val="24"/>
              </w:rPr>
              <w:br/>
              <w:t>Anlagen im Innenbereich</w:t>
            </w:r>
            <w:r w:rsidR="00F634DE" w:rsidRPr="006E5BC5">
              <w:rPr>
                <w:rFonts w:ascii="Times New Roman" w:hAnsi="Times New Roman"/>
                <w:b/>
                <w:sz w:val="24"/>
              </w:rPr>
              <w:t xml:space="preserve"> </w:t>
            </w:r>
            <w:r w:rsidRPr="006E5BC5">
              <w:rPr>
                <w:rFonts w:ascii="Times New Roman" w:hAnsi="Times New Roman"/>
                <w:b/>
                <w:sz w:val="24"/>
              </w:rPr>
              <w:t>(3)</w:t>
            </w:r>
            <w:r w:rsidRPr="006E5BC5">
              <w:rPr>
                <w:rFonts w:ascii="Times New Roman" w:hAnsi="Times New Roman"/>
                <w:b/>
                <w:sz w:val="24"/>
              </w:rPr>
              <w:br/>
              <w:t xml:space="preserve">LII &lt; 0,10 kg/m3 </w:t>
            </w:r>
          </w:p>
        </w:tc>
      </w:tr>
      <w:tr w:rsidR="00B767EF" w:rsidRPr="006E5BC5" w14:paraId="05AF61DD"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4BCF1" w14:textId="77777777" w:rsidR="00B767EF" w:rsidRPr="006E5BC5" w:rsidRDefault="00B767EF" w:rsidP="00B767EF">
            <w:pPr>
              <w:spacing w:after="0" w:line="240" w:lineRule="auto"/>
              <w:rPr>
                <w:rFonts w:ascii="Times New Roman" w:eastAsia="Times New Roman" w:hAnsi="Times New Roman" w:cs="Times New Roman"/>
                <w:sz w:val="24"/>
                <w:szCs w:val="24"/>
              </w:rPr>
            </w:pPr>
            <w:r w:rsidRPr="006E5BC5">
              <w:rPr>
                <w:rFonts w:ascii="Times New Roman" w:hAnsi="Times New Roman"/>
                <w:sz w:val="24"/>
              </w:rPr>
              <w:b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1023" w14:textId="77777777" w:rsidR="00B767EF" w:rsidRPr="006E5BC5" w:rsidRDefault="00B767EF" w:rsidP="00B767EF">
            <w:pPr>
              <w:spacing w:after="0" w:line="240" w:lineRule="auto"/>
              <w:rPr>
                <w:rFonts w:ascii="Times New Roman" w:eastAsia="Times New Roman" w:hAnsi="Times New Roman" w:cs="Times New Roman"/>
                <w:sz w:val="24"/>
                <w:szCs w:val="24"/>
              </w:rPr>
            </w:pPr>
            <w:r w:rsidRPr="006E5BC5">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D76" w14:textId="77777777" w:rsidR="00B767EF" w:rsidRPr="006E5BC5" w:rsidRDefault="00B767EF" w:rsidP="00B767EF">
            <w:pPr>
              <w:spacing w:after="0" w:line="240" w:lineRule="auto"/>
              <w:rPr>
                <w:rFonts w:ascii="Times New Roman" w:eastAsia="Times New Roman" w:hAnsi="Times New Roman" w:cs="Times New Roman"/>
                <w:sz w:val="24"/>
                <w:szCs w:val="24"/>
              </w:rPr>
            </w:pPr>
            <w:r w:rsidRPr="006E5BC5">
              <w:rPr>
                <w:rFonts w:ascii="Times New Roman" w:hAnsi="Times New Roman"/>
                <w:sz w:val="24"/>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5D2D" w14:textId="77777777" w:rsidR="00B767EF" w:rsidRPr="006E5BC5" w:rsidRDefault="00B767EF" w:rsidP="00B767EF">
            <w:pPr>
              <w:spacing w:after="0" w:line="240" w:lineRule="auto"/>
              <w:rPr>
                <w:rFonts w:ascii="Times New Roman" w:eastAsia="Times New Roman" w:hAnsi="Times New Roman" w:cs="Times New Roman"/>
                <w:sz w:val="24"/>
                <w:szCs w:val="24"/>
              </w:rPr>
            </w:pPr>
            <w:r w:rsidRPr="006E5BC5">
              <w:rPr>
                <w:rFonts w:ascii="Times New Roman" w:hAnsi="Times New Roman"/>
                <w:sz w:val="24"/>
              </w:rPr>
              <w:br/>
              <w:t xml:space="preserve">2 </w:t>
            </w:r>
          </w:p>
        </w:tc>
      </w:tr>
      <w:tr w:rsidR="00B767EF" w:rsidRPr="006E5BC5" w14:paraId="3650889A"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A1EF2" w14:textId="77777777" w:rsidR="00B767EF" w:rsidRPr="006E5BC5" w:rsidRDefault="00B767EF" w:rsidP="00B767EF">
            <w:pPr>
              <w:spacing w:after="0" w:line="240" w:lineRule="auto"/>
              <w:rPr>
                <w:rFonts w:ascii="Times New Roman" w:eastAsia="Times New Roman" w:hAnsi="Times New Roman" w:cs="Times New Roman"/>
                <w:sz w:val="24"/>
                <w:szCs w:val="24"/>
              </w:rPr>
            </w:pPr>
            <w:r w:rsidRPr="006E5BC5">
              <w:rPr>
                <w:rFonts w:ascii="Times New Roman" w:hAnsi="Times New Roman"/>
                <w:sz w:val="24"/>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0494" w14:textId="77777777" w:rsidR="00B767EF" w:rsidRPr="006E5BC5" w:rsidRDefault="00B767EF" w:rsidP="00B767EF">
            <w:pPr>
              <w:spacing w:after="0" w:line="240" w:lineRule="auto"/>
              <w:rPr>
                <w:rFonts w:ascii="Times New Roman" w:eastAsia="Times New Roman" w:hAnsi="Times New Roman" w:cs="Times New Roman"/>
                <w:sz w:val="24"/>
                <w:szCs w:val="24"/>
              </w:rPr>
            </w:pPr>
            <w:r w:rsidRPr="006E5BC5">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735C" w14:textId="77777777" w:rsidR="00B767EF" w:rsidRPr="006E5BC5" w:rsidRDefault="00B767EF" w:rsidP="00B767EF">
            <w:pPr>
              <w:spacing w:after="0" w:line="240" w:lineRule="auto"/>
              <w:rPr>
                <w:rFonts w:ascii="Times New Roman" w:eastAsia="Times New Roman" w:hAnsi="Times New Roman" w:cs="Times New Roman"/>
                <w:sz w:val="24"/>
                <w:szCs w:val="24"/>
              </w:rPr>
            </w:pPr>
            <w:r w:rsidRPr="006E5BC5">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8935" w14:textId="77777777" w:rsidR="00B767EF" w:rsidRPr="006E5BC5" w:rsidRDefault="00B767EF" w:rsidP="00B767EF">
            <w:pPr>
              <w:spacing w:after="0" w:line="240" w:lineRule="auto"/>
              <w:rPr>
                <w:rFonts w:ascii="Times New Roman" w:eastAsia="Times New Roman" w:hAnsi="Times New Roman" w:cs="Times New Roman"/>
                <w:sz w:val="24"/>
                <w:szCs w:val="24"/>
              </w:rPr>
            </w:pPr>
            <w:r w:rsidRPr="006E5BC5">
              <w:rPr>
                <w:rFonts w:ascii="Times New Roman" w:hAnsi="Times New Roman"/>
                <w:sz w:val="24"/>
              </w:rPr>
              <w:br/>
              <w:t xml:space="preserve">4 </w:t>
            </w:r>
          </w:p>
        </w:tc>
      </w:tr>
      <w:tr w:rsidR="00B767EF" w:rsidRPr="006E5BC5" w14:paraId="1020D8A8"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4753" w14:textId="77777777" w:rsidR="00B767EF" w:rsidRPr="006E5BC5" w:rsidRDefault="00B767EF" w:rsidP="00B767EF">
            <w:pPr>
              <w:spacing w:after="0" w:line="240" w:lineRule="auto"/>
              <w:rPr>
                <w:rFonts w:ascii="Times New Roman" w:eastAsia="Times New Roman" w:hAnsi="Times New Roman" w:cs="Times New Roman"/>
                <w:sz w:val="24"/>
                <w:szCs w:val="24"/>
              </w:rPr>
            </w:pPr>
            <w:r w:rsidRPr="006E5BC5">
              <w:rPr>
                <w:rFonts w:ascii="Times New Roman" w:hAnsi="Times New Roman"/>
                <w:sz w:val="24"/>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AA6" w14:textId="77777777" w:rsidR="00B767EF" w:rsidRPr="006E5BC5" w:rsidRDefault="00B767EF" w:rsidP="00B767EF">
            <w:pPr>
              <w:spacing w:after="0" w:line="240" w:lineRule="auto"/>
              <w:rPr>
                <w:rFonts w:ascii="Times New Roman" w:eastAsia="Times New Roman" w:hAnsi="Times New Roman" w:cs="Times New Roman"/>
                <w:sz w:val="24"/>
                <w:szCs w:val="24"/>
              </w:rPr>
            </w:pPr>
            <w:r w:rsidRPr="006E5BC5">
              <w:rPr>
                <w:rFonts w:ascii="Times New Roman" w:hAnsi="Times New Roman"/>
                <w:sz w:val="24"/>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B77CA" w14:textId="77777777" w:rsidR="00B767EF" w:rsidRPr="006E5BC5" w:rsidRDefault="00B767EF" w:rsidP="00B767EF">
            <w:pPr>
              <w:spacing w:after="0" w:line="240" w:lineRule="auto"/>
              <w:rPr>
                <w:rFonts w:ascii="Times New Roman" w:eastAsia="Times New Roman" w:hAnsi="Times New Roman" w:cs="Times New Roman"/>
                <w:sz w:val="24"/>
                <w:szCs w:val="24"/>
              </w:rPr>
            </w:pPr>
            <w:r w:rsidRPr="006E5BC5">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965" w14:textId="77777777" w:rsidR="00B767EF" w:rsidRPr="006E5BC5" w:rsidRDefault="00B767EF" w:rsidP="00B767EF">
            <w:pPr>
              <w:spacing w:after="0" w:line="240" w:lineRule="auto"/>
              <w:rPr>
                <w:rFonts w:ascii="Times New Roman" w:eastAsia="Times New Roman" w:hAnsi="Times New Roman" w:cs="Times New Roman"/>
                <w:sz w:val="24"/>
                <w:szCs w:val="24"/>
              </w:rPr>
            </w:pPr>
            <w:r w:rsidRPr="006E5BC5">
              <w:rPr>
                <w:rFonts w:ascii="Times New Roman" w:hAnsi="Times New Roman"/>
                <w:sz w:val="24"/>
              </w:rPr>
              <w:br/>
              <w:t xml:space="preserve">10 </w:t>
            </w:r>
          </w:p>
        </w:tc>
      </w:tr>
    </w:tbl>
    <w:p w14:paraId="57246B03" w14:textId="270734E7" w:rsidR="00B767EF" w:rsidRPr="006E5BC5"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E5BC5">
        <w:rPr>
          <w:rFonts w:ascii="Times New Roman" w:hAnsi="Times New Roman"/>
          <w:sz w:val="24"/>
        </w:rPr>
        <w:br/>
        <w:t xml:space="preserve">b) Zulässige Höchstmenge. </w:t>
      </w:r>
      <w:r w:rsidRPr="006E5BC5">
        <w:rPr>
          <w:rFonts w:ascii="Times New Roman" w:hAnsi="Times New Roman"/>
          <w:sz w:val="24"/>
        </w:rPr>
        <w:br/>
        <w:t xml:space="preserve">Die höchstzulässige Gesamtmenge an brennbarem Kältemittel in einem Kältekreislauf wird begrenzt, um das Risiko zu vermeiden, dass bei einem Leck in dem Raum die untere Zündgrenze erreicht wird. </w:t>
      </w:r>
      <w:r w:rsidRPr="006E5BC5">
        <w:rPr>
          <w:rFonts w:ascii="Times New Roman" w:hAnsi="Times New Roman"/>
          <w:sz w:val="24"/>
        </w:rPr>
        <w:br/>
        <w:t xml:space="preserve">Diese Menge wird mithilfe folgender Formel berechnet: </w:t>
      </w:r>
      <w:r w:rsidRPr="006E5BC5">
        <w:rPr>
          <w:rFonts w:ascii="Times New Roman" w:hAnsi="Times New Roman"/>
          <w:sz w:val="24"/>
        </w:rPr>
        <w:br/>
        <w:t>mmax = 2,5 x LII5/4 x h0 x A1/2</w:t>
      </w:r>
      <w:r w:rsidRPr="006E5BC5">
        <w:rPr>
          <w:rFonts w:ascii="Times New Roman" w:hAnsi="Times New Roman"/>
          <w:sz w:val="24"/>
        </w:rPr>
        <w:br/>
        <w:t xml:space="preserve">Wobei: </w:t>
      </w:r>
      <w:r w:rsidRPr="006E5BC5">
        <w:rPr>
          <w:rFonts w:ascii="Times New Roman" w:hAnsi="Times New Roman"/>
          <w:sz w:val="24"/>
        </w:rPr>
        <w:br/>
        <w:t xml:space="preserve">mmax (kg): höchstzulässige Gesamtmenge an brennbarem Kältemittel. </w:t>
      </w:r>
      <w:r w:rsidRPr="006E5BC5">
        <w:rPr>
          <w:rFonts w:ascii="Times New Roman" w:hAnsi="Times New Roman"/>
          <w:sz w:val="24"/>
        </w:rPr>
        <w:br/>
        <w:t xml:space="preserve">LII (kg/m3): untere Zündgrenze. </w:t>
      </w:r>
      <w:r w:rsidRPr="006E5BC5">
        <w:rPr>
          <w:rFonts w:ascii="Times New Roman" w:hAnsi="Times New Roman"/>
          <w:sz w:val="24"/>
        </w:rPr>
        <w:br/>
        <w:t xml:space="preserve">h0: Koeffizient in Abhängigkeit von der Höhe der tiefstgelegenen Geräte in dem Raum, mit einem Wert von: </w:t>
      </w:r>
      <w:r w:rsidRPr="006E5BC5">
        <w:rPr>
          <w:rFonts w:ascii="Times New Roman" w:hAnsi="Times New Roman"/>
          <w:sz w:val="24"/>
        </w:rPr>
        <w:br/>
        <w:t>0,6 für Standort auf dem Boden</w:t>
      </w:r>
      <w:r w:rsidR="00C62939" w:rsidRPr="006E5BC5">
        <w:rPr>
          <w:rFonts w:ascii="Times New Roman" w:hAnsi="Times New Roman"/>
          <w:sz w:val="24"/>
        </w:rPr>
        <w:t>,</w:t>
      </w:r>
      <w:r w:rsidRPr="006E5BC5">
        <w:rPr>
          <w:rFonts w:ascii="Times New Roman" w:hAnsi="Times New Roman"/>
          <w:sz w:val="24"/>
        </w:rPr>
        <w:br/>
        <w:t>1,1 bei Montage am Fenster,</w:t>
      </w:r>
      <w:r w:rsidRPr="006E5BC5">
        <w:rPr>
          <w:rFonts w:ascii="Times New Roman" w:hAnsi="Times New Roman"/>
          <w:sz w:val="24"/>
        </w:rPr>
        <w:br/>
        <w:t>1,8 bei Anbringung an der Wand,</w:t>
      </w:r>
      <w:r w:rsidRPr="006E5BC5">
        <w:rPr>
          <w:rFonts w:ascii="Times New Roman" w:hAnsi="Times New Roman"/>
          <w:sz w:val="24"/>
        </w:rPr>
        <w:br/>
      </w:r>
      <w:r w:rsidRPr="006E5BC5">
        <w:rPr>
          <w:rFonts w:ascii="Times New Roman" w:hAnsi="Times New Roman"/>
          <w:sz w:val="24"/>
        </w:rPr>
        <w:lastRenderedPageBreak/>
        <w:t>2,2 bei Montage an der Decke,</w:t>
      </w:r>
      <w:r w:rsidRPr="006E5BC5">
        <w:rPr>
          <w:rFonts w:ascii="Times New Roman" w:hAnsi="Times New Roman"/>
          <w:sz w:val="24"/>
        </w:rPr>
        <w:br/>
        <w:t>Höhe des tiefstgelegenen Anschlusses in dem Raum bei mehr als 2,2 m.</w:t>
      </w:r>
      <w:r w:rsidRPr="006E5BC5">
        <w:rPr>
          <w:rFonts w:ascii="Times New Roman" w:hAnsi="Times New Roman"/>
          <w:sz w:val="24"/>
        </w:rPr>
        <w:br/>
        <w:t xml:space="preserve">A (m²): Fläche des Raums. </w:t>
      </w:r>
      <w:r w:rsidRPr="006E5BC5">
        <w:rPr>
          <w:rFonts w:ascii="Times New Roman" w:hAnsi="Times New Roman"/>
          <w:sz w:val="24"/>
        </w:rPr>
        <w:br/>
        <w:t xml:space="preserve">Wenn die Anlagenkonzeption ein Absperrventil für den Kältekreislauf und ein sensorgesteuertes Belüftungssystem beinhaltet, um bei einem Leck in dem Raum das Erreichen der unteren Zündgrenze zu verhindern, wird keine Mengenbegrenzung für brennbare Kältemittel festgelegt. </w:t>
      </w:r>
      <w:r w:rsidRPr="006E5BC5">
        <w:rPr>
          <w:rFonts w:ascii="Times New Roman" w:hAnsi="Times New Roman"/>
          <w:sz w:val="24"/>
        </w:rPr>
        <w:br/>
        <w:t>Keine Mengenbegrenzung für brennbare Kältemittel wird festgelegt, wenn die Anlagen, in denen diese Fluide verwendet werden, in einem Maschinenraum aufgestellt sind und dieser Maschinenraum folgende Ausstattung besitzt:</w:t>
      </w:r>
    </w:p>
    <w:p w14:paraId="2B2A44F5" w14:textId="77777777" w:rsidR="00B767EF" w:rsidRPr="006E5BC5"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E5BC5">
        <w:rPr>
          <w:rFonts w:ascii="Times New Roman" w:hAnsi="Times New Roman"/>
          <w:sz w:val="24"/>
        </w:rPr>
        <w:br/>
        <w:t>– eine Meldeeinrichtung, durch die bei einem Leck das mechanische Gebläse ausgelöst wird und die Fluidzirkulation in dem Kreislauf zur Begrenzung der Leckagezeit unterbrochen wird, und zwar entweder durch eine vollständige Abschaltung des thermodynamischen Systems oder durch Aktivierung eines Magnetventils. Diese Meldeeinrichtung besteht aus einer Meldezentrale und zwei eingebauten Sensoren gemäß der Art des verwendeten Fluids. Eine automatische Warneinrichtung meldet jede Störung des Meldesystems und des Gebläses;</w:t>
      </w:r>
      <w:r w:rsidRPr="006E5BC5">
        <w:rPr>
          <w:rFonts w:ascii="Times New Roman" w:hAnsi="Times New Roman"/>
          <w:sz w:val="24"/>
        </w:rPr>
        <w:br/>
        <w:t xml:space="preserve">– ein mechanisches Gebläse, durch das eine ausreichende stündliche Luftwechselrate sichergestellt wird, damit die untere Zündgrenze nach erfolgtem Luftwechsel nicht erreicht wird. Diese Einrichtung entspricht der Kategorie 3 gemäß der Richtlinie 2014/34/EU über Geräte und Schutzsysteme zur bestimmungsgemäßen Verwendung in explosionsgefährdeten Bereichen. </w:t>
      </w:r>
    </w:p>
    <w:p w14:paraId="0FA42FF1" w14:textId="77777777" w:rsidR="00B767EF" w:rsidRPr="006E5BC5"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E5BC5">
        <w:rPr>
          <w:rFonts w:ascii="Times New Roman" w:hAnsi="Times New Roman"/>
          <w:sz w:val="24"/>
        </w:rPr>
        <w:br/>
        <w:t xml:space="preserve">c) Bei der Installation von thermodynamischen Anlagen und Systemen sind die Maßgaben des Herstellers zu beachten. </w:t>
      </w:r>
      <w:r w:rsidRPr="006E5BC5">
        <w:rPr>
          <w:rFonts w:ascii="Times New Roman" w:hAnsi="Times New Roman"/>
          <w:sz w:val="24"/>
        </w:rPr>
        <w:br/>
        <w:t>Es ist ein Dokument zu erstellen, in dem die Anlagenbeschreibungen zusammengefasst werden und das für Verwaltungsbehörden und intervenierende Unternehmen bereitgehalten wird, die dieses vor jedem Eingriff konsultieren müssen. Es enthält insbesondere folgende Details:</w:t>
      </w:r>
    </w:p>
    <w:p w14:paraId="28CFE839" w14:textId="663C358F" w:rsidR="00B767EF" w:rsidRPr="006E5BC5"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E5BC5">
        <w:rPr>
          <w:rFonts w:ascii="Times New Roman" w:hAnsi="Times New Roman"/>
          <w:sz w:val="24"/>
        </w:rPr>
        <w:br/>
        <w:t>– ein Plan des Leitungsnetzes;</w:t>
      </w:r>
      <w:r w:rsidRPr="006E5BC5">
        <w:rPr>
          <w:rFonts w:ascii="Times New Roman" w:hAnsi="Times New Roman"/>
          <w:sz w:val="24"/>
        </w:rPr>
        <w:br/>
      </w:r>
      <w:r w:rsidR="00C62939" w:rsidRPr="006E5BC5">
        <w:rPr>
          <w:rFonts w:ascii="Times New Roman" w:hAnsi="Times New Roman"/>
          <w:sz w:val="24"/>
        </w:rPr>
        <w:t xml:space="preserve">– </w:t>
      </w:r>
      <w:r w:rsidRPr="006E5BC5">
        <w:rPr>
          <w:rFonts w:ascii="Times New Roman" w:hAnsi="Times New Roman"/>
          <w:sz w:val="24"/>
        </w:rPr>
        <w:t>ein synoptisches Diagramm der Anlage;</w:t>
      </w:r>
      <w:r w:rsidRPr="006E5BC5">
        <w:rPr>
          <w:rFonts w:ascii="Times New Roman" w:hAnsi="Times New Roman"/>
          <w:sz w:val="24"/>
        </w:rPr>
        <w:br/>
        <w:t>– eine detaillierte und begründete Berechnung der Kältemittelhöchstmenge(n);</w:t>
      </w:r>
      <w:r w:rsidRPr="006E5BC5">
        <w:rPr>
          <w:rFonts w:ascii="Times New Roman" w:hAnsi="Times New Roman"/>
          <w:sz w:val="24"/>
        </w:rPr>
        <w:br/>
        <w:t>– Anordnungsplan der Sicherheitseinrichtungen (Melder, Magnetventile, Belüftungen …);</w:t>
      </w:r>
      <w:r w:rsidRPr="006E5BC5">
        <w:rPr>
          <w:rFonts w:ascii="Times New Roman" w:hAnsi="Times New Roman"/>
          <w:sz w:val="24"/>
        </w:rPr>
        <w:br/>
        <w:t>– theoretische Durchsatzmengen der eventuellen Belüftungen bei Überschreitung der berechneten Höchstmenge;</w:t>
      </w:r>
      <w:r w:rsidRPr="006E5BC5">
        <w:rPr>
          <w:rFonts w:ascii="Times New Roman" w:hAnsi="Times New Roman"/>
          <w:sz w:val="24"/>
        </w:rPr>
        <w:br/>
        <w:t>– Nachweis der Kalibrierung und Zuverlässigkeit der Meldeeinrichtung sowie der Luftwechselrate des mechanischen Gebläses;</w:t>
      </w:r>
      <w:r w:rsidRPr="006E5BC5">
        <w:rPr>
          <w:rFonts w:ascii="Times New Roman" w:hAnsi="Times New Roman"/>
          <w:sz w:val="24"/>
        </w:rPr>
        <w:br/>
        <w:t xml:space="preserve">– eine Korrelationstabelle für die verschiedenen Sicherheitseinrichtungen bei Überschreitung der berechneten Höchstmenge. </w:t>
      </w:r>
    </w:p>
    <w:p w14:paraId="4B0CAAF9" w14:textId="77777777" w:rsidR="00B767EF" w:rsidRPr="006E5BC5"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E5BC5">
        <w:rPr>
          <w:rFonts w:ascii="Times New Roman" w:hAnsi="Times New Roman"/>
          <w:sz w:val="24"/>
        </w:rPr>
        <w:br/>
        <w:t xml:space="preserve">Dieses Dokument wird nach allen Änderungen an den Anlagen oder Räumen aktualisiert. </w:t>
      </w:r>
      <w:r w:rsidRPr="006E5BC5">
        <w:rPr>
          <w:rFonts w:ascii="Times New Roman" w:hAnsi="Times New Roman"/>
          <w:sz w:val="24"/>
        </w:rPr>
        <w:br/>
        <w:t xml:space="preserve">Die Anlagen sind jedes Jahr von einem fachkundigen Techniker zu überprüfen, der ein Protokoll erstellen muss, in dem insbesondere das Ergebnis in Bezug auf die Erkennung </w:t>
      </w:r>
      <w:r w:rsidRPr="006E5BC5">
        <w:rPr>
          <w:rFonts w:ascii="Times New Roman" w:hAnsi="Times New Roman"/>
          <w:sz w:val="24"/>
        </w:rPr>
        <w:lastRenderedPageBreak/>
        <w:t xml:space="preserve">direkter oder indirekter Lecks vermerkt ist. Mindestens 20 % der oben genannten Sicherheitseinrichtungen und der mit diesen verbundenen Regelungssysteme müssen jedes Jahr überprüft werden, innerhalb eines Zeitraums von 5 Jahren müssen alle Sicherheitseinrichtungen überprüft worden sein. Das Ergebnis dieser Prüfungen wird in das vorgenannte Protokoll aufgenommen. </w:t>
      </w:r>
      <w:r w:rsidRPr="006E5BC5">
        <w:rPr>
          <w:rFonts w:ascii="Times New Roman" w:hAnsi="Times New Roman"/>
          <w:sz w:val="24"/>
        </w:rPr>
        <w:br/>
        <w:t>§ 4. Die Verwendung von toxischen Kältemitteln ist erlaubt, wenn folgende drei Bedingungen gleichzeitig erfüllt sind:</w:t>
      </w:r>
    </w:p>
    <w:p w14:paraId="4007EB3F" w14:textId="77777777" w:rsidR="00B767EF" w:rsidRPr="006E5BC5"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E5BC5">
        <w:rPr>
          <w:rFonts w:ascii="Times New Roman" w:hAnsi="Times New Roman"/>
          <w:sz w:val="24"/>
        </w:rPr>
        <w:br/>
        <w:t>– Anbringung im Außenbereich oder in einem von der Heizungsanlage getrennten Maschinenraum;</w:t>
      </w:r>
      <w:r w:rsidRPr="006E5BC5">
        <w:rPr>
          <w:rFonts w:ascii="Times New Roman" w:hAnsi="Times New Roman"/>
          <w:sz w:val="24"/>
        </w:rPr>
        <w:br/>
        <w:t>– Betrieb mittels eines indirekten Austauschsystems;</w:t>
      </w:r>
      <w:r w:rsidRPr="006E5BC5">
        <w:rPr>
          <w:rFonts w:ascii="Times New Roman" w:hAnsi="Times New Roman"/>
          <w:sz w:val="24"/>
        </w:rPr>
        <w:br/>
        <w:t xml:space="preserve">– die vorhandene Gesamtmenge an Fluiden in allen Geräten beträgt maximal 150 kg. </w:t>
      </w:r>
    </w:p>
    <w:p w14:paraId="0AD8B318" w14:textId="77777777" w:rsidR="00B767EF" w:rsidRPr="006E5BC5"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E5BC5">
        <w:rPr>
          <w:rFonts w:ascii="Times New Roman" w:hAnsi="Times New Roman"/>
          <w:sz w:val="24"/>
        </w:rPr>
        <w:br/>
        <w:t xml:space="preserve">§ 5. Geräte oder Gerätekomplexe zur Kälteerzeugung durch Verbrennung sind gemäß den Bedingungen der Artikel CH 5 bzw. CH 6 in Abhängigkeit von ihrer Leistung zu installieren.“ </w:t>
      </w:r>
    </w:p>
    <w:p w14:paraId="524FF658" w14:textId="77777777" w:rsidR="00C62939" w:rsidRPr="006E5BC5" w:rsidRDefault="00B767EF" w:rsidP="00C62939">
      <w:pPr>
        <w:spacing w:before="100" w:beforeAutospacing="1" w:after="0" w:line="240" w:lineRule="auto"/>
        <w:rPr>
          <w:rFonts w:ascii="Times New Roman" w:hAnsi="Times New Roman"/>
          <w:sz w:val="24"/>
        </w:rPr>
      </w:pPr>
      <w:r w:rsidRPr="006E5BC5">
        <w:rPr>
          <w:rFonts w:ascii="Times New Roman" w:hAnsi="Times New Roman"/>
          <w:sz w:val="24"/>
        </w:rPr>
        <w:br/>
        <w:t>(1) Die Sperrzone kann nur bei Anlagen im Außenbereich gefordert werden, deren brennbare Kältemittel eine Flammenausbreitungsgeschwindigkeit von mehr als 10 cm/s aufweisen.</w:t>
      </w:r>
    </w:p>
    <w:p w14:paraId="365B6614" w14:textId="70B44776" w:rsidR="00B767EF" w:rsidRPr="006E5BC5" w:rsidRDefault="00B767EF" w:rsidP="00C62939">
      <w:pPr>
        <w:spacing w:after="100" w:afterAutospacing="1" w:line="240" w:lineRule="auto"/>
        <w:rPr>
          <w:rFonts w:ascii="Times New Roman" w:eastAsia="Times New Roman" w:hAnsi="Times New Roman" w:cs="Times New Roman"/>
          <w:sz w:val="24"/>
          <w:szCs w:val="24"/>
        </w:rPr>
      </w:pPr>
      <w:r w:rsidRPr="006E5BC5">
        <w:rPr>
          <w:rFonts w:ascii="Times New Roman" w:hAnsi="Times New Roman"/>
          <w:sz w:val="24"/>
        </w:rPr>
        <w:t xml:space="preserve">(2) </w:t>
      </w:r>
      <w:r w:rsidR="00AB2AA9" w:rsidRPr="00AB2AA9">
        <w:rPr>
          <w:rFonts w:ascii="Times New Roman" w:hAnsi="Times New Roman"/>
          <w:sz w:val="24"/>
        </w:rPr>
        <w:t>Brennbare Kältemittel mit einer unteren Zündgrenze von mindestens 0,10 kg/m³.</w:t>
      </w:r>
      <w:r w:rsidRPr="006E5BC5">
        <w:rPr>
          <w:rFonts w:ascii="Times New Roman" w:hAnsi="Times New Roman"/>
          <w:sz w:val="24"/>
        </w:rPr>
        <w:br/>
        <w:t xml:space="preserve">(3) </w:t>
      </w:r>
      <w:r w:rsidR="00AB2AA9" w:rsidRPr="00AB2AA9">
        <w:rPr>
          <w:rFonts w:ascii="Times New Roman" w:hAnsi="Times New Roman"/>
          <w:sz w:val="24"/>
        </w:rPr>
        <w:t>Brennbare Kältemittel, deren untere Zündgrenze unter 0,10 kg/m³ liegt.</w:t>
      </w:r>
    </w:p>
    <w:p w14:paraId="6B67D63E" w14:textId="77777777" w:rsidR="00B767EF" w:rsidRPr="006E5BC5"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6E5BC5">
        <w:rPr>
          <w:rFonts w:ascii="Times New Roman" w:hAnsi="Times New Roman"/>
          <w:b/>
          <w:sz w:val="24"/>
        </w:rPr>
        <w:t>Artikel 3</w:t>
      </w:r>
    </w:p>
    <w:p w14:paraId="09930595" w14:textId="77777777" w:rsidR="00B767EF" w:rsidRPr="006E5BC5"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E5BC5">
        <w:rPr>
          <w:rFonts w:ascii="Times New Roman" w:hAnsi="Times New Roman"/>
          <w:sz w:val="24"/>
        </w:rPr>
        <w:br/>
        <w:t>Artikel CH 45 Buchstabe c wird gestrichen.</w:t>
      </w:r>
    </w:p>
    <w:p w14:paraId="6849DEBF" w14:textId="77777777" w:rsidR="00B767EF" w:rsidRPr="006E5BC5"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6E5BC5">
        <w:rPr>
          <w:rFonts w:ascii="Times New Roman" w:hAnsi="Times New Roman"/>
          <w:b/>
          <w:sz w:val="24"/>
        </w:rPr>
        <w:t>Artikel 4</w:t>
      </w:r>
    </w:p>
    <w:p w14:paraId="74F3395F" w14:textId="77777777" w:rsidR="00B767EF" w:rsidRPr="006E5BC5"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E5BC5">
        <w:rPr>
          <w:rFonts w:ascii="Times New Roman" w:hAnsi="Times New Roman"/>
          <w:sz w:val="24"/>
        </w:rPr>
        <w:br/>
        <w:t xml:space="preserve">Buch II Titel II Kapitel II der Sicherheitsvorschriften zur Vorbeugung von aus Bränden und Paniken resultierenden Gefahren in Einrichtungen mit Publikumsverkehr, genehmigt durch den oben genannten Erlass vom 25. Juni 1980, wird wie folgt geändert: </w:t>
      </w:r>
      <w:r w:rsidRPr="006E5BC5">
        <w:rPr>
          <w:rFonts w:ascii="Times New Roman" w:hAnsi="Times New Roman"/>
          <w:sz w:val="24"/>
        </w:rPr>
        <w:br/>
        <w:t>Artikel M 40 § 4 wird gestrichen.</w:t>
      </w:r>
    </w:p>
    <w:p w14:paraId="31ECF89C" w14:textId="77777777" w:rsidR="00B767EF" w:rsidRPr="006E5BC5"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6E5BC5">
        <w:rPr>
          <w:rFonts w:ascii="Times New Roman" w:hAnsi="Times New Roman"/>
          <w:b/>
          <w:sz w:val="24"/>
        </w:rPr>
        <w:t>Artikel 5</w:t>
      </w:r>
    </w:p>
    <w:p w14:paraId="6B0A3F54" w14:textId="77777777" w:rsidR="00B767EF" w:rsidRPr="006E5BC5"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E5BC5">
        <w:rPr>
          <w:rFonts w:ascii="Times New Roman" w:hAnsi="Times New Roman"/>
          <w:sz w:val="24"/>
        </w:rPr>
        <w:br/>
        <w:t>Diese Verordnung tritt am Tag nach ihrer Veröffentlichung im Amtsblatt der Französischen Republik in Kraft.</w:t>
      </w:r>
    </w:p>
    <w:p w14:paraId="032C5E60" w14:textId="77777777" w:rsidR="00B767EF" w:rsidRPr="006E5BC5"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6E5BC5">
        <w:rPr>
          <w:rFonts w:ascii="Times New Roman" w:hAnsi="Times New Roman"/>
          <w:sz w:val="24"/>
        </w:rPr>
        <w:br/>
        <w:t>Geschehen am 10. Mai 2019.</w:t>
      </w:r>
    </w:p>
    <w:p w14:paraId="582D28DE" w14:textId="53EAE5B9" w:rsidR="00B767EF" w:rsidRPr="006E5BC5"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6E5BC5">
        <w:rPr>
          <w:rFonts w:ascii="Times New Roman" w:hAnsi="Times New Roman"/>
          <w:sz w:val="24"/>
        </w:rPr>
        <w:br/>
        <w:t>Im Auftrag des Ministers und der Delegation:</w:t>
      </w:r>
      <w:r w:rsidRPr="006E5BC5">
        <w:rPr>
          <w:rFonts w:ascii="Times New Roman" w:hAnsi="Times New Roman"/>
          <w:sz w:val="24"/>
        </w:rPr>
        <w:br/>
        <w:t xml:space="preserve">Dienstleiter, stellvertretender Generaldirektor für zivile Sicherheit und Krisenmanagement, </w:t>
      </w:r>
      <w:r w:rsidRPr="006E5BC5">
        <w:rPr>
          <w:rFonts w:ascii="Times New Roman" w:hAnsi="Times New Roman"/>
          <w:sz w:val="24"/>
        </w:rPr>
        <w:lastRenderedPageBreak/>
        <w:t>zuständig für die Direktion Feuerwehr,</w:t>
      </w:r>
      <w:r w:rsidRPr="006E5BC5">
        <w:rPr>
          <w:rFonts w:ascii="Times New Roman" w:hAnsi="Times New Roman"/>
          <w:sz w:val="24"/>
        </w:rPr>
        <w:br/>
      </w:r>
      <w:r w:rsidR="00AB2AA9">
        <w:rPr>
          <w:rFonts w:ascii="Times New Roman" w:hAnsi="Times New Roman"/>
          <w:sz w:val="24"/>
        </w:rPr>
        <w:t>M.</w:t>
      </w:r>
      <w:r w:rsidRPr="006E5BC5">
        <w:rPr>
          <w:rFonts w:ascii="Times New Roman" w:hAnsi="Times New Roman"/>
          <w:sz w:val="24"/>
        </w:rPr>
        <w:t xml:space="preserve"> Marquer</w:t>
      </w:r>
    </w:p>
    <w:p w14:paraId="5785BBFE" w14:textId="77777777" w:rsidR="006467BD" w:rsidRDefault="006467BD"/>
    <w:sectPr w:rsidR="006467B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2550" w14:textId="77777777" w:rsidR="006E5BC5" w:rsidRDefault="006E5BC5" w:rsidP="006E5BC5">
      <w:pPr>
        <w:spacing w:after="0" w:line="240" w:lineRule="auto"/>
      </w:pPr>
      <w:r>
        <w:separator/>
      </w:r>
    </w:p>
  </w:endnote>
  <w:endnote w:type="continuationSeparator" w:id="0">
    <w:p w14:paraId="40A59700" w14:textId="77777777" w:rsidR="006E5BC5" w:rsidRDefault="006E5BC5" w:rsidP="006E5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524A" w14:textId="77777777" w:rsidR="006E5BC5" w:rsidRDefault="006E5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0A32" w14:textId="77777777" w:rsidR="006E5BC5" w:rsidRDefault="006E5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7D01" w14:textId="77777777" w:rsidR="006E5BC5" w:rsidRDefault="006E5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B1FF7" w14:textId="77777777" w:rsidR="006E5BC5" w:rsidRDefault="006E5BC5" w:rsidP="006E5BC5">
      <w:pPr>
        <w:spacing w:after="0" w:line="240" w:lineRule="auto"/>
      </w:pPr>
      <w:r>
        <w:separator/>
      </w:r>
    </w:p>
  </w:footnote>
  <w:footnote w:type="continuationSeparator" w:id="0">
    <w:p w14:paraId="46BAA253" w14:textId="77777777" w:rsidR="006E5BC5" w:rsidRDefault="006E5BC5" w:rsidP="006E5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FEE9" w14:textId="77777777" w:rsidR="006E5BC5" w:rsidRDefault="006E5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C31E" w14:textId="77777777" w:rsidR="006E5BC5" w:rsidRDefault="006E5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0447" w14:textId="77777777" w:rsidR="006E5BC5" w:rsidRDefault="006E5B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EF"/>
    <w:rsid w:val="0018785E"/>
    <w:rsid w:val="001E5363"/>
    <w:rsid w:val="004F5799"/>
    <w:rsid w:val="00500C1C"/>
    <w:rsid w:val="006467BD"/>
    <w:rsid w:val="006E5BC5"/>
    <w:rsid w:val="009A68DA"/>
    <w:rsid w:val="00AB2AA9"/>
    <w:rsid w:val="00B767EF"/>
    <w:rsid w:val="00C62939"/>
    <w:rsid w:val="00F634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CF1"/>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B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6E5BC5"/>
  </w:style>
  <w:style w:type="paragraph" w:styleId="Footer">
    <w:name w:val="footer"/>
    <w:basedOn w:val="Normal"/>
    <w:link w:val="FooterChar"/>
    <w:uiPriority w:val="99"/>
    <w:unhideWhenUsed/>
    <w:rsid w:val="006E5B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6E5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1871</Words>
  <Characters>10670</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5</cp:revision>
  <dcterms:created xsi:type="dcterms:W3CDTF">2021-08-25T12:18:00Z</dcterms:created>
  <dcterms:modified xsi:type="dcterms:W3CDTF">2022-01-02T13:46:00Z</dcterms:modified>
</cp:coreProperties>
</file>