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LOVTIDENDE</w:t>
      </w:r>
    </w:p>
    <w:p w:rsidR="00F10F73" w:rsidRPr="00EB5BAD" w:rsidRDefault="00F10F73" w:rsidP="00EB60F8">
      <w:pPr>
        <w:pStyle w:val="03RepOesterr"/>
      </w:pPr>
      <w:r>
        <w:t xml:space="preserve">FOR REPUBLIKKEN ØSTRIG</w:t>
      </w:r>
    </w:p>
    <w:p w:rsidR="00F10F73" w:rsidRPr="00EB5BAD" w:rsidRDefault="00F10F73" w:rsidP="00EB60F8">
      <w:pPr>
        <w:pStyle w:val="04AusgabeDaten"/>
      </w:pPr>
      <w:r>
        <w:t xml:space="preserve">År 2020</w:t>
      </w:r>
      <w:r>
        <w:tab/>
      </w:r>
      <w:r>
        <w:t xml:space="preserve">Udstedt den 18. februar 2020</w:t>
      </w:r>
      <w:r>
        <w:tab/>
      </w:r>
      <w:r>
        <w:t xml:space="preserve">Del II</w:t>
      </w:r>
    </w:p>
    <w:p w:rsidR="00F10F73" w:rsidRPr="00EB5BAD" w:rsidRDefault="00F10F73" w:rsidP="00EB60F8">
      <w:pPr>
        <w:pStyle w:val="05Kurztitel"/>
      </w:pPr>
      <w:r>
        <w:t xml:space="preserve">30. bekendtgørelse:</w:t>
      </w:r>
      <w:r>
        <w:tab/>
      </w:r>
      <w:r>
        <w:t xml:space="preserve">Sikring af lægemiddelforsyningen</w:t>
      </w:r>
    </w:p>
    <w:p w:rsidR="00F10F73" w:rsidRPr="00EB5BAD" w:rsidRDefault="00F10F73" w:rsidP="00EB60F8">
      <w:pPr>
        <w:pStyle w:val="11Titel"/>
      </w:pPr>
      <w:r>
        <w:t xml:space="preserve">Forskrift fra forbundsministeren for arbejde, sociale anliggender, sundhed og forbrugerbeskyttelse om sikringen af lægemiddelforsyningen</w:t>
      </w:r>
    </w:p>
    <w:p w:rsidR="00F10F73" w:rsidRPr="00EB5BAD" w:rsidRDefault="00F10F73" w:rsidP="00EB60F8">
      <w:pPr>
        <w:pStyle w:val="12PromKlEinlSatz"/>
      </w:pPr>
      <w:r>
        <w:t xml:space="preserve">I henhold til § 57a, stk. 2, i lægemiddelloven, østrigsk lovtidende nr. 185/1983, senest ændret ved forbundsloven i offentliggjort i østrigsk lovtidende I nr. 104/2019, og lovændringen af 2020 om føderale ministre, østrigsk lovtidende I nr. 8/2020, vedtages følgende:</w:t>
      </w:r>
    </w:p>
    <w:p w:rsidR="00F10F73" w:rsidRPr="00EB5BAD" w:rsidRDefault="00F10F73" w:rsidP="00EB60F8">
      <w:pPr>
        <w:pStyle w:val="51Abs"/>
      </w:pPr>
      <w:r>
        <w:rPr>
          <w:rStyle w:val="991GldSymbol"/>
        </w:rPr>
        <w:t xml:space="preserve">§ 1.</w:t>
      </w:r>
      <w:r>
        <w:t xml:space="preserve"> </w:t>
      </w:r>
      <w:r>
        <w:t xml:space="preserve">Stk. 1. Indehaveren til tilladelse til markedsføring skal straks meddele forbundskontoret for sikkerhed i sundhedsvæsnet enhver indskrænkning i den indenlandske salgsmulighed for en receptpligtig farmaceutisk specialitet.</w:t>
      </w:r>
      <w:r>
        <w:t xml:space="preserve"> </w:t>
      </w:r>
      <w:r>
        <w:t xml:space="preserve">Som indskrænkning i salgsmuligheden betragtes, at en receptpligtig farmaceutisk specialitet formodes ikke at være tilgængelig i mere end to uger, eller at en receptpligtig farmaceutisk specialitet formodes ikke at være tilstrækkeligt tilgængelig i mere end fire uger til at dække patienternes behov inden for landets grænser.</w:t>
      </w:r>
    </w:p>
    <w:p w:rsidR="00F10F73" w:rsidRPr="00EB5BAD" w:rsidRDefault="00F10F73" w:rsidP="00EB60F8">
      <w:pPr>
        <w:pStyle w:val="51Abs"/>
      </w:pPr>
      <w:r>
        <w:t xml:space="preserve">(2) Indberetningen i henhold til stk. 1 skal finde sted i overensstemmelse med bestemmelserne i forskriften fra forbundskontoret for sikkerhed i sundhedsvæsnet om den elektroniske overførsel af ansøgninger og indberetninger (forskrift af 2011 om elektronisk indgivelse - EEVO).</w:t>
      </w:r>
    </w:p>
    <w:p w:rsidR="00F10F73" w:rsidRPr="00EB5BAD" w:rsidRDefault="00F10F73" w:rsidP="00EB60F8">
      <w:pPr>
        <w:pStyle w:val="51Abs"/>
      </w:pPr>
      <w:r>
        <w:t xml:space="preserve">Stk. 3. Forbundskontoret for sikkerhed i sundhedsvæsnet skal alment tilgængeligt offentliggøre de i henhold til stk. 1 indberettede farmaceutiske specialiteter i en liste på sin hjemmeside.</w:t>
      </w:r>
    </w:p>
    <w:p w:rsidR="00F10F73" w:rsidRPr="00EB5BAD" w:rsidRDefault="00F10F73" w:rsidP="00EB60F8">
      <w:pPr>
        <w:pStyle w:val="51Abs"/>
      </w:pPr>
      <w:r>
        <w:t xml:space="preserve">Stk. 4. Kontrollen af indehaveren af tilladelse til markedsførings meddelelse om begrænsningen af distributionen af den pågældende farmaceutiske specialitet skal navnlig vedrøre antallet af berørte patienter, markedsdækning, gennemsnitlige salgstal, beregnede behov og lagre samt tilgængelige potentielle alternative lægemidler.</w:t>
      </w:r>
    </w:p>
    <w:p w:rsidR="00F10F73" w:rsidRPr="00EB5BAD" w:rsidRDefault="00F10F73" w:rsidP="00EB60F8">
      <w:pPr>
        <w:pStyle w:val="51Abs"/>
      </w:pPr>
      <w:r>
        <w:t xml:space="preserve">Stk. 5. Forbundskontoret for sikkerhed i sundhedsvæsenet kontrollerer regelmæssigt, at den i § 3 omhandlede liste er ajourført.</w:t>
      </w:r>
    </w:p>
    <w:p w:rsidR="00F10F73" w:rsidRPr="00EB5BAD" w:rsidRDefault="00F10F73" w:rsidP="00EB60F8">
      <w:pPr>
        <w:pStyle w:val="51Abs"/>
      </w:pPr>
      <w:r>
        <w:rPr>
          <w:rStyle w:val="991GldSymbol"/>
        </w:rPr>
        <w:t xml:space="preserve">§ 2.</w:t>
      </w:r>
      <w:r>
        <w:t xml:space="preserve"> </w:t>
      </w:r>
      <w:r>
        <w:t xml:space="preserve">Stk. 1. Når indskrænkningen i den indenlandske salgsmulighed for en receptpligtig farmaceutisk specialitet bortfalder, skal indehaveren af tilladelsen meddele dette til Forbundskontoret for sikkerhed i sundhedsvæsnet.</w:t>
      </w:r>
      <w:r>
        <w:t xml:space="preserve"> </w:t>
      </w:r>
      <w:r>
        <w:t xml:space="preserve">§ 1, stk. 2, gælder tilsvarende.</w:t>
      </w:r>
    </w:p>
    <w:p w:rsidR="00F10F73" w:rsidRPr="00EB5BAD" w:rsidRDefault="00F10F73" w:rsidP="00EB60F8">
      <w:pPr>
        <w:pStyle w:val="51Abs"/>
      </w:pPr>
      <w:r>
        <w:t xml:space="preserve">Stk. 2. Forbundskontoret for sikkerhed i sundhedsvæsnet skal efter kontrol i givet fald omgående slette den pågældende farmaceutiske specialitet fra listen i henhold til § 1, stk. 3.</w:t>
      </w:r>
    </w:p>
    <w:p w:rsidR="00F10F73" w:rsidRPr="00EB5BAD" w:rsidRDefault="00F10F73" w:rsidP="00EB60F8">
      <w:pPr>
        <w:pStyle w:val="51Abs"/>
      </w:pPr>
      <w:r>
        <w:t xml:space="preserve">Stk. 3. Hvis indehaveren af en markedsføringstilladelse ikke opfylder sin forpligtelse i henhold til § 1, kan Forbundskontoret for sikkerhed i sundhedsvæsenet efter kontrol foretage en sletning ex officio.</w:t>
      </w:r>
    </w:p>
    <w:p w:rsidR="00F10F73" w:rsidRPr="00EB5BAD" w:rsidRDefault="00F10F73" w:rsidP="00EB60F8">
      <w:pPr>
        <w:pStyle w:val="51Abs"/>
      </w:pPr>
      <w:r>
        <w:rPr>
          <w:rStyle w:val="991GldSymbol"/>
        </w:rPr>
        <w:t xml:space="preserve">§ 3.</w:t>
      </w:r>
      <w:r>
        <w:t xml:space="preserve"> </w:t>
      </w:r>
      <w:r>
        <w:t xml:space="preserve">Stk. 1. Får Forbundskontoret for sikkerhed i sundhedsvæsnet kendskab til, at indehaveren af tilladelsen ikke eller kun delvist opfylder sine forpligtelser i henhold til § 1, stk. 1, skal Forbundskontoret for sikkerhed i sundhedsvæsnet efter kontrol i givet fald alment tilgængeligt offentliggøre den pågældende farmaceutiske specialitet i listen i henhold til § 1, stk. 3.</w:t>
      </w:r>
    </w:p>
    <w:p w:rsidR="00F10F73" w:rsidRPr="00EB5BAD" w:rsidRDefault="00F10F73" w:rsidP="00EB60F8">
      <w:pPr>
        <w:pStyle w:val="51Abs"/>
      </w:pPr>
      <w:r>
        <w:t xml:space="preserve">Stk. 3. Hvis en spredningsbegrænsning som omhandlet i stk. 1 ikke længere er til stede, finder § 2 tilsvarende anvendelse.</w:t>
      </w:r>
    </w:p>
    <w:p w:rsidR="00F10F73" w:rsidRPr="00EB5BAD" w:rsidRDefault="00F10F73" w:rsidP="00EB60F8">
      <w:pPr>
        <w:pStyle w:val="51Abs"/>
      </w:pPr>
      <w:r>
        <w:rPr>
          <w:rStyle w:val="991GldSymbol"/>
        </w:rPr>
        <w:t xml:space="preserve">§ 4.</w:t>
      </w:r>
      <w:r>
        <w:t xml:space="preserve"> </w:t>
      </w:r>
      <w:r>
        <w:t xml:space="preserve">Stk. 1. Såfremt der opstår indskrænkninger i den indenlandske forsyning med receptpligtige farmaceutiske specialiteter, der i passende omfang og kontinuerligt stilles til rådighed af indehaveren af tilladelsen til at dække patienternes behov inden for landets grænser, skal Forbundskontoret for sikkerhed i sundhedsvæsnet også alment tilgængeligt offentliggøre disse receptpligtige farmaceutiske specialiteter i listen i henhold til § 1, stk. 3, efter aftale med indehaveren af tilladelsen.</w:t>
      </w:r>
    </w:p>
    <w:p w:rsidR="00F10F73" w:rsidRPr="00EB5BAD" w:rsidRDefault="00F10F73" w:rsidP="00EB60F8">
      <w:pPr>
        <w:pStyle w:val="51Abs"/>
      </w:pPr>
      <w:r>
        <w:t xml:space="preserve">Stk. 2. I tilfælde af, at en anden begrænsning ikke længere er til stede i medfør af § 1, foretager Forbundskontoret for sikkerhed i sundhedsvæsenet efter kontrol ex officio sletning af den pågældende farmaceutiske specialitet fra listen i henhold til § 1, stk. 3.</w:t>
      </w:r>
    </w:p>
    <w:p w:rsidR="00F10F73" w:rsidRPr="00EB5BAD" w:rsidRDefault="00F10F73" w:rsidP="00EB60F8">
      <w:pPr>
        <w:pStyle w:val="51Abs"/>
      </w:pPr>
      <w:r>
        <w:rPr>
          <w:rStyle w:val="991GldSymbol"/>
        </w:rPr>
        <w:t xml:space="preserve">§ 5.</w:t>
      </w:r>
      <w:r>
        <w:t xml:space="preserve"> </w:t>
      </w:r>
      <w:r>
        <w:t xml:space="preserve">Stk. 1. Af hensyn til beskyttelse af folkesundheden er det forbudt at eksportere de receptpligtige farmaceutiske specialiteter, der er offentliggjort på listen fra Forbundskontoret for sikkerhed i sundhedsvæsnet i henhold til § 1, stk. 3, til en anden kontraherende part i Det Europæisk Økonomiske Samarbejdsområde.</w:t>
      </w:r>
    </w:p>
    <w:p w:rsidR="00F10F73" w:rsidRPr="00EB5BAD" w:rsidRDefault="00F10F73" w:rsidP="00EB60F8">
      <w:pPr>
        <w:pStyle w:val="51Abs"/>
      </w:pPr>
      <w:r>
        <w:t xml:space="preserve">Stk. 2. Efter anmodning fra indehaveren af markedsføringstilladelsen træffer Forbundskontoret for sikkerhed for sundhed en afgørelse om eksportforbuddet i § 1.</w:t>
      </w:r>
    </w:p>
    <w:p w:rsidR="00F10F73" w:rsidRPr="00EB5BAD" w:rsidRDefault="00F10F73" w:rsidP="00EB60F8">
      <w:pPr>
        <w:pStyle w:val="51Abs"/>
      </w:pPr>
      <w:r>
        <w:rPr>
          <w:rStyle w:val="991GldSymbol"/>
        </w:rPr>
        <w:t xml:space="preserve">§ 6.</w:t>
      </w:r>
      <w:r>
        <w:t xml:space="preserve"> </w:t>
      </w:r>
      <w:r>
        <w:t xml:space="preserve">Nærværende forskrift har gennemgået en informationsprocedure i henhold til Europa-Parlamentets og Rådets direktiv (EU) 2015/1535 af 9. september 2015 om en informationsprocedure med hensyn til tekniske forskrifter samt forskrifter for informationssamfundets tjenester, EUT L 241 af 17.9.2015, s. 1.</w:t>
      </w:r>
    </w:p>
    <w:p w:rsidR="00F10F73" w:rsidRPr="00EB5BAD" w:rsidRDefault="00F10F73" w:rsidP="00EB60F8">
      <w:pPr>
        <w:pStyle w:val="51Abs"/>
      </w:pPr>
      <w:r>
        <w:rPr>
          <w:rStyle w:val="991GldSymbol"/>
        </w:rPr>
        <w:t xml:space="preserve">§ 7.</w:t>
      </w:r>
      <w:r>
        <w:t xml:space="preserve"> </w:t>
      </w:r>
      <w:r>
        <w:t xml:space="preserve">Denne bekendtgørelse træder i kraft den 1. april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Udstedt den 18. februar 2020 – nr.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af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Udstedt den 18. februar 2020 – nr.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af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af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da-DK"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da-DK"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da-DK"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da-DK"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da-DK"/>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da-DK"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da-DK"/>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da-DK"/>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da-DK"/>
    </w:rPr>
  </w:style>
  <w:style w:type="paragraph" w:customStyle="1" w:styleId="PDU1">
    <w:name w:val="PD_U1"/>
    <w:basedOn w:val="00LegStandard"/>
    <w:next w:val="Standard"/>
    <w:rsid w:val="00F10F73"/>
    <w:pPr>
      <w:tabs>
        <w:tab w:val="center" w:pos="2126"/>
        <w:tab w:val="center" w:pos="6379"/>
      </w:tabs>
      <w:spacing w:before="440"/>
    </w:pPr>
    <w:rPr>
      <w:b/>
      <w:lang w:val="da-DK"/>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da-DK"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da-DK"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da-DK"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da-DK"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da-DK"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da-DK"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da-DK"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da-DK"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da-DK" w:eastAsia="de-AT"/>
    </w:rPr>
  </w:style>
  <w:style w:type="paragraph" w:customStyle="1" w:styleId="58Schlussteile0Abs">
    <w:name w:val="58_Schlussteil_e0_Abs"/>
    <w:basedOn w:val="00LegStandard"/>
    <w:next w:val="51Abs"/>
    <w:rsid w:val="00F10F73"/>
    <w:pPr>
      <w:spacing w:before="40"/>
    </w:pPr>
    <w:rPr>
      <w:lang w:val="da-DK"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a-DK"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a-DK"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da-DK"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a-DK"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da-DK"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a-DK"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a-DK"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a-DK"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a-DK"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a-DK"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a-DK"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da-DK"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da-DK"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da-DK"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da-DK"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da-DK"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da-DK"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