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ITÄVALLAN LIITTOTASAVALLAN</w:t>
      </w:r>
    </w:p>
    <w:p w:rsidR="00F10F73" w:rsidRPr="00EB5BAD" w:rsidRDefault="00F10F73" w:rsidP="00EB60F8">
      <w:pPr>
        <w:pStyle w:val="03RepOesterr"/>
      </w:pPr>
      <w:r>
        <w:t xml:space="preserve">VIRALLINEN LEHTI</w:t>
      </w:r>
    </w:p>
    <w:p w:rsidR="00F10F73" w:rsidRPr="00EB5BAD" w:rsidRDefault="00F10F73" w:rsidP="00EB60F8">
      <w:pPr>
        <w:pStyle w:val="04AusgabeDaten"/>
      </w:pPr>
      <w:r>
        <w:t xml:space="preserve">Vuosikerta 2020</w:t>
      </w:r>
      <w:r>
        <w:tab/>
      </w:r>
      <w:r>
        <w:t xml:space="preserve">Julkaistu 18 päivänä helmikuuta 2020</w:t>
      </w:r>
      <w:r>
        <w:tab/>
      </w:r>
      <w:r>
        <w:t xml:space="preserve">Osa II</w:t>
      </w:r>
    </w:p>
    <w:p w:rsidR="00F10F73" w:rsidRPr="00EB5BAD" w:rsidRDefault="00F10F73" w:rsidP="00EB60F8">
      <w:pPr>
        <w:pStyle w:val="05Kurztitel"/>
      </w:pPr>
      <w:r>
        <w:t xml:space="preserve">30. asetus:</w:t>
      </w:r>
      <w:r>
        <w:tab/>
      </w:r>
      <w:r>
        <w:t xml:space="preserve">Lääkehuollon varmistaminen</w:t>
      </w:r>
    </w:p>
    <w:p w:rsidR="00F10F73" w:rsidRPr="00EB5BAD" w:rsidRDefault="00F10F73" w:rsidP="00EB60F8">
      <w:pPr>
        <w:pStyle w:val="11Titel"/>
      </w:pPr>
      <w:r>
        <w:t xml:space="preserve">30. Itävallan liittotasavallan työ-, sosiaali-, terveys- ja kuluttajansuojaministerin asetus lääkehuollon varmistamisesta</w:t>
      </w:r>
    </w:p>
    <w:p w:rsidR="00F10F73" w:rsidRPr="00EB5BAD" w:rsidRDefault="00F10F73" w:rsidP="00EB60F8">
      <w:pPr>
        <w:pStyle w:val="12PromKlEinlSatz"/>
      </w:pPr>
      <w:r>
        <w:t xml:space="preserve">Lääkelain (Itävallan virallinen lehti nro 185/1983), sellaisena kuin se on viimeksi muutettuna liittotasavallan lailla (Itävallan virallinen lehti I 104/2019) ja vuonna 2020 muutetulla liittotasavallan ministeriöistä annetulla lailla (Itävallan virallinen lehti I 8/2020), 57a §:n 2 momentin nojalla säädetään seuraavaa:</w:t>
      </w:r>
    </w:p>
    <w:p w:rsidR="00F10F73" w:rsidRPr="00EB5BAD" w:rsidRDefault="00F10F73" w:rsidP="00EB60F8">
      <w:pPr>
        <w:pStyle w:val="51Abs"/>
      </w:pPr>
      <w:r>
        <w:rPr>
          <w:rStyle w:val="991GldSymbol"/>
        </w:rPr>
        <w:t xml:space="preserve">1 §</w:t>
      </w:r>
      <w:r>
        <w:t xml:space="preserve"> </w:t>
      </w:r>
      <w:r>
        <w:t xml:space="preserve">(1) Luvanhaltijan on ilmoitettava terveydenhuollon turvallisuudesta vastaavalle liittovaltion virastolle viipymättä kaikista lääkemääräystä edellyttävän lääkevalmisteen myyntikapasiteetin rajoituksista kotimaassa.</w:t>
      </w:r>
      <w:r>
        <w:t xml:space="preserve"> </w:t>
      </w:r>
      <w:r>
        <w:t xml:space="preserve">Myyntikapasiteetin rajoitukseksi katsotaan lääkemääräystä edellyttävän lääkevalmisteen todennäköisesti yli kaksi viikkoa kestävä saatavuuskatkos tai todennäköisesti yli neljä viikkoa kestävä puutteellinen saatavuus, minkä vuoksi potilaiden tarpeita ei pystytä kattamaan kotimaassa.</w:t>
      </w:r>
    </w:p>
    <w:p w:rsidR="00F10F73" w:rsidRPr="00EB5BAD" w:rsidRDefault="00F10F73" w:rsidP="00EB60F8">
      <w:pPr>
        <w:pStyle w:val="51Abs"/>
      </w:pPr>
      <w:r>
        <w:t xml:space="preserve">(2) Edellä 1 momentissa tarkoitettu ilmoitus on tehtävä hakemusten ja ilmoitusten sähköisestä toimittamisesta annetun terveydenhuollon turvallisuudesta vastaavan liittovaltion viraston määräyksen (vuoden 2011 määräys sähköisestä toimittamisesta – EEVO) mukaisesti.</w:t>
      </w:r>
    </w:p>
    <w:p w:rsidR="00F10F73" w:rsidRPr="00EB5BAD" w:rsidRDefault="00F10F73" w:rsidP="00EB60F8">
      <w:pPr>
        <w:pStyle w:val="51Abs"/>
      </w:pPr>
      <w:r>
        <w:t xml:space="preserve">(3) Edellä 1 momentissa tarkoitetun ilmoituksen tarkastamisen jälkeen terveydenhuollon turvallisuudesta vastaavan liittovaltion viraston on julkaistava kyseinen lääkevalmiste yleisesti saatavilla olevassa luettelossa verkkosivustollaan aikaisintaan sinä päivänä, jona myyntikapasiteetin rajoitus tosiasiallisesti ilmenee.</w:t>
      </w:r>
    </w:p>
    <w:p w:rsidR="00F10F73" w:rsidRPr="00EB5BAD" w:rsidRDefault="00F10F73" w:rsidP="00EB60F8">
      <w:pPr>
        <w:pStyle w:val="51Abs"/>
      </w:pPr>
      <w:r>
        <w:t xml:space="preserve">(4) Kyseisen lääkevalmisteen myyntikapasiteetin rajoitusta koskevan luvanhaltijan ilmoituksen tarkastamisessa on huomioitava erityisesti asianomaisten potilaiden määrä, markkinaosuus, keskimääräiset myyntiluvut, lasketut tarpeet ja varastot sekä saatavilla olevat mahdolliset vaihtoehtoiset lääkkeet.</w:t>
      </w:r>
    </w:p>
    <w:p w:rsidR="00F10F73" w:rsidRPr="00EB5BAD" w:rsidRDefault="00F10F73" w:rsidP="00EB60F8">
      <w:pPr>
        <w:pStyle w:val="51Abs"/>
      </w:pPr>
      <w:r>
        <w:t xml:space="preserve">(5) Terveydenhuollon turvallisuudesta vastaavan liittovaltion viraston on tarkistettava säännöllisesti, että 3 momentissa tarkoitettu luettelo on ajan tasalla.</w:t>
      </w:r>
    </w:p>
    <w:p w:rsidR="00F10F73" w:rsidRPr="00EB5BAD" w:rsidRDefault="00F10F73" w:rsidP="00EB60F8">
      <w:pPr>
        <w:pStyle w:val="51Abs"/>
      </w:pPr>
      <w:r>
        <w:rPr>
          <w:rStyle w:val="991GldSymbol"/>
        </w:rPr>
        <w:t xml:space="preserve">2 §</w:t>
      </w:r>
      <w:r>
        <w:t xml:space="preserve"> </w:t>
      </w:r>
      <w:r>
        <w:t xml:space="preserve">(1) Luvanhaltijan on ilmoitettava terveydenhuollon turvallisuudesta vastaavalle liittovaltion virastolle lääkemääräystä edellyttävän lääkevalmisteen myyntikapasiteetin rajoituksen päättymisestä kotimaassa.</w:t>
      </w:r>
      <w:r>
        <w:t xml:space="preserve"> </w:t>
      </w:r>
      <w:r>
        <w:t xml:space="preserve">Edellä olevaa 1 §:n 2 momenttia sovelletaan soveltuvin osin.</w:t>
      </w:r>
    </w:p>
    <w:p w:rsidR="00F10F73" w:rsidRPr="00EB5BAD" w:rsidRDefault="00F10F73" w:rsidP="00EB60F8">
      <w:pPr>
        <w:pStyle w:val="51Abs"/>
      </w:pPr>
      <w:r>
        <w:t xml:space="preserve">(2) Terveydenhuollon turvallisuudesta vastaavan liittovaltion viraston on tarkastettava tämä ilmoitus ja poistettava kyseinen lääkevalmiste välittömästi 1 §:n 3 momentissa tarkoitetusta luettelosta, jos myyntikapasiteetin rajoitus on päättynyt.</w:t>
      </w:r>
    </w:p>
    <w:p w:rsidR="00F10F73" w:rsidRPr="00EB5BAD" w:rsidRDefault="00F10F73" w:rsidP="00EB60F8">
      <w:pPr>
        <w:pStyle w:val="51Abs"/>
      </w:pPr>
      <w:r>
        <w:t xml:space="preserve">(3) Jos luvanhaltija ei täytä 1 momentissa tarkoitettua velvollisuuttaan, terveydenhuollon turvallisuudesta vastaava liittovaltion virasto voi tarkastuksen jälkeen poistaa viran puolesta kyseisen lääkevalmisteen luettelosta.</w:t>
      </w:r>
    </w:p>
    <w:p w:rsidR="00F10F73" w:rsidRPr="00EB5BAD" w:rsidRDefault="00F10F73" w:rsidP="00EB60F8">
      <w:pPr>
        <w:pStyle w:val="51Abs"/>
      </w:pPr>
      <w:r>
        <w:rPr>
          <w:rStyle w:val="991GldSymbol"/>
        </w:rPr>
        <w:t xml:space="preserve">3 §</w:t>
      </w:r>
      <w:r>
        <w:t xml:space="preserve"> </w:t>
      </w:r>
      <w:r>
        <w:t xml:space="preserve">(1) Jos terveydenhuollon turvallisuudesta vastaava liittovaltion virasto saa tietoonsa, että luvanhaltija ei täytä lainkaan tai osittain 1 §:n 1 momentissa tarkoitettua velvollisuuttaan, terveydenhuollon turvallisuudesta vastaavan liittovaltion viraston on sen jälkeen, kun se on tarkastanut, että myyntikapasiteetin rajoitus on olemassa, julkaistava kyseinen lääkevalmiste 1 §:n 3 momentissa tarkoitetussa yleisesti saatavilla olevassa luettelossa.</w:t>
      </w:r>
    </w:p>
    <w:p w:rsidR="00F10F73" w:rsidRPr="00EB5BAD" w:rsidRDefault="00F10F73" w:rsidP="00EB60F8">
      <w:pPr>
        <w:pStyle w:val="51Abs"/>
      </w:pPr>
      <w:r>
        <w:t xml:space="preserve">(3) Kun 1 momentissa tarkoitettua myyntikapasiteetin rajoitusta ei enää esiinny, sovelletaan 2 §:ää soveltuvin osin.</w:t>
      </w:r>
    </w:p>
    <w:p w:rsidR="00F10F73" w:rsidRPr="00EB5BAD" w:rsidRDefault="00F10F73" w:rsidP="00EB60F8">
      <w:pPr>
        <w:pStyle w:val="51Abs"/>
      </w:pPr>
      <w:r>
        <w:rPr>
          <w:rStyle w:val="991GldSymbol"/>
        </w:rPr>
        <w:t xml:space="preserve">4 §</w:t>
      </w:r>
      <w:r>
        <w:t xml:space="preserve"> </w:t>
      </w:r>
      <w:r>
        <w:t xml:space="preserve">(1) Jos terveydenhuollon turvallisuudesta vastaava liittovaltion virasto saa tietoonsa, että lääkemääräystä edellyttävä lääkevalmiste ei kata potilaiden tarpeita kotimaassa, vaikka luvanhaltija ei ole ilmoittanut myyntikapasiteetin rajoituksesta, terveydenhuollon turvallisuudesta vastaavan liittovaltion viraston on tarkastuksen jälkeen julkaistava kyseinen lääkevalmiste 1 §:n 3 momentin mukaisessa yleisesti saatavilla olevassa luettelossa.</w:t>
      </w:r>
    </w:p>
    <w:p w:rsidR="00F10F73" w:rsidRPr="00EB5BAD" w:rsidRDefault="00F10F73" w:rsidP="00EB60F8">
      <w:pPr>
        <w:pStyle w:val="51Abs"/>
      </w:pPr>
      <w:r>
        <w:t xml:space="preserve">(2) Kun muita 1 momentissa tarkoitettuja rajoituksia ei enää esiinny, terveydenhuollon turvallisuudesta vastaavan liittovaltion viraston on tarkastuksen jälkeen poistettava viran puolesta kyseinen lääkevalmiste 1 §:n 3 momentin mukaisesta luettelosta.</w:t>
      </w:r>
    </w:p>
    <w:p w:rsidR="00F10F73" w:rsidRPr="00EB5BAD" w:rsidRDefault="00F10F73" w:rsidP="00EB60F8">
      <w:pPr>
        <w:pStyle w:val="51Abs"/>
      </w:pPr>
      <w:r>
        <w:rPr>
          <w:rStyle w:val="991GldSymbol"/>
        </w:rPr>
        <w:t xml:space="preserve">5 §</w:t>
      </w:r>
      <w:r>
        <w:t xml:space="preserve"> </w:t>
      </w:r>
      <w:r>
        <w:t xml:space="preserve">(1) Terveydenhuollon turvallisuudesta vastaavan liittovaltion viraston luettelossa 1 §:n 3 momentin mukaisesti julkaistujen lääkemääräystä edellyttävien lääkevalmisteiden vieminen toiseen Euroopan talousalueesta tehdyn sopimuksen osapuolena olevaan valtioon on kielletty kansanterveyden suojelemiseksi.</w:t>
      </w:r>
    </w:p>
    <w:p w:rsidR="00F10F73" w:rsidRPr="00EB5BAD" w:rsidRDefault="00F10F73" w:rsidP="00EB60F8">
      <w:pPr>
        <w:pStyle w:val="51Abs"/>
      </w:pPr>
      <w:r>
        <w:t xml:space="preserve">(2) Terveydenhuollon turvallisuudesta vastaava liittovaltion virasto tekee luvanhaltijan pyynnöstä päätöksen 1 momentissa tarkoitetusta vientikiellosta.</w:t>
      </w:r>
    </w:p>
    <w:p w:rsidR="00F10F73" w:rsidRPr="00EB5BAD" w:rsidRDefault="00F10F73" w:rsidP="00EB60F8">
      <w:pPr>
        <w:pStyle w:val="51Abs"/>
      </w:pPr>
      <w:r>
        <w:rPr>
          <w:rStyle w:val="991GldSymbol"/>
        </w:rPr>
        <w:t xml:space="preserve">6 §</w:t>
      </w:r>
      <w:r>
        <w:t xml:space="preserve"> </w:t>
      </w:r>
      <w:r>
        <w:t xml:space="preserve">Tästä asetuksesta on ilmoitettu teknisiä määräyksiä ja tietoyhteiskunnan palveluja koskevia määräyksiä koskevien tietojen toimittamisessa noudatettavasta menettelystä 9 päivänä syyskuuta 2015 annetussa Euroopan parlamentin ja neuvoston direktiivissä (EU) 2015/1535 (EUVL L 241, 17.9.2015, s. 1) tarkoitetun ilmoitusmenettelyn mukaisesti.</w:t>
      </w:r>
    </w:p>
    <w:p w:rsidR="00F10F73" w:rsidRPr="00EB5BAD" w:rsidRDefault="00F10F73" w:rsidP="00EB60F8">
      <w:pPr>
        <w:pStyle w:val="51Abs"/>
      </w:pPr>
      <w:r>
        <w:rPr>
          <w:rStyle w:val="991GldSymbol"/>
        </w:rPr>
        <w:t xml:space="preserve">7 §</w:t>
      </w:r>
      <w:r>
        <w:t xml:space="preserve"> </w:t>
      </w:r>
      <w:r>
        <w:t xml:space="preserve">Tämä asetus tulee voimaan 1 päivänä huhtikuuta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Julkaistu 18 päivänä helmikuuta 2020 – nro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Julkaistu 18 päivänä helmikuuta 2020 – nro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fi-FI"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fi-FI"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fi-FI"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fi-FI"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fi-FI"/>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fi-FI"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fi-FI"/>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fi-FI"/>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fi-FI"/>
    </w:rPr>
  </w:style>
  <w:style w:type="paragraph" w:customStyle="1" w:styleId="PDU1">
    <w:name w:val="PD_U1"/>
    <w:basedOn w:val="00LegStandard"/>
    <w:next w:val="Standard"/>
    <w:rsid w:val="00F10F73"/>
    <w:pPr>
      <w:tabs>
        <w:tab w:val="center" w:pos="2126"/>
        <w:tab w:val="center" w:pos="6379"/>
      </w:tabs>
      <w:spacing w:before="440"/>
    </w:pPr>
    <w:rPr>
      <w:b/>
      <w:lang w:val="fi-FI"/>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fi-FI"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fi-FI"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fi-FI"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fi-FI"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fi-FI"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fi-FI"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fi-FI"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fi-FI"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fi-FI" w:eastAsia="de-AT"/>
    </w:rPr>
  </w:style>
  <w:style w:type="paragraph" w:customStyle="1" w:styleId="58Schlussteile0Abs">
    <w:name w:val="58_Schlussteil_e0_Abs"/>
    <w:basedOn w:val="00LegStandard"/>
    <w:next w:val="51Abs"/>
    <w:rsid w:val="00F10F73"/>
    <w:pPr>
      <w:spacing w:before="40"/>
    </w:pPr>
    <w:rPr>
      <w:lang w:val="fi-FI"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fi-FI"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fi-FI"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fi-FI"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fi-FI"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fi-FI"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fi-FI"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fi-FI"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fi-FI"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fi-FI"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fi-FI"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fi-FI"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fi-FI"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fi-FI"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fi-FI"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fi-FI"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fi-FI"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fi-FI"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