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SAVEZNI SLUŽBENI LIST</w:t>
      </w:r>
    </w:p>
    <w:p w:rsidR="00F10F73" w:rsidRPr="00EB5BAD" w:rsidRDefault="00F10F73" w:rsidP="00EB60F8">
      <w:pPr>
        <w:pStyle w:val="03RepOesterr"/>
      </w:pPr>
      <w:r>
        <w:t xml:space="preserve">REPUBLIKE AUSTRIJE</w:t>
      </w:r>
    </w:p>
    <w:p w:rsidR="00F10F73" w:rsidRPr="00EB5BAD" w:rsidRDefault="00F10F73" w:rsidP="00EB60F8">
      <w:pPr>
        <w:pStyle w:val="04AusgabeDaten"/>
      </w:pPr>
      <w:r>
        <w:t xml:space="preserve">Godina 2020.</w:t>
      </w:r>
      <w:r>
        <w:tab/>
      </w:r>
      <w:r>
        <w:t xml:space="preserve">Izdano 18. veljače 2020.</w:t>
      </w:r>
      <w:r>
        <w:tab/>
      </w:r>
      <w:r>
        <w:t xml:space="preserve">Dio II.</w:t>
      </w:r>
    </w:p>
    <w:p w:rsidR="00F10F73" w:rsidRPr="00EB5BAD" w:rsidRDefault="00F10F73" w:rsidP="00EB60F8">
      <w:pPr>
        <w:pStyle w:val="05Kurztitel"/>
      </w:pPr>
      <w:r>
        <w:t xml:space="preserve">30. pravilnik:</w:t>
      </w:r>
      <w:r>
        <w:tab/>
      </w:r>
      <w:r>
        <w:t xml:space="preserve">Osiguravanje opskrbe lijekovima</w:t>
      </w:r>
    </w:p>
    <w:p w:rsidR="00F10F73" w:rsidRPr="00EB5BAD" w:rsidRDefault="00F10F73" w:rsidP="00EB60F8">
      <w:pPr>
        <w:pStyle w:val="11Titel"/>
      </w:pPr>
      <w:r>
        <w:t xml:space="preserve">30. pravilnik savezne ministrice za rad, socijalna pitanja, zdravlje i zaštitu potrošača o osiguranju opskrbe lijekovima</w:t>
      </w:r>
    </w:p>
    <w:p w:rsidR="00F10F73" w:rsidRPr="00EB5BAD" w:rsidRDefault="00F10F73" w:rsidP="00EB60F8">
      <w:pPr>
        <w:pStyle w:val="12PromKlEinlSatz"/>
      </w:pPr>
      <w:r>
        <w:t xml:space="preserve">Na temelju članka 57.a stavka 2. Zakona o lijekovima [Arzneimittelgesetz], Službeni list br. 185/1983, zadnje izmijenjen Saveznim zakonom objavljenim u Službenom listu dio I. br. 104/2019 i izmjenom Zakona o saveznim ministarstvima iz 2020., Službeni list dio I., br. 8/2020, uređuje se:</w:t>
      </w:r>
    </w:p>
    <w:p w:rsidR="00F10F73" w:rsidRPr="00EB5BAD" w:rsidRDefault="00F10F73" w:rsidP="00EB60F8">
      <w:pPr>
        <w:pStyle w:val="51Abs"/>
      </w:pPr>
      <w:r>
        <w:rPr>
          <w:rStyle w:val="991GldSymbol"/>
        </w:rPr>
        <w:t xml:space="preserve">Članak 1.</w:t>
      </w:r>
      <w:r>
        <w:t xml:space="preserve"> </w:t>
      </w:r>
      <w:r>
        <w:t xml:space="preserve">(1) Vlasnik dozvole mora Saveznom tijelu za sigurnost u zdravstvu odmah prijaviti svako ograničenje mogućnosti prodaje lijeka zaštićenog patentom na recept unutar države.</w:t>
      </w:r>
      <w:r>
        <w:t xml:space="preserve"> </w:t>
      </w:r>
      <w:r>
        <w:t xml:space="preserve">Kao ograničenje mogućnosti prodaje vrijedi nedostupnost za koju se predviđa da će trajati više od dva tjedna ili dostupnost koja neće potrajati dulje od četiri tjedna gotovog lijeka na recept za pokrivanje potrebe pacijenata unutar države.</w:t>
      </w:r>
    </w:p>
    <w:p w:rsidR="00F10F73" w:rsidRPr="00EB5BAD" w:rsidRDefault="00F10F73" w:rsidP="00EB60F8">
      <w:pPr>
        <w:pStyle w:val="51Abs"/>
      </w:pPr>
      <w:r>
        <w:t xml:space="preserve">(2) Prijava prema stavku 1. mora se u skladu s odredbama Uredbe Saveznog tijela za sigurnost u zdravstvu izvesti elektroničkim putem kojim se prenose zahtjevi i prijave (Uredba o elektroničkom podnošenju dokumentacije 2011. – EEVO).</w:t>
      </w:r>
    </w:p>
    <w:p w:rsidR="00F10F73" w:rsidRPr="00EB5BAD" w:rsidRDefault="00F10F73" w:rsidP="00EB60F8">
      <w:pPr>
        <w:pStyle w:val="51Abs"/>
      </w:pPr>
      <w:r>
        <w:t xml:space="preserve">(3) Nakon provjere prijave iz stavka 1., Savezno tijelo za sigurnost u zdravstvu mora lijekove zaštićene patentom uvrstiti na javno dostupan popis na svojoj mrežnoj stranici najranije nego na dan kada uistinu nastupi ograničenje distribucije.</w:t>
      </w:r>
    </w:p>
    <w:p w:rsidR="00F10F73" w:rsidRPr="00EB5BAD" w:rsidRDefault="00F10F73" w:rsidP="00EB60F8">
      <w:pPr>
        <w:pStyle w:val="51Abs"/>
      </w:pPr>
      <w:r>
        <w:t xml:space="preserve">(4) Provjera obavijesti nositelja odobrenja za stavljanje u promet o ograničenju distribucije dotičnog patentiranog lijeka posebno se odnosi na broj dotičnih pacijenata, pokrivenost tržišta, prosječne podatke o prodaji, izračunane potrebe i zalihe te dostupne potencijalne alternativne lijekove.</w:t>
      </w:r>
    </w:p>
    <w:p w:rsidR="00F10F73" w:rsidRPr="00EB5BAD" w:rsidRDefault="00F10F73" w:rsidP="00EB60F8">
      <w:pPr>
        <w:pStyle w:val="51Abs"/>
      </w:pPr>
      <w:r>
        <w:t xml:space="preserve">(5) Savezni ured za sigurnost u zdravstvu redovito provjerava je li popis iz stavka 3. ažuriran.</w:t>
      </w:r>
    </w:p>
    <w:p w:rsidR="00F10F73" w:rsidRPr="00EB5BAD" w:rsidRDefault="00F10F73" w:rsidP="00EB60F8">
      <w:pPr>
        <w:pStyle w:val="51Abs"/>
      </w:pPr>
      <w:r>
        <w:rPr>
          <w:rStyle w:val="991GldSymbol"/>
        </w:rPr>
        <w:t xml:space="preserve">Članak 2.</w:t>
      </w:r>
      <w:r>
        <w:t xml:space="preserve"> </w:t>
      </w:r>
      <w:r>
        <w:t xml:space="preserve">(1) U slučaju da ograničenja mogućnosti distribucije gotovog patentiranog lijeka na recept unutar države više nema, nositelj odobrenja za stavljanje u promet mora o tome obavijestiti Savezno tijelo za sigurnost u zdravstvu.</w:t>
      </w:r>
      <w:r>
        <w:t xml:space="preserve"> </w:t>
      </w:r>
      <w:r>
        <w:t xml:space="preserve">Članak 1. st. 2 primjenjuje se na odgovarajući način.</w:t>
      </w:r>
    </w:p>
    <w:p w:rsidR="00F10F73" w:rsidRPr="00EB5BAD" w:rsidRDefault="00F10F73" w:rsidP="00EB60F8">
      <w:pPr>
        <w:pStyle w:val="51Abs"/>
      </w:pPr>
      <w:r>
        <w:t xml:space="preserve">(2) Savezno tijelo za sigurnost u zdravstvu to mora provjeriti i, ako ograničenje distribucije više ne postoji, odmah izbrisati predmetni patentirani lijek s popisa prema članku 1. stavku 3.</w:t>
      </w:r>
    </w:p>
    <w:p w:rsidR="00F10F73" w:rsidRPr="00EB5BAD" w:rsidRDefault="00F10F73" w:rsidP="00EB60F8">
      <w:pPr>
        <w:pStyle w:val="51Abs"/>
      </w:pPr>
      <w:r>
        <w:t xml:space="preserve">(3) Ako nositelj odobrenja za stavljanje u promet ne ispuni svoju obvezu iz članka 1., Savezni ured za sigurnost u zdravstvu može, nakon provjere, izvršiti brisanje po službenoj dužnosti.</w:t>
      </w:r>
    </w:p>
    <w:p w:rsidR="00F10F73" w:rsidRPr="00EB5BAD" w:rsidRDefault="00F10F73" w:rsidP="00EB60F8">
      <w:pPr>
        <w:pStyle w:val="51Abs"/>
      </w:pPr>
      <w:r>
        <w:rPr>
          <w:rStyle w:val="991GldSymbol"/>
        </w:rPr>
        <w:t xml:space="preserve">Članak 3.</w:t>
      </w:r>
      <w:r>
        <w:t xml:space="preserve"> </w:t>
      </w:r>
      <w:r>
        <w:t xml:space="preserve">(1) Ako Savezno tijelo za sigurnost u zdravstvu sazna da vlasnik dozvole u potpunosti ili djelomično ne ispunjava obveze iz članka 1. stavka 1., Savezno tijelo za sigurnost u zdravstvu nakon provjere postojanja ograničenja javno objaviti predmetni gotovi lijek na popisu prema članku 1. stavku 3.</w:t>
      </w:r>
    </w:p>
    <w:p w:rsidR="00F10F73" w:rsidRPr="00EB5BAD" w:rsidRDefault="00F10F73" w:rsidP="00EB60F8">
      <w:pPr>
        <w:pStyle w:val="51Abs"/>
      </w:pPr>
      <w:r>
        <w:t xml:space="preserve">(3) Ako ograničenje distribucije iz stavka 1. više nije prisutno, primjenjuje se članak 2. </w:t>
      </w:r>
      <w:r>
        <w:rPr>
          <w:i/>
          <w:iCs/>
        </w:rPr>
        <w:t xml:space="preserve">mutatis mutandis</w:t>
      </w:r>
      <w:r>
        <w:t xml:space="preserve">.</w:t>
      </w:r>
    </w:p>
    <w:p w:rsidR="00F10F73" w:rsidRPr="00EB5BAD" w:rsidRDefault="00F10F73" w:rsidP="00EB60F8">
      <w:pPr>
        <w:pStyle w:val="51Abs"/>
      </w:pPr>
      <w:r>
        <w:rPr>
          <w:rStyle w:val="991GldSymbol"/>
        </w:rPr>
        <w:t xml:space="preserve">Članak 4.</w:t>
      </w:r>
      <w:r>
        <w:t xml:space="preserve"> </w:t>
      </w:r>
      <w:r>
        <w:t xml:space="preserve">(2) Ako Savezno tijelo za sigurnost u zdravstvu sazna da patentirani lijek na recept ne pokriva potrebe nacionalnih pacijenata, iako vlasnik dozvole nije prijavio ograničenje distribucije, Savezno tijelo za sigurnost u zdravstvu mora, nakon provjere, dozvole objaviti na popisu predmetne patentirane lijekove na recept prema članku 1. stavku 3.</w:t>
      </w:r>
    </w:p>
    <w:p w:rsidR="00F10F73" w:rsidRPr="00EB5BAD" w:rsidRDefault="00F10F73" w:rsidP="00EB60F8">
      <w:pPr>
        <w:pStyle w:val="51Abs"/>
      </w:pPr>
      <w:r>
        <w:t xml:space="preserve">(2) U slučaju da bilo koje drugo ograničenje više nije prisutno u skladu sa stavkom 1., Savezni ured za sigurnost u zdravstvu nakon provjere po službenoj dužnosti briše relevantni patentirani lijek s popisa u skladu s člankom 1. stavkom 3.</w:t>
      </w:r>
    </w:p>
    <w:p w:rsidR="00F10F73" w:rsidRPr="00EB5BAD" w:rsidRDefault="00F10F73" w:rsidP="00EB60F8">
      <w:pPr>
        <w:pStyle w:val="51Abs"/>
      </w:pPr>
      <w:r>
        <w:rPr>
          <w:rStyle w:val="991GldSymbol"/>
        </w:rPr>
        <w:t xml:space="preserve">Članak 5.</w:t>
      </w:r>
      <w:r>
        <w:t xml:space="preserve"> </w:t>
      </w:r>
      <w:r>
        <w:t xml:space="preserve">(1) Radi zaštite javnog zdravlja, izvoz patentiranih lijekova na recept objavljenih na popisu Saveznog tijela za sigurnost u zdravstvu prema članku 1. stavku 3. u drugu državu ugovornicu Europskog gospodarskog prostora nije dopušten.</w:t>
      </w:r>
    </w:p>
    <w:p w:rsidR="00F10F73" w:rsidRPr="00EB5BAD" w:rsidRDefault="00F10F73" w:rsidP="00EB60F8">
      <w:pPr>
        <w:pStyle w:val="51Abs"/>
      </w:pPr>
      <w:r>
        <w:t xml:space="preserve">(2) Na zahtjev nositelja odobrenja za stavljanje u promet, Savezni ured za sigurnost zdravlja donosi rješenje o zabrani izvoza iz stavka 1.</w:t>
      </w:r>
    </w:p>
    <w:p w:rsidR="00F10F73" w:rsidRPr="00EB5BAD" w:rsidRDefault="00F10F73" w:rsidP="00EB60F8">
      <w:pPr>
        <w:pStyle w:val="51Abs"/>
      </w:pPr>
      <w:r>
        <w:rPr>
          <w:rStyle w:val="991GldSymbol"/>
        </w:rPr>
        <w:t xml:space="preserve">Članak 6.</w:t>
      </w:r>
      <w:r>
        <w:t xml:space="preserve"> </w:t>
      </w:r>
      <w:r>
        <w:t xml:space="preserve">Ova Uredba podliježe postupku pružanja informacija u skladu s Direktivom (EU) 2015/1535 Europskog parlamenta i Vijeća od 9. rujna 2015. o utvrđivanju postupka pružanja informacija u području normi i tehničkih propisa i pravila o uslugama informacijskog društva, SL br. L 241 od 17.9.2015., str. 1.</w:t>
      </w:r>
    </w:p>
    <w:p w:rsidR="00F10F73" w:rsidRPr="00EB5BAD" w:rsidRDefault="00F10F73" w:rsidP="00EB60F8">
      <w:pPr>
        <w:pStyle w:val="51Abs"/>
      </w:pPr>
      <w:r>
        <w:rPr>
          <w:rStyle w:val="991GldSymbol"/>
        </w:rPr>
        <w:t xml:space="preserve">Članak 7.</w:t>
      </w:r>
      <w:r>
        <w:t xml:space="preserve"> </w:t>
      </w:r>
      <w:r>
        <w:t xml:space="preserve">Ovaj pravilnik stupa na snagu 1. travnja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Izdano 18. veljače 2020. – br.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od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Izdano 18. veljače 2020. – br.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od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od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hr-HR"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hr-HR"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hr-HR"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hr-HR"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hr-HR"/>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hr-HR"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hr-HR"/>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hr-HR"/>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hr-HR"/>
    </w:rPr>
  </w:style>
  <w:style w:type="paragraph" w:customStyle="1" w:styleId="PDU1">
    <w:name w:val="PD_U1"/>
    <w:basedOn w:val="00LegStandard"/>
    <w:next w:val="Standard"/>
    <w:rsid w:val="00F10F73"/>
    <w:pPr>
      <w:tabs>
        <w:tab w:val="center" w:pos="2126"/>
        <w:tab w:val="center" w:pos="6379"/>
      </w:tabs>
      <w:spacing w:before="440"/>
    </w:pPr>
    <w:rPr>
      <w:b/>
      <w:lang w:val="hr-HR"/>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hr-HR"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hr-HR"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hr-HR"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hr-HR"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hr-HR"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hr-HR"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hr-HR"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hr-HR"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hr-HR" w:eastAsia="de-AT"/>
    </w:rPr>
  </w:style>
  <w:style w:type="paragraph" w:customStyle="1" w:styleId="58Schlussteile0Abs">
    <w:name w:val="58_Schlussteil_e0_Abs"/>
    <w:basedOn w:val="00LegStandard"/>
    <w:next w:val="51Abs"/>
    <w:rsid w:val="00F10F73"/>
    <w:pPr>
      <w:spacing w:before="40"/>
    </w:pPr>
    <w:rPr>
      <w:lang w:val="hr-HR"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hr-HR"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hr-HR"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hr-HR"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hr-HR"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hr-HR"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hr-HR"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hr-HR"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hr-HR"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hr-HR"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hr-HR"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hr-HR"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hr-HR"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hr-HR"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hr-HR"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hr-HR"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hr-HR"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hr-H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