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E44C1" w14:textId="0D3DD857" w:rsidR="00234E2D" w:rsidRPr="00234E2D" w:rsidRDefault="00234E2D" w:rsidP="00234E2D">
      <w:pPr>
        <w:autoSpaceDE w:val="0"/>
        <w:autoSpaceDN w:val="0"/>
        <w:adjustRightInd w:val="0"/>
        <w:spacing w:after="0" w:line="240" w:lineRule="auto"/>
        <w:jc w:val="left"/>
        <w:rPr>
          <w:rFonts w:ascii="Courier New" w:hAnsi="Courier New" w:cs="Courier New"/>
          <w:color w:val="000000"/>
          <w:szCs w:val="20"/>
        </w:rPr>
      </w:pPr>
      <w:r>
        <w:rPr>
          <w:rFonts w:ascii="Courier New" w:hAnsi="Courier New"/>
          <w:color w:val="000000"/>
          <w:szCs w:val="20"/>
        </w:rPr>
        <w:t>1. ------IND- 2020 0604 DK- PL- ------ 20201007 --- --- PROJET</w:t>
      </w:r>
    </w:p>
    <w:p w14:paraId="2315A9E1" w14:textId="77777777" w:rsidR="00234E2D" w:rsidRPr="00234E2D" w:rsidRDefault="00234E2D" w:rsidP="00866F05">
      <w:pPr>
        <w:pStyle w:val="HTMLPreformatted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C20795" w14:textId="6F90DA5A" w:rsidR="00866F05" w:rsidRPr="009A5194" w:rsidRDefault="00866F05" w:rsidP="00234E2D">
      <w:pPr>
        <w:pStyle w:val="HTMLPreformatted"/>
        <w:keepNext/>
        <w:keepLines/>
        <w:spacing w:line="276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9A5194">
        <w:rPr>
          <w:rFonts w:ascii="Times New Roman" w:hAnsi="Times New Roman"/>
          <w:b/>
          <w:spacing w:val="-4"/>
          <w:sz w:val="24"/>
          <w:szCs w:val="24"/>
        </w:rPr>
        <w:t xml:space="preserve">Normalizacja papierosów elektronicznych i pojemników zapasowych z nikotyną i bez nikotyny </w:t>
      </w:r>
    </w:p>
    <w:p w14:paraId="1EA9A6B0" w14:textId="77777777" w:rsidR="00866F05" w:rsidRPr="00234E2D" w:rsidRDefault="00866F05" w:rsidP="00234E2D">
      <w:pPr>
        <w:pStyle w:val="HTMLPreformatted"/>
        <w:keepNext/>
        <w:keepLines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F2FB98" w14:textId="1FC4126D" w:rsidR="0098752E" w:rsidRPr="00234E2D" w:rsidRDefault="0098752E" w:rsidP="00234E2D">
      <w:pPr>
        <w:keepNext/>
        <w:keepLines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§ 9 a ust. 2 ustawy o papierosach elektronicznych itd., por. akt ujednolicający nr 426 z dnia 18 maja 2016 r. o papierosach elektronicznych itd., zmienionej § 2 ustawy nr 1558 z dnia 18 grudnia 2018 r. i § 3 ustawy nr xx z dnia xx 2020 r., rozporządza się, co następuje: </w:t>
      </w:r>
    </w:p>
    <w:p w14:paraId="67BD4893" w14:textId="77777777" w:rsidR="00C60738" w:rsidRPr="00234E2D" w:rsidRDefault="00C60738" w:rsidP="00234E2D">
      <w:pPr>
        <w:pStyle w:val="HTMLPreformatted"/>
        <w:keepNext/>
        <w:keepLines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right" w:pos="737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90F245" w14:textId="4003AAD3" w:rsidR="00866F05" w:rsidRPr="00234E2D" w:rsidRDefault="00866F05" w:rsidP="00234E2D">
      <w:pPr>
        <w:pStyle w:val="HTMLPreformatted"/>
        <w:keepNext/>
        <w:keepLines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right" w:pos="737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Rozdział 1</w:t>
      </w:r>
    </w:p>
    <w:p w14:paraId="77AB270A" w14:textId="77777777" w:rsidR="00866F05" w:rsidRPr="00234E2D" w:rsidRDefault="00866F05" w:rsidP="00234E2D">
      <w:pPr>
        <w:pStyle w:val="HTMLPreformatted"/>
        <w:keepNext/>
        <w:keepLines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right" w:pos="7370"/>
        </w:tabs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Definicje</w:t>
      </w:r>
    </w:p>
    <w:p w14:paraId="7C05B313" w14:textId="77777777" w:rsidR="00866F05" w:rsidRPr="00234E2D" w:rsidRDefault="00866F05" w:rsidP="00234E2D">
      <w:pPr>
        <w:pStyle w:val="HTMLPreformatted"/>
        <w:keepNext/>
        <w:keepLines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right" w:pos="737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DFA1B6" w14:textId="21071772" w:rsidR="0098752E" w:rsidRPr="00234E2D" w:rsidRDefault="00866F05" w:rsidP="00234E2D">
      <w:pPr>
        <w:pStyle w:val="HTMLPreformatted"/>
        <w:keepNext/>
        <w:keepLines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right" w:pos="73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1.</w:t>
      </w:r>
      <w:r>
        <w:rPr>
          <w:rFonts w:ascii="Times New Roman" w:hAnsi="Times New Roman"/>
          <w:sz w:val="24"/>
          <w:szCs w:val="24"/>
        </w:rPr>
        <w:t xml:space="preserve"> Do celów niniejszego rozporządzenia stosuje się następujące definicje: </w:t>
      </w:r>
    </w:p>
    <w:p w14:paraId="5C4BB7C7" w14:textId="26212048" w:rsidR="0098752E" w:rsidRPr="00234E2D" w:rsidRDefault="0098752E" w:rsidP="0098752E">
      <w:pPr>
        <w:pStyle w:val="HTMLPreformatted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Oznaczenie marki: Nazwa papierosa elektronicznego i pojemnika zapasowego z nikotyną i bez nikotyny z tej samej kategorii produktu.</w:t>
      </w:r>
    </w:p>
    <w:p w14:paraId="5FD64660" w14:textId="5927880F" w:rsidR="0098752E" w:rsidRPr="00234E2D" w:rsidRDefault="0098752E" w:rsidP="0098752E">
      <w:pPr>
        <w:pStyle w:val="HTMLPreformatted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Oznaczenie wariantu: Nazwa stosowana w celu wprowadzenia rozróżnienia między różnymi papierosami elektronicznymi i pojemnikami zapasowymi z nikotyną i bez nikotyny z tym samym oznaczeniem marki.</w:t>
      </w:r>
    </w:p>
    <w:p w14:paraId="3A56BF18" w14:textId="70EBDB70" w:rsidR="0098752E" w:rsidRPr="00234E2D" w:rsidRDefault="0098752E" w:rsidP="0098752E">
      <w:pPr>
        <w:pStyle w:val="HTMLPreformatted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Powierzchnie zewnętrzne: Powierzchnie, które są widoczne, gdy opakowanie jednostkowe jest zamknięte i/lub opakowanie zewnętrzne jest nienaruszone.</w:t>
      </w:r>
    </w:p>
    <w:p w14:paraId="2CEDDCFA" w14:textId="77777777" w:rsidR="0098752E" w:rsidRPr="00234E2D" w:rsidRDefault="0098752E" w:rsidP="0098752E">
      <w:pPr>
        <w:pStyle w:val="HTMLPreformatted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Materiał opakowaniowy: Bezbarwny, przezroczysty materiał, który otacza jedno lub więcej opakowań jednostkowych.</w:t>
      </w:r>
    </w:p>
    <w:p w14:paraId="3C4333D1" w14:textId="20117E90" w:rsidR="0098752E" w:rsidRPr="00234E2D" w:rsidRDefault="0098752E" w:rsidP="0098752E">
      <w:pPr>
        <w:pStyle w:val="HTMLPreformatted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Matowy: Nielakierowany, niepowlekany ani nie poddany obróbce w sposób, który nadaje powierzchni wykończenie inne niż matowe. </w:t>
      </w:r>
    </w:p>
    <w:p w14:paraId="7927C053" w14:textId="1D3FF3B3" w:rsidR="0098752E" w:rsidRPr="00234E2D" w:rsidRDefault="0098752E" w:rsidP="0098752E">
      <w:pPr>
        <w:pStyle w:val="HTMLPreformatted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Pasek: Odrywany pasek służący do otwierania opakowania jednostkowego, opakowania zewnętrznego i materiału opakowaniowego. </w:t>
      </w:r>
    </w:p>
    <w:p w14:paraId="3BBAED5F" w14:textId="77777777" w:rsidR="00866F05" w:rsidRPr="00234E2D" w:rsidRDefault="00866F05" w:rsidP="00866F05">
      <w:pPr>
        <w:pStyle w:val="HTMLPreformatted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right" w:pos="737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312743" w14:textId="77777777" w:rsidR="00866F05" w:rsidRPr="00234E2D" w:rsidRDefault="00866F05" w:rsidP="00866F05">
      <w:pPr>
        <w:pStyle w:val="HTMLPreformatted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right" w:pos="737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BBEF56" w14:textId="77777777" w:rsidR="00866F05" w:rsidRPr="00234E2D" w:rsidRDefault="00866F05" w:rsidP="00234E2D">
      <w:pPr>
        <w:pStyle w:val="HTMLPreformatted"/>
        <w:keepNext/>
        <w:keepLines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right" w:pos="737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Rozdział 2</w:t>
      </w:r>
    </w:p>
    <w:p w14:paraId="11D98059" w14:textId="16B2C720" w:rsidR="00866F05" w:rsidRPr="00234E2D" w:rsidRDefault="00866F05" w:rsidP="00234E2D">
      <w:pPr>
        <w:pStyle w:val="HTMLPreformatted"/>
        <w:keepNext/>
        <w:keepLines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Wymagania dotyczące koloru oraz elementów opakowań jednostkowych, opakowań zewnętrznych i materiałów opakowaniowych do papierosów elektronicznych i pojemników zapasowych z nikotyną i bez nikotyny </w:t>
      </w:r>
    </w:p>
    <w:p w14:paraId="601DA275" w14:textId="77777777" w:rsidR="00866F05" w:rsidRPr="00234E2D" w:rsidRDefault="00866F05" w:rsidP="00234E2D">
      <w:pPr>
        <w:pStyle w:val="HTMLPreformatted"/>
        <w:keepNext/>
        <w:keepLines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58C868" w14:textId="0AFF5298" w:rsidR="00A65562" w:rsidRPr="009A5194" w:rsidRDefault="00866F05" w:rsidP="00A65562">
      <w:pPr>
        <w:pStyle w:val="HTMLPreformatted"/>
        <w:rPr>
          <w:rFonts w:ascii="Times New Roman" w:eastAsiaTheme="minorHAnsi" w:hAnsi="Times New Roman" w:cs="Times New Roman"/>
          <w:color w:val="000000"/>
          <w:spacing w:val="-4"/>
          <w:sz w:val="24"/>
          <w:szCs w:val="24"/>
        </w:rPr>
      </w:pPr>
      <w:r w:rsidRPr="009A5194">
        <w:rPr>
          <w:rFonts w:ascii="Times New Roman" w:hAnsi="Times New Roman"/>
          <w:b/>
          <w:spacing w:val="-4"/>
          <w:sz w:val="24"/>
          <w:szCs w:val="24"/>
        </w:rPr>
        <w:t>§ 2.</w:t>
      </w:r>
      <w:r w:rsidRPr="009A519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A5194">
        <w:rPr>
          <w:rFonts w:ascii="Times New Roman" w:hAnsi="Times New Roman"/>
          <w:color w:val="000000"/>
          <w:spacing w:val="-4"/>
          <w:sz w:val="24"/>
          <w:szCs w:val="24"/>
        </w:rPr>
        <w:t xml:space="preserve">Opakowania jednostkowe papierosów elektronicznych i pojemników zapasowych z nikotyną i bez nikotyny oraz opakowania zewnętrzne i materiały opakowaniowe muszą mieć znormalizowany wygląd określony przepisami niniejszego rozporządzenia i innych aktów prawnych, które regulują zasady dotyczące oznakowania itd. opakowań jednostkowych, opakowań zewnętrznych i materiałów opakowaniowych papierosów elektronicznych i pojemników zapasowych z nikotyną i bez nikotyny. </w:t>
      </w:r>
    </w:p>
    <w:p w14:paraId="1C0D10E1" w14:textId="77777777" w:rsidR="00A65562" w:rsidRPr="00234E2D" w:rsidRDefault="00A65562" w:rsidP="00A65562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3C4D4C13" w14:textId="138079ED" w:rsidR="00A65562" w:rsidRPr="00234E2D" w:rsidRDefault="00A65562" w:rsidP="00A65562">
      <w:pPr>
        <w:pStyle w:val="HTMLPreformatted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Ust. 2. </w:t>
      </w:r>
      <w:r>
        <w:rPr>
          <w:rFonts w:ascii="Times New Roman" w:hAnsi="Times New Roman"/>
          <w:color w:val="000000"/>
          <w:sz w:val="24"/>
          <w:szCs w:val="24"/>
        </w:rPr>
        <w:t xml:space="preserve">Opakowania jednostkowe, opakowania zewnętrzne i materiały opakowaniowe mogą być oznakowane wyłącznie w sposób określony przepisami niniejszego rozporządzenia i innych aktów prawnych. </w:t>
      </w:r>
    </w:p>
    <w:p w14:paraId="511AB781" w14:textId="77777777" w:rsidR="00866F05" w:rsidRPr="00234E2D" w:rsidRDefault="00866F05" w:rsidP="00866F05">
      <w:pPr>
        <w:pStyle w:val="HTMLPreformatted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8FEA1D7" w14:textId="456C425C" w:rsidR="00866F05" w:rsidRPr="00234E2D" w:rsidRDefault="00866F05" w:rsidP="00866F05">
      <w:pPr>
        <w:pStyle w:val="HTMLPreformatted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3.</w:t>
      </w:r>
      <w:r>
        <w:rPr>
          <w:rFonts w:ascii="Times New Roman" w:hAnsi="Times New Roman"/>
          <w:sz w:val="24"/>
          <w:szCs w:val="24"/>
        </w:rPr>
        <w:t xml:space="preserve"> Powierzchnie wewnętrzne i zewnętrzne opakowań jednostkowych i opakowań zewnętrznych muszą mieć kolor Pantone 7771 C o wykończeniu matowym. </w:t>
      </w:r>
    </w:p>
    <w:p w14:paraId="2B935DA5" w14:textId="77777777" w:rsidR="00866F05" w:rsidRPr="00234E2D" w:rsidRDefault="00866F05" w:rsidP="00866F05">
      <w:pPr>
        <w:pStyle w:val="HTMLPreformatted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7C40AF" w14:textId="77777777" w:rsidR="00866F05" w:rsidRPr="00234E2D" w:rsidRDefault="00866F05" w:rsidP="00234E2D">
      <w:pPr>
        <w:pStyle w:val="HTMLPreformatted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Rozdział 3</w:t>
      </w:r>
    </w:p>
    <w:p w14:paraId="6CCA46D3" w14:textId="7AE4F374" w:rsidR="00866F05" w:rsidRPr="00234E2D" w:rsidRDefault="00866F05" w:rsidP="00234E2D">
      <w:pPr>
        <w:pStyle w:val="HTMLPreformatted"/>
        <w:keepNext/>
        <w:keepLines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Powierzchnie itd. opakowań jednostkowych i opakowań zewnętrznych papierosów elektronicznych i pojemników zapasowych z nikotyną i bez nikotyny </w:t>
      </w:r>
    </w:p>
    <w:p w14:paraId="270BF0E9" w14:textId="77777777" w:rsidR="00866F05" w:rsidRPr="00234E2D" w:rsidRDefault="00866F05" w:rsidP="00234E2D">
      <w:pPr>
        <w:pStyle w:val="HTMLPreformatted"/>
        <w:keepNext/>
        <w:keepLines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975BE43" w14:textId="0E64482C" w:rsidR="00866F05" w:rsidRPr="00234E2D" w:rsidRDefault="00866F05" w:rsidP="00866F05">
      <w:pPr>
        <w:pStyle w:val="HTMLPreformatted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4.</w:t>
      </w:r>
      <w:r>
        <w:rPr>
          <w:rFonts w:ascii="Times New Roman" w:hAnsi="Times New Roman"/>
          <w:sz w:val="24"/>
          <w:szCs w:val="24"/>
        </w:rPr>
        <w:t xml:space="preserve"> Powierzchnie muszą być płaskie i gładkie oraz nie mogą zawierać niestandardowych elementów, takich jak oznakowania, tłoczenia, tekstury, wgłębienia, wybrzuszenia ani elementów o jakimkolwiek innym kształcie lub strukturze.</w:t>
      </w:r>
    </w:p>
    <w:p w14:paraId="4510E263" w14:textId="77777777" w:rsidR="00866F05" w:rsidRPr="00234E2D" w:rsidRDefault="00866F05" w:rsidP="00866F05">
      <w:pPr>
        <w:pStyle w:val="HTMLPreformatted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3C9C5D5" w14:textId="77777777" w:rsidR="00866F05" w:rsidRPr="00234E2D" w:rsidRDefault="00866F05" w:rsidP="00234E2D">
      <w:pPr>
        <w:pStyle w:val="HTMLPreformatted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Rozdział 4</w:t>
      </w:r>
    </w:p>
    <w:p w14:paraId="5EB75C5C" w14:textId="2B7200D1" w:rsidR="00866F05" w:rsidRPr="00234E2D" w:rsidRDefault="00866F05" w:rsidP="00234E2D">
      <w:pPr>
        <w:pStyle w:val="HTMLPreformatted"/>
        <w:keepNext/>
        <w:keepLines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Materiały opakowaniowe używane do produkcji opakowań jednostkowych i opakowań zewnętrznych papierosów elektronicznych i pojemników zapasowych z nikotyną i bez nikotyny </w:t>
      </w:r>
    </w:p>
    <w:p w14:paraId="3B5F2969" w14:textId="77777777" w:rsidR="00866F05" w:rsidRPr="00234E2D" w:rsidRDefault="00866F05" w:rsidP="00234E2D">
      <w:pPr>
        <w:pStyle w:val="HTMLPreformatted"/>
        <w:keepNext/>
        <w:keepLines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CC481E0" w14:textId="65528E98" w:rsidR="00866F05" w:rsidRPr="00234E2D" w:rsidRDefault="00866F05" w:rsidP="00234E2D">
      <w:pPr>
        <w:pStyle w:val="HTMLPreformatted"/>
        <w:keepNext/>
        <w:keepLines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5.</w:t>
      </w:r>
      <w:r>
        <w:rPr>
          <w:rFonts w:ascii="Times New Roman" w:hAnsi="Times New Roman"/>
          <w:sz w:val="24"/>
          <w:szCs w:val="24"/>
        </w:rPr>
        <w:t xml:space="preserve"> Opakowania jednostkowe i opakowania zewnętrzne muszą być pokryte materiałem opakowaniowym. </w:t>
      </w:r>
    </w:p>
    <w:p w14:paraId="29B75B53" w14:textId="77777777" w:rsidR="00866F05" w:rsidRPr="00234E2D" w:rsidRDefault="00866F05" w:rsidP="00234E2D">
      <w:pPr>
        <w:pStyle w:val="HTMLPreformatted"/>
        <w:keepNext/>
        <w:keepLines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A3736AC" w14:textId="2B353E1A" w:rsidR="00866F05" w:rsidRPr="00234E2D" w:rsidRDefault="00866F05" w:rsidP="00866F05">
      <w:pPr>
        <w:pStyle w:val="HTMLPreformatted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Ust. 2.</w:t>
      </w:r>
      <w:r>
        <w:rPr>
          <w:rFonts w:ascii="Times New Roman" w:hAnsi="Times New Roman"/>
          <w:sz w:val="24"/>
          <w:szCs w:val="24"/>
        </w:rPr>
        <w:t xml:space="preserve"> Materiał opakowaniowy musi być płaski i gładki oraz nie może zawierać niestandardowych elementów, takich jak oznakowania, tłoczenia, tekstury, wgłębienia, wybrzuszenia ani elementów o jakimkolwiek innym kształcie lub strukturze.</w:t>
      </w:r>
    </w:p>
    <w:p w14:paraId="3339552D" w14:textId="77777777" w:rsidR="00866F05" w:rsidRPr="00234E2D" w:rsidRDefault="00866F05" w:rsidP="00866F05">
      <w:pPr>
        <w:pStyle w:val="HTMLPreformatted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858061" w14:textId="42CD8319" w:rsidR="00866F05" w:rsidRPr="00234E2D" w:rsidRDefault="00866F05" w:rsidP="00866F05">
      <w:pPr>
        <w:pStyle w:val="HTMLPreformatted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Ust. 3.</w:t>
      </w:r>
      <w:r>
        <w:rPr>
          <w:rFonts w:ascii="Times New Roman" w:hAnsi="Times New Roman"/>
          <w:sz w:val="24"/>
          <w:szCs w:val="24"/>
        </w:rPr>
        <w:t xml:space="preserve"> Pasek do otwierania opakowania może być przezroczysty lub czarny. Musi mieć szerokość nie większą niż 3 mm i biec równolegle do górnej krawędzi paczki.  Na pasku do otwierania opakowania musi być umieszczone oznaczenie wskazujące początek paska w formie przezroczystej lub czarnej jednolitej linii o maksymalnej długości wynoszącej 15 mm.</w:t>
      </w:r>
    </w:p>
    <w:p w14:paraId="519AEBB1" w14:textId="77777777" w:rsidR="00866F05" w:rsidRPr="00234E2D" w:rsidRDefault="00866F05" w:rsidP="00866F05">
      <w:pPr>
        <w:pStyle w:val="HTMLPreformatted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F50D911" w14:textId="282CC192" w:rsidR="00866F05" w:rsidRPr="00234E2D" w:rsidRDefault="00866F05" w:rsidP="00866F05">
      <w:pPr>
        <w:pStyle w:val="HTMLPreformatted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Ust. 4.</w:t>
      </w:r>
      <w:r>
        <w:rPr>
          <w:rFonts w:ascii="Times New Roman" w:hAnsi="Times New Roman"/>
          <w:sz w:val="24"/>
          <w:szCs w:val="24"/>
        </w:rPr>
        <w:t xml:space="preserve"> Pasek w kolorze czarnym nie może przesłaniać ani zakrywać ostrzeżeń zdrowotnych ani innych oznaczeń umieszczonych zgodnie z przepisami innych aktów prawnych. </w:t>
      </w:r>
    </w:p>
    <w:p w14:paraId="57E57D76" w14:textId="77777777" w:rsidR="00866F05" w:rsidRPr="00234E2D" w:rsidRDefault="00866F05" w:rsidP="00866F0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A0AECC3" w14:textId="77777777" w:rsidR="00866F05" w:rsidRPr="00234E2D" w:rsidRDefault="00866F05" w:rsidP="00234E2D">
      <w:pPr>
        <w:keepNext/>
        <w:keepLines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Rozdział 5</w:t>
      </w:r>
    </w:p>
    <w:p w14:paraId="3029C6F6" w14:textId="43F45067" w:rsidR="00866F05" w:rsidRPr="00B67C6A" w:rsidRDefault="00866F05" w:rsidP="00234E2D">
      <w:pPr>
        <w:keepNext/>
        <w:keepLines/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Oznaczenia itd. na opakowaniach jednostkowych i opakowaniach zewnętrznych papierosów elektronicznych i pojemników zapasowych z nikotyną i bez nikotyny</w:t>
      </w:r>
    </w:p>
    <w:p w14:paraId="1EA83137" w14:textId="5968923E" w:rsidR="00384E7F" w:rsidRPr="00234E2D" w:rsidRDefault="00384E7F" w:rsidP="00384E7F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6.</w:t>
      </w:r>
      <w:r>
        <w:rPr>
          <w:rFonts w:ascii="Times New Roman" w:hAnsi="Times New Roman"/>
          <w:sz w:val="24"/>
          <w:szCs w:val="24"/>
        </w:rPr>
        <w:t xml:space="preserve"> Oznaczenia umieszczone zgodnie z przepisami niniejszego rozporządzenia nie mogą przesłaniać ani zakrywać, w części lub w całości, innych oznaczeń umieszczonych zgodnie z przepisami innych aktów prawnych.</w:t>
      </w:r>
    </w:p>
    <w:p w14:paraId="5F4D4B8A" w14:textId="77777777" w:rsidR="00384E7F" w:rsidRPr="00234E2D" w:rsidRDefault="00384E7F" w:rsidP="00D1347B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14:paraId="32A4CDEF" w14:textId="399A5158" w:rsidR="00D1347B" w:rsidRPr="00234E2D" w:rsidRDefault="00866F05" w:rsidP="00D1347B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7.</w:t>
      </w:r>
      <w:r>
        <w:rPr>
          <w:rFonts w:ascii="Times New Roman" w:hAnsi="Times New Roman"/>
          <w:sz w:val="24"/>
          <w:szCs w:val="24"/>
        </w:rPr>
        <w:t xml:space="preserve"> W dwóch miejscach na opakowaniu jednostkowym i opakowaniu zewnętrznym umieszcza się oznaczenie marki i oznaczenie wariantu. Oznaczenie to wykonuje się zgodnie z następującymi wytycznymi:</w:t>
      </w:r>
    </w:p>
    <w:p w14:paraId="777D24A2" w14:textId="77777777" w:rsidR="00D1347B" w:rsidRPr="00234E2D" w:rsidRDefault="00D1347B" w:rsidP="00D1347B">
      <w:pPr>
        <w:pStyle w:val="HTMLPreformatted"/>
        <w:numPr>
          <w:ilvl w:val="0"/>
          <w:numId w:val="2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małymi literami alfabetu, przy czym pierwsza litera wyrazu może być wielka; </w:t>
      </w:r>
    </w:p>
    <w:p w14:paraId="16F360C0" w14:textId="77777777" w:rsidR="00D1347B" w:rsidRPr="00234E2D" w:rsidRDefault="00D1347B" w:rsidP="00D1347B">
      <w:pPr>
        <w:pStyle w:val="HTMLPreformatted"/>
        <w:numPr>
          <w:ilvl w:val="0"/>
          <w:numId w:val="2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pomocą cyfr 0-9;</w:t>
      </w:r>
    </w:p>
    <w:p w14:paraId="11D37002" w14:textId="0B262217" w:rsidR="00D1347B" w:rsidRPr="00234E2D" w:rsidRDefault="00D1347B" w:rsidP="00D1347B">
      <w:pPr>
        <w:pStyle w:val="HTMLPreformatted"/>
        <w:numPr>
          <w:ilvl w:val="0"/>
          <w:numId w:val="2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czcionką Helvetica;</w:t>
      </w:r>
    </w:p>
    <w:p w14:paraId="777CB06D" w14:textId="77777777" w:rsidR="00D1347B" w:rsidRPr="00234E2D" w:rsidRDefault="00D1347B" w:rsidP="00D1347B">
      <w:pPr>
        <w:pStyle w:val="HTMLPreformatted"/>
        <w:numPr>
          <w:ilvl w:val="0"/>
          <w:numId w:val="2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kolorze Pantone 451C o wykończeniu matowym; </w:t>
      </w:r>
    </w:p>
    <w:p w14:paraId="05892C2E" w14:textId="33BA19C0" w:rsidR="00D1347B" w:rsidRPr="00234E2D" w:rsidRDefault="00D1347B" w:rsidP="00D1347B">
      <w:pPr>
        <w:pStyle w:val="ListParagraph"/>
        <w:numPr>
          <w:ilvl w:val="0"/>
          <w:numId w:val="2"/>
        </w:numPr>
        <w:ind w:left="720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czcionką o maksymalnym rozmiarze 10 punktów; i </w:t>
      </w:r>
    </w:p>
    <w:p w14:paraId="7A708772" w14:textId="3A272030" w:rsidR="00D1347B" w:rsidRPr="00234E2D" w:rsidRDefault="00D1347B" w:rsidP="00D1347B">
      <w:pPr>
        <w:pStyle w:val="HTMLPreformatted"/>
        <w:numPr>
          <w:ilvl w:val="0"/>
          <w:numId w:val="2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równolegle do tekstu ostrzeżenia zdrowotnego. </w:t>
      </w:r>
    </w:p>
    <w:p w14:paraId="3FFC2604" w14:textId="77777777" w:rsidR="00D1347B" w:rsidRPr="00234E2D" w:rsidRDefault="00D1347B" w:rsidP="00D1347B">
      <w:pPr>
        <w:pStyle w:val="HTMLPreformatted"/>
        <w:ind w:left="720"/>
        <w:rPr>
          <w:rFonts w:ascii="Times New Roman" w:hAnsi="Times New Roman" w:cs="Times New Roman"/>
          <w:sz w:val="24"/>
          <w:szCs w:val="24"/>
        </w:rPr>
      </w:pPr>
    </w:p>
    <w:p w14:paraId="39CA4AAC" w14:textId="32B04E41" w:rsidR="00866F05" w:rsidRPr="00234E2D" w:rsidRDefault="00D1347B" w:rsidP="00866F05">
      <w:pPr>
        <w:pStyle w:val="HTMLPreformatted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Ust. 2.</w:t>
      </w:r>
      <w:r>
        <w:rPr>
          <w:rFonts w:ascii="Times New Roman" w:hAnsi="Times New Roman"/>
          <w:sz w:val="24"/>
          <w:szCs w:val="24"/>
        </w:rPr>
        <w:t xml:space="preserve"> Oznaczenie marki musi mieścić się w jednej linii i może składać się z nie więcej niż 14 liter.</w:t>
      </w:r>
    </w:p>
    <w:p w14:paraId="30B6DBC5" w14:textId="77777777" w:rsidR="008712FE" w:rsidRPr="00234E2D" w:rsidRDefault="008712FE" w:rsidP="00866F05">
      <w:pPr>
        <w:pStyle w:val="HTMLPreformatted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09F6A93" w14:textId="40955FEC" w:rsidR="00866F05" w:rsidRPr="00234E2D" w:rsidRDefault="00866F05" w:rsidP="00866F05">
      <w:pPr>
        <w:pStyle w:val="HTMLPreformatted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Ust. 3.</w:t>
      </w:r>
      <w:r>
        <w:rPr>
          <w:rFonts w:ascii="Times New Roman" w:hAnsi="Times New Roman"/>
          <w:sz w:val="24"/>
          <w:szCs w:val="24"/>
        </w:rPr>
        <w:t xml:space="preserve"> Oznaczenie wariantu musi mieścić się w jednej linii i być umieszczone bezpośrednio pod oznaczeniem marki. </w:t>
      </w:r>
    </w:p>
    <w:p w14:paraId="4EC4CDAA" w14:textId="77777777" w:rsidR="00F00EBE" w:rsidRPr="00234E2D" w:rsidRDefault="00F00EBE" w:rsidP="00866F05">
      <w:pPr>
        <w:pStyle w:val="HTMLPreformatted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4C9FDD4" w14:textId="5D48D94A" w:rsidR="00180F6A" w:rsidRPr="00234E2D" w:rsidRDefault="00866F05" w:rsidP="00234E2D">
      <w:pPr>
        <w:pStyle w:val="HTMLPreformatted"/>
        <w:keepNext/>
        <w:keepLines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8.</w:t>
      </w:r>
      <w:r>
        <w:rPr>
          <w:rFonts w:ascii="Times New Roman" w:hAnsi="Times New Roman"/>
          <w:sz w:val="24"/>
          <w:szCs w:val="24"/>
        </w:rPr>
        <w:t xml:space="preserve"> Na opakowaniu zewnętrznym i opakowaniach jednostkowych podaje się informacje o sposobie stosowania, dane identyfikujące produkt oraz ilość sztuk i zawartość opakowania. </w:t>
      </w:r>
    </w:p>
    <w:p w14:paraId="105FC0EA" w14:textId="77777777" w:rsidR="00180F6A" w:rsidRPr="00234E2D" w:rsidRDefault="00180F6A" w:rsidP="00234E2D">
      <w:pPr>
        <w:pStyle w:val="HTMLPreformatted"/>
        <w:keepNext/>
        <w:keepLines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0507B5" w14:textId="4C97E4FB" w:rsidR="00866F05" w:rsidRPr="00234E2D" w:rsidRDefault="00180F6A" w:rsidP="00234E2D">
      <w:pPr>
        <w:pStyle w:val="HTMLPreformatted"/>
        <w:keepNext/>
        <w:keepLines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Ust. 2.</w:t>
      </w:r>
      <w:r>
        <w:rPr>
          <w:rFonts w:ascii="Times New Roman" w:hAnsi="Times New Roman"/>
          <w:sz w:val="24"/>
          <w:szCs w:val="24"/>
        </w:rPr>
        <w:t xml:space="preserve"> Na opakowaniu zewnętrznym i opakowaniach jednostkowych papierosów elektronicznych i pojemników zapasowych z nikotyną i bez nikotyny o aromacie charakterystycznym można podać jedno oznaczenie o treści:</w:t>
      </w:r>
    </w:p>
    <w:p w14:paraId="76B2697C" w14:textId="501BE107" w:rsidR="00866F05" w:rsidRPr="00234E2D" w:rsidRDefault="00866F05" w:rsidP="00866F05">
      <w:pPr>
        <w:pStyle w:val="HTMLPreformatted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„O smaku tytoniu” lub</w:t>
      </w:r>
    </w:p>
    <w:p w14:paraId="3585B681" w14:textId="6F12CE2B" w:rsidR="00866F05" w:rsidRPr="00234E2D" w:rsidRDefault="00866F05" w:rsidP="00866F05">
      <w:pPr>
        <w:pStyle w:val="HTMLPreformatted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„O smaku mentolu”.</w:t>
      </w:r>
    </w:p>
    <w:p w14:paraId="42573A76" w14:textId="77777777" w:rsidR="00866F05" w:rsidRPr="00234E2D" w:rsidRDefault="00866F05" w:rsidP="00866F05">
      <w:pPr>
        <w:pStyle w:val="HTMLPreformatted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BBCFB1F" w14:textId="77777777" w:rsidR="00180F6A" w:rsidRPr="00234E2D" w:rsidRDefault="00180F6A" w:rsidP="00234E2D">
      <w:pPr>
        <w:pStyle w:val="HTMLPreformatted"/>
        <w:keepNext/>
        <w:keepLines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Ust. 3.</w:t>
      </w:r>
      <w:r>
        <w:rPr>
          <w:rFonts w:ascii="Times New Roman" w:hAnsi="Times New Roman"/>
          <w:sz w:val="24"/>
          <w:szCs w:val="24"/>
        </w:rPr>
        <w:t xml:space="preserve"> Oznaczenie, o którym mowa w ust. 1 i 2, wykonuje się zgodnie z następującymi wytycznymi:</w:t>
      </w:r>
    </w:p>
    <w:p w14:paraId="0801B32D" w14:textId="77777777" w:rsidR="00180F6A" w:rsidRPr="00234E2D" w:rsidRDefault="00180F6A" w:rsidP="00180F6A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małymi literami alfabetu, przy czym pierwsza litera wyrazu może być wielka; </w:t>
      </w:r>
    </w:p>
    <w:p w14:paraId="4443706E" w14:textId="77777777" w:rsidR="00180F6A" w:rsidRPr="00234E2D" w:rsidRDefault="00180F6A" w:rsidP="00180F6A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za pomocą cyfr 0-9;</w:t>
      </w:r>
    </w:p>
    <w:p w14:paraId="44A0DDCA" w14:textId="1BF9DA86" w:rsidR="00180F6A" w:rsidRPr="00234E2D" w:rsidRDefault="00180F6A" w:rsidP="00180F6A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czcionką Helvetica New Roman;</w:t>
      </w:r>
    </w:p>
    <w:p w14:paraId="6A695902" w14:textId="77777777" w:rsidR="00180F6A" w:rsidRPr="00234E2D" w:rsidRDefault="00180F6A" w:rsidP="00180F6A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w kolorze Pantone 451C o wykończeniu matowym; </w:t>
      </w:r>
    </w:p>
    <w:p w14:paraId="66889EA1" w14:textId="654DE2F1" w:rsidR="00180F6A" w:rsidRPr="00234E2D" w:rsidRDefault="00180F6A" w:rsidP="00180F6A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czcionką o maksymalnym rozmiarze 10 punktów; i</w:t>
      </w:r>
    </w:p>
    <w:p w14:paraId="223A7ED3" w14:textId="597064F4" w:rsidR="00180F6A" w:rsidRPr="00234E2D" w:rsidRDefault="00180F6A" w:rsidP="00180F6A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w kierunku zgodnym z kierunkiem ostrzeżenia zdrowotnego. </w:t>
      </w:r>
    </w:p>
    <w:p w14:paraId="15E03D74" w14:textId="77777777" w:rsidR="00866F05" w:rsidRPr="00234E2D" w:rsidRDefault="00866F05" w:rsidP="00866F05">
      <w:pPr>
        <w:pStyle w:val="HTMLPreformatted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7757DA" w14:textId="4F848F16" w:rsidR="00970A60" w:rsidRPr="00234E2D" w:rsidRDefault="00970A60" w:rsidP="00234E2D">
      <w:pPr>
        <w:pStyle w:val="HTMLPreformatted"/>
        <w:keepNext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9.</w:t>
      </w:r>
      <w:r>
        <w:rPr>
          <w:rFonts w:ascii="Times New Roman" w:hAnsi="Times New Roman"/>
          <w:sz w:val="24"/>
          <w:szCs w:val="24"/>
        </w:rPr>
        <w:t xml:space="preserve"> Każde opakowanie jednostkowe i opakowanie zewnętrzne papierosów elektronicznych i pojemników zapasowych z nikotyną i bez nikotyny musi być opatrzone kodem kreskowym, który:</w:t>
      </w:r>
    </w:p>
    <w:p w14:paraId="7772195D" w14:textId="77777777" w:rsidR="00970A60" w:rsidRPr="00234E2D" w:rsidRDefault="00970A60" w:rsidP="00970A60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służy jedynie do celów zrealizowania płatności, dystrybucji lub kontroli zapasów;</w:t>
      </w:r>
    </w:p>
    <w:p w14:paraId="6F43F673" w14:textId="77777777" w:rsidR="00970A60" w:rsidRPr="00234E2D" w:rsidRDefault="00970A60" w:rsidP="00970A60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jest w kolorze czarnym na białym tle lub w kolorze Pantone 451 C o wykończeniu matowym na białym tle; </w:t>
      </w:r>
    </w:p>
    <w:p w14:paraId="1D5288C0" w14:textId="77777777" w:rsidR="00970A60" w:rsidRPr="009A5194" w:rsidRDefault="00970A60" w:rsidP="00970A60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spacing w:val="-4"/>
          <w:sz w:val="24"/>
          <w:szCs w:val="24"/>
        </w:rPr>
      </w:pPr>
      <w:r w:rsidRPr="009A5194">
        <w:rPr>
          <w:rFonts w:ascii="Times New Roman" w:hAnsi="Times New Roman"/>
          <w:spacing w:val="-4"/>
          <w:sz w:val="24"/>
          <w:szCs w:val="24"/>
        </w:rPr>
        <w:t>nie tworzy obrazka, wzoru lub symbolu, który może być postrzegany inaczej niż kod kreskowy; i</w:t>
      </w:r>
    </w:p>
    <w:p w14:paraId="0254E1AE" w14:textId="77777777" w:rsidR="00970A60" w:rsidRPr="00234E2D" w:rsidRDefault="00970A60" w:rsidP="00970A60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umieszczony jest na spodzie lub z boku opakowania mającego kształt prostopadłościanu.</w:t>
      </w:r>
    </w:p>
    <w:p w14:paraId="3A027C53" w14:textId="21143DE3" w:rsidR="00866F05" w:rsidRPr="00234E2D" w:rsidRDefault="00866F05" w:rsidP="00866F05">
      <w:pPr>
        <w:pStyle w:val="HTMLPreformatted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84964E3" w14:textId="77777777" w:rsidR="008712FE" w:rsidRPr="00234E2D" w:rsidRDefault="008712FE" w:rsidP="00834B55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14:paraId="593478B8" w14:textId="4D7E1070" w:rsidR="00834B55" w:rsidRPr="00234E2D" w:rsidRDefault="00834B55" w:rsidP="00234E2D">
      <w:pPr>
        <w:pStyle w:val="HTMLPreformatted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Rozdział 6</w:t>
      </w:r>
    </w:p>
    <w:p w14:paraId="2096EDFB" w14:textId="72404ADB" w:rsidR="00834B55" w:rsidRPr="00234E2D" w:rsidRDefault="00834B55" w:rsidP="00234E2D">
      <w:pPr>
        <w:pStyle w:val="HTMLPreformatted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Przepisy dotyczące kar</w:t>
      </w:r>
    </w:p>
    <w:p w14:paraId="00114F15" w14:textId="77777777" w:rsidR="00834B55" w:rsidRPr="00234E2D" w:rsidRDefault="00834B55" w:rsidP="00234E2D">
      <w:pPr>
        <w:keepNext/>
        <w:keepLines/>
        <w:rPr>
          <w:rFonts w:ascii="Times New Roman" w:hAnsi="Times New Roman" w:cs="Times New Roman"/>
          <w:b/>
          <w:sz w:val="24"/>
          <w:szCs w:val="24"/>
        </w:rPr>
      </w:pPr>
    </w:p>
    <w:p w14:paraId="71D01E75" w14:textId="32C96742" w:rsidR="00365635" w:rsidRPr="00234E2D" w:rsidRDefault="00365635" w:rsidP="00234E2D">
      <w:pPr>
        <w:keepNext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10. </w:t>
      </w:r>
      <w:r>
        <w:rPr>
          <w:rFonts w:ascii="Times New Roman" w:hAnsi="Times New Roman"/>
          <w:sz w:val="24"/>
          <w:szCs w:val="24"/>
        </w:rPr>
        <w:t>O ile inne przepisy prawa nie przewidują wyższej kary, karze grzywny podlega ten, kto narusza przepisy §§ 2-9.</w:t>
      </w:r>
    </w:p>
    <w:p w14:paraId="582D717A" w14:textId="77777777" w:rsidR="00365635" w:rsidRPr="00234E2D" w:rsidRDefault="00365635" w:rsidP="009A5194">
      <w:pPr>
        <w:keepNext/>
        <w:keepLines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Ust. 2</w:t>
      </w:r>
      <w:r>
        <w:rPr>
          <w:rFonts w:ascii="Times New Roman" w:hAnsi="Times New Roman"/>
          <w:sz w:val="24"/>
          <w:szCs w:val="24"/>
        </w:rPr>
        <w:t>. Przedsiębiorstwa itp. (osoby prawne) mogą podlegać odpowiedzialności karnej zgodnie z przepisami rozdziału 5 kodeksu karnego.</w:t>
      </w:r>
    </w:p>
    <w:p w14:paraId="3DCB8CCA" w14:textId="14EA0924" w:rsidR="00834B55" w:rsidRPr="00234E2D" w:rsidRDefault="00834B55" w:rsidP="00234E2D">
      <w:pPr>
        <w:keepNext/>
        <w:keepLines/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Rozdział 7</w:t>
      </w:r>
    </w:p>
    <w:p w14:paraId="716D784D" w14:textId="2167B7D0" w:rsidR="00834B55" w:rsidRPr="00234E2D" w:rsidRDefault="00834B55" w:rsidP="00234E2D">
      <w:pPr>
        <w:keepNext/>
        <w:keepLines/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Wejście w życie</w:t>
      </w:r>
    </w:p>
    <w:p w14:paraId="2E7467F1" w14:textId="6C8A993D" w:rsidR="00365635" w:rsidRPr="00234E2D" w:rsidRDefault="00365635" w:rsidP="00365635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11. </w:t>
      </w:r>
      <w:r>
        <w:rPr>
          <w:rFonts w:ascii="Times New Roman" w:hAnsi="Times New Roman"/>
          <w:sz w:val="24"/>
          <w:szCs w:val="24"/>
        </w:rPr>
        <w:t>Niniejsze rozporządzenie wchodzi w życie z dniem 1 października 2021 r.</w:t>
      </w:r>
    </w:p>
    <w:p w14:paraId="55EFB55D" w14:textId="77777777" w:rsidR="008712FE" w:rsidRPr="00234E2D" w:rsidRDefault="008712FE" w:rsidP="0036563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</w:p>
    <w:p w14:paraId="07860A1D" w14:textId="0A57C651" w:rsidR="00365635" w:rsidRPr="00234E2D" w:rsidRDefault="00365635" w:rsidP="0036563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Ministerstwo Zdrowia i Osób Starszych, dnia ...</w:t>
      </w:r>
    </w:p>
    <w:p w14:paraId="4B981B68" w14:textId="77777777" w:rsidR="00365635" w:rsidRPr="00234E2D" w:rsidRDefault="00365635" w:rsidP="0036563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</w:p>
    <w:p w14:paraId="256052C7" w14:textId="77777777" w:rsidR="00365635" w:rsidRPr="00234E2D" w:rsidRDefault="00365635" w:rsidP="0036563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Magnus Heunicke</w:t>
      </w:r>
    </w:p>
    <w:p w14:paraId="05C85777" w14:textId="34842FFC" w:rsidR="00365635" w:rsidRPr="00234E2D" w:rsidRDefault="00365635" w:rsidP="00234E2D">
      <w:pPr>
        <w:autoSpaceDE w:val="0"/>
        <w:autoSpaceDN w:val="0"/>
        <w:adjustRightInd w:val="0"/>
        <w:spacing w:line="240" w:lineRule="auto"/>
        <w:ind w:left="2608" w:firstLine="1304"/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/ Mie Saabye</w:t>
      </w:r>
    </w:p>
    <w:sectPr w:rsidR="00365635" w:rsidRPr="00234E2D">
      <w:headerReference w:type="even" r:id="rId12"/>
      <w:headerReference w:type="default" r:id="rId13"/>
      <w:headerReference w:type="firs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D162F" w14:textId="77777777" w:rsidR="00AA360F" w:rsidRDefault="00AA360F" w:rsidP="00763137">
      <w:pPr>
        <w:spacing w:after="0" w:line="240" w:lineRule="auto"/>
      </w:pPr>
      <w:r>
        <w:separator/>
      </w:r>
    </w:p>
  </w:endnote>
  <w:endnote w:type="continuationSeparator" w:id="0">
    <w:p w14:paraId="7ECD37B5" w14:textId="77777777" w:rsidR="00AA360F" w:rsidRDefault="00AA360F" w:rsidP="00763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Gothic"/>
    <w:charset w:val="80"/>
    <w:family w:val="auto"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442EE" w14:textId="77777777" w:rsidR="00AA360F" w:rsidRDefault="00AA360F" w:rsidP="00763137">
      <w:pPr>
        <w:spacing w:after="0" w:line="240" w:lineRule="auto"/>
      </w:pPr>
      <w:r>
        <w:separator/>
      </w:r>
    </w:p>
  </w:footnote>
  <w:footnote w:type="continuationSeparator" w:id="0">
    <w:p w14:paraId="59B3E366" w14:textId="77777777" w:rsidR="00AA360F" w:rsidRDefault="00AA360F" w:rsidP="00763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55DCE" w14:textId="3861A392" w:rsidR="00763137" w:rsidRDefault="009A5194">
    <w:pPr>
      <w:pStyle w:val="Header"/>
    </w:pPr>
    <w:r>
      <w:pict w14:anchorId="55B914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3175907" o:spid="_x0000_s2050" type="#_x0000_t136" style="position:absolute;left:0;text-align:left;margin-left:0;margin-top:0;width:509.55pt;height:16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0C1E9" w14:textId="7B81136A" w:rsidR="00763137" w:rsidRDefault="009A5194">
    <w:pPr>
      <w:pStyle w:val="Header"/>
    </w:pPr>
    <w:r>
      <w:pict w14:anchorId="0553D0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3175908" o:spid="_x0000_s2051" type="#_x0000_t136" style="position:absolute;left:0;text-align:left;margin-left:0;margin-top:0;width:509.55pt;height:16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JEK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EA99D" w14:textId="58A7C240" w:rsidR="00763137" w:rsidRDefault="009A5194">
    <w:pPr>
      <w:pStyle w:val="Header"/>
    </w:pPr>
    <w:r>
      <w:pict w14:anchorId="266701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3175906" o:spid="_x0000_s2049" type="#_x0000_t136" style="position:absolute;left:0;text-align:left;margin-left:0;margin-top:0;width:509.55pt;height:16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B11A6"/>
    <w:multiLevelType w:val="hybridMultilevel"/>
    <w:tmpl w:val="6B622E34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575E4"/>
    <w:multiLevelType w:val="hybridMultilevel"/>
    <w:tmpl w:val="0250F91A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3425C7"/>
    <w:multiLevelType w:val="hybridMultilevel"/>
    <w:tmpl w:val="44D4ED70"/>
    <w:lvl w:ilvl="0" w:tplc="AF7A8E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A5189"/>
    <w:multiLevelType w:val="hybridMultilevel"/>
    <w:tmpl w:val="863401BA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243805"/>
    <w:multiLevelType w:val="hybridMultilevel"/>
    <w:tmpl w:val="8834DCD0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914DD5"/>
    <w:multiLevelType w:val="hybridMultilevel"/>
    <w:tmpl w:val="447EE3E4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C20497"/>
    <w:multiLevelType w:val="hybridMultilevel"/>
    <w:tmpl w:val="88001150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A96B1C"/>
    <w:multiLevelType w:val="hybridMultilevel"/>
    <w:tmpl w:val="D4229730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B7518E"/>
    <w:multiLevelType w:val="hybridMultilevel"/>
    <w:tmpl w:val="15D6F37E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703E7F"/>
    <w:multiLevelType w:val="hybridMultilevel"/>
    <w:tmpl w:val="5A280CE6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8B0E34"/>
    <w:multiLevelType w:val="hybridMultilevel"/>
    <w:tmpl w:val="1EC86020"/>
    <w:lvl w:ilvl="0" w:tplc="8000E780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43FDB"/>
    <w:multiLevelType w:val="hybridMultilevel"/>
    <w:tmpl w:val="CC60F38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0767C"/>
    <w:multiLevelType w:val="hybridMultilevel"/>
    <w:tmpl w:val="220C813E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627F8A"/>
    <w:multiLevelType w:val="hybridMultilevel"/>
    <w:tmpl w:val="589CCB20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F25C52"/>
    <w:multiLevelType w:val="hybridMultilevel"/>
    <w:tmpl w:val="DB9CA4E0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A14A6D"/>
    <w:multiLevelType w:val="hybridMultilevel"/>
    <w:tmpl w:val="F0E4FC8C"/>
    <w:lvl w:ilvl="0" w:tplc="5E66DCA0">
      <w:start w:val="1"/>
      <w:numFmt w:val="decimal"/>
      <w:pStyle w:val="CommentText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C7220"/>
    <w:multiLevelType w:val="hybridMultilevel"/>
    <w:tmpl w:val="466AC2C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74E6FFA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7269A"/>
    <w:multiLevelType w:val="hybridMultilevel"/>
    <w:tmpl w:val="3568496C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F25480"/>
    <w:multiLevelType w:val="hybridMultilevel"/>
    <w:tmpl w:val="D0669338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EC187C"/>
    <w:multiLevelType w:val="hybridMultilevel"/>
    <w:tmpl w:val="E42E63A6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763CD8"/>
    <w:multiLevelType w:val="hybridMultilevel"/>
    <w:tmpl w:val="589CCB20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DD6117"/>
    <w:multiLevelType w:val="hybridMultilevel"/>
    <w:tmpl w:val="220C813E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12"/>
  </w:num>
  <w:num w:numId="5">
    <w:abstractNumId w:val="15"/>
  </w:num>
  <w:num w:numId="6">
    <w:abstractNumId w:val="11"/>
  </w:num>
  <w:num w:numId="7">
    <w:abstractNumId w:val="20"/>
  </w:num>
  <w:num w:numId="8">
    <w:abstractNumId w:val="21"/>
  </w:num>
  <w:num w:numId="9">
    <w:abstractNumId w:val="3"/>
  </w:num>
  <w:num w:numId="10">
    <w:abstractNumId w:val="18"/>
  </w:num>
  <w:num w:numId="11">
    <w:abstractNumId w:val="4"/>
  </w:num>
  <w:num w:numId="12">
    <w:abstractNumId w:val="1"/>
  </w:num>
  <w:num w:numId="13">
    <w:abstractNumId w:val="7"/>
  </w:num>
  <w:num w:numId="14">
    <w:abstractNumId w:val="6"/>
  </w:num>
  <w:num w:numId="15">
    <w:abstractNumId w:val="19"/>
  </w:num>
  <w:num w:numId="16">
    <w:abstractNumId w:val="5"/>
  </w:num>
  <w:num w:numId="17">
    <w:abstractNumId w:val="0"/>
  </w:num>
  <w:num w:numId="18">
    <w:abstractNumId w:val="17"/>
  </w:num>
  <w:num w:numId="19">
    <w:abstractNumId w:val="10"/>
  </w:num>
  <w:num w:numId="20">
    <w:abstractNumId w:val="14"/>
  </w:num>
  <w:num w:numId="21">
    <w:abstractNumId w:val="1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doNotHyphenateCap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05"/>
    <w:rsid w:val="00027E12"/>
    <w:rsid w:val="000D27A2"/>
    <w:rsid w:val="00132986"/>
    <w:rsid w:val="00135E31"/>
    <w:rsid w:val="00180F6A"/>
    <w:rsid w:val="001A3D06"/>
    <w:rsid w:val="001F0FFE"/>
    <w:rsid w:val="00234E2D"/>
    <w:rsid w:val="002519E4"/>
    <w:rsid w:val="00365635"/>
    <w:rsid w:val="00384E7F"/>
    <w:rsid w:val="00456C2A"/>
    <w:rsid w:val="0049533D"/>
    <w:rsid w:val="004A46A3"/>
    <w:rsid w:val="005B0794"/>
    <w:rsid w:val="00620CDA"/>
    <w:rsid w:val="0065676E"/>
    <w:rsid w:val="00743EB9"/>
    <w:rsid w:val="00746D7E"/>
    <w:rsid w:val="00763137"/>
    <w:rsid w:val="007B3CE9"/>
    <w:rsid w:val="00834B55"/>
    <w:rsid w:val="00866F05"/>
    <w:rsid w:val="008712FE"/>
    <w:rsid w:val="008717E6"/>
    <w:rsid w:val="008E5DB4"/>
    <w:rsid w:val="00970A60"/>
    <w:rsid w:val="00971ABD"/>
    <w:rsid w:val="0098752E"/>
    <w:rsid w:val="009A5194"/>
    <w:rsid w:val="009B03CA"/>
    <w:rsid w:val="00A03D5B"/>
    <w:rsid w:val="00A65562"/>
    <w:rsid w:val="00AA360F"/>
    <w:rsid w:val="00AB1A8E"/>
    <w:rsid w:val="00AF13C1"/>
    <w:rsid w:val="00B67C6A"/>
    <w:rsid w:val="00B7258B"/>
    <w:rsid w:val="00C04D22"/>
    <w:rsid w:val="00C60738"/>
    <w:rsid w:val="00D1347B"/>
    <w:rsid w:val="00DB6059"/>
    <w:rsid w:val="00E23F11"/>
    <w:rsid w:val="00EA2A64"/>
    <w:rsid w:val="00F00EBE"/>
    <w:rsid w:val="00F64165"/>
    <w:rsid w:val="00FE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65474ED"/>
  <w15:chartTrackingRefBased/>
  <w15:docId w15:val="{A6CC5AE1-0594-40D0-A419-83DB7FB0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F05"/>
    <w:pPr>
      <w:spacing w:after="200" w:line="260" w:lineRule="exact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evtekst">
    <w:name w:val="Brevtekst"/>
    <w:qFormat/>
    <w:rsid w:val="00866F05"/>
    <w:pPr>
      <w:spacing w:after="0" w:line="270" w:lineRule="atLeast"/>
    </w:pPr>
    <w:rPr>
      <w:rFonts w:ascii="Times New Roman" w:hAnsi="Times New Roman"/>
      <w:sz w:val="23"/>
    </w:rPr>
  </w:style>
  <w:style w:type="paragraph" w:styleId="ListParagraph">
    <w:name w:val="List Paragraph"/>
    <w:basedOn w:val="Brevtekst"/>
    <w:uiPriority w:val="34"/>
    <w:qFormat/>
    <w:rsid w:val="00866F0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66F05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866F05"/>
    <w:pPr>
      <w:numPr>
        <w:numId w:val="5"/>
      </w:num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866F05"/>
    <w:rPr>
      <w:rFonts w:ascii="Arial" w:hAnsi="Arial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66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Cs w:val="20"/>
      <w:lang w:eastAsia="da-D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66F05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A1">
    <w:name w:val="A1"/>
    <w:uiPriority w:val="99"/>
    <w:rsid w:val="00866F05"/>
    <w:rPr>
      <w:rFonts w:cs="Gotham Medium"/>
      <w:color w:val="00000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F0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EB9"/>
    <w:pPr>
      <w:numPr>
        <w:numId w:val="0"/>
      </w:numPr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EB9"/>
    <w:rPr>
      <w:rFonts w:ascii="Arial" w:hAnsi="Arial"/>
      <w:b/>
      <w:bCs/>
      <w:sz w:val="20"/>
      <w:szCs w:val="20"/>
    </w:rPr>
  </w:style>
  <w:style w:type="paragraph" w:customStyle="1" w:styleId="undertitel2">
    <w:name w:val="undertitel2"/>
    <w:basedOn w:val="Normal"/>
    <w:rsid w:val="00C60738"/>
    <w:pPr>
      <w:spacing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styleId="Header">
    <w:name w:val="header"/>
    <w:basedOn w:val="Normal"/>
    <w:link w:val="HeaderChar"/>
    <w:uiPriority w:val="99"/>
    <w:unhideWhenUsed/>
    <w:rsid w:val="00763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137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763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137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5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6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06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9193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8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77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f557624-d6a7-40e5-a06f-ebe44359847b">EAEXP2DD475P-1149199250-4790927</_dlc_DocId>
    <_dlc_DocIdUrl xmlns="8f557624-d6a7-40e5-a06f-ebe44359847b">
      <Url>https://erstdk.sharepoint.com/teams/share/_layouts/15/DocIdRedir.aspx?ID=EAEXP2DD475P-1149199250-4790927</Url>
      <Description>EAEXP2DD475P-1149199250-4790927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23DAD65BFDC47A3186F100C863B32" ma:contentTypeVersion="12898" ma:contentTypeDescription="Opret et nyt dokument." ma:contentTypeScope="" ma:versionID="87a54f96d0b194c06d33fb789b19ef57">
  <xsd:schema xmlns:xsd="http://www.w3.org/2001/XMLSchema" xmlns:xs="http://www.w3.org/2001/XMLSchema" xmlns:p="http://schemas.microsoft.com/office/2006/metadata/properties" xmlns:ns1="http://schemas.microsoft.com/sharepoint/v3" xmlns:ns2="8f557624-d6a7-40e5-a06f-ebe44359847b" xmlns:ns3="ba3c0d19-9a85-4c97-b951-b8742efd782e" targetNamespace="http://schemas.microsoft.com/office/2006/metadata/properties" ma:root="true" ma:fieldsID="c1d279b3aee69afa0dcc07b302a31cea" ns1:_="" ns2:_="" ns3:_="">
    <xsd:import namespace="http://schemas.microsoft.com/sharepoint/v3"/>
    <xsd:import namespace="8f557624-d6a7-40e5-a06f-ebe44359847b"/>
    <xsd:import namespace="ba3c0d19-9a85-4c97-b951-b8742efd7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1" nillable="true" ma:displayName="Oprindelig udløbsdato" ma:hidden="true" ma:internalName="_dlc_ExpireDateSaved" ma:readOnly="true">
      <xsd:simpleType>
        <xsd:restriction base="dms:DateTime"/>
      </xsd:simpleType>
    </xsd:element>
    <xsd:element name="_dlc_ExpireDate" ma:index="22" nillable="true" ma:displayName="Udløbsdato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Undtaget fra politik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7624-d6a7-40e5-a06f-ebe4435984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0d19-9a85-4c97-b951-b8742efd7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9142954-7F93-4D5C-B4E4-368A342282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B91488-929A-4B0B-9CE7-C8563D682F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EC925B-1DC0-4B47-999A-1B50FFB14E19}">
  <ds:schemaRefs>
    <ds:schemaRef ds:uri="http://schemas.microsoft.com/office/2006/metadata/properties"/>
    <ds:schemaRef ds:uri="http://schemas.microsoft.com/office/infopath/2007/PartnerControls"/>
    <ds:schemaRef ds:uri="8f557624-d6a7-40e5-a06f-ebe44359847b"/>
  </ds:schemaRefs>
</ds:datastoreItem>
</file>

<file path=customXml/itemProps4.xml><?xml version="1.0" encoding="utf-8"?>
<ds:datastoreItem xmlns:ds="http://schemas.openxmlformats.org/officeDocument/2006/customXml" ds:itemID="{DF5696F8-580F-4A07-9ACA-270B181AE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557624-d6a7-40e5-a06f-ebe44359847b"/>
    <ds:schemaRef ds:uri="ba3c0d19-9a85-4c97-b951-b8742efd7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FDB4C87-BF4E-451F-B287-777C554D701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Vibjerg</dc:creator>
  <cp:keywords/>
  <dc:description/>
  <cp:lastModifiedBy>Diana STOICA</cp:lastModifiedBy>
  <cp:revision>3</cp:revision>
  <dcterms:created xsi:type="dcterms:W3CDTF">2020-09-30T09:34:00Z</dcterms:created>
  <dcterms:modified xsi:type="dcterms:W3CDTF">2020-10-07T14:58:00Z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/teams/share/data</vt:lpwstr>
  </property>
  <property fmtid="{D5CDD505-2E9C-101B-9397-08002B2CF9AE}" pid="3" name="ContentTypeId">
    <vt:lpwstr>0x01010028823DAD65BFDC47A3186F100C863B32</vt:lpwstr>
  </property>
  <property fmtid="{D5CDD505-2E9C-101B-9397-08002B2CF9AE}" pid="4" name="ItemRetentionFormula">
    <vt:lpwstr/>
  </property>
  <property fmtid="{D5CDD505-2E9C-101B-9397-08002B2CF9AE}" pid="5" name="_dlc_DocIdItemGuid">
    <vt:lpwstr>6284d125-0312-47e2-87d2-681401f66b95</vt:lpwstr>
  </property>
</Properties>
</file>