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color w:val="212529"/>
          <w:sz w:val="37"/>
          <w:szCs w:val="37"/>
          <w:rFonts w:ascii="Questa-Regular" w:eastAsia="Times New Roman" w:hAnsi="Questa-Regular" w:cs="Segoe UI"/>
        </w:rPr>
      </w:pPr>
      <w:r>
        <w:rPr>
          <w:color w:val="212529"/>
          <w:sz w:val="28"/>
          <w:rFonts w:ascii="Questa-Regular" w:hAnsi="Questa-Regular"/>
        </w:rPr>
        <w:t xml:space="preserve">Διάταγμα σχετικά με τη ρύθμιση ορισμένων βιομηχανικών αερίων του θερμοκηπίου</w:t>
      </w:r>
      <w:bookmarkStart w:id="0" w:name="Henvisning_idadc2bf9e-e2bc-4522-800d-b83"/>
      <w:r w:rsidRPr="00231E43">
        <w:rPr>
          <w:color w:val="212529"/>
          <w:sz w:val="37"/>
          <w:rFonts w:ascii="Questa-Regular" w:eastAsia="Times New Roman" w:hAnsi="Questa-Regular" w:cs="Segoe UI"/>
        </w:rPr>
        <w:fldChar w:fldCharType="begin"/>
      </w:r>
      <w:r w:rsidRPr="00231E43">
        <w:rPr>
          <w:color w:val="212529"/>
          <w:sz w:val="37"/>
          <w:rFonts w:ascii="Questa-Regular" w:eastAsia="Times New Roman" w:hAnsi="Questa-Regular" w:cs="Segoe UI"/>
        </w:rPr>
        <w:instrText xml:space="preserve"> HYPERLINK "https://www.retsinformation.dk/eli/lta/2021/1013" \l "idadc2bf9e-e2bc-4522-800d-b831881a24cf" </w:instrText>
      </w:r>
      <w:r w:rsidRPr="00231E43">
        <w:rPr>
          <w:color w:val="212529"/>
          <w:sz w:val="37"/>
          <w:rFonts w:ascii="Questa-Regular" w:eastAsia="Times New Roman" w:hAnsi="Questa-Regular" w:cs="Segoe UI"/>
        </w:rPr>
        <w:fldChar w:fldCharType="separate"/>
      </w:r>
      <w:r>
        <w:rPr>
          <w:color w:val="176D41"/>
          <w:sz w:val="19"/>
          <w:u w:val="single"/>
          <w:rFonts w:ascii="Questa-Regular" w:hAnsi="Questa-Regular"/>
        </w:rPr>
        <w:t xml:space="preserve">1)</w:t>
      </w:r>
      <w:r w:rsidRPr="00231E43">
        <w:rPr>
          <w:color w:val="212529"/>
          <w:sz w:val="37"/>
          <w:rFonts w:ascii="Questa-Regular" w:eastAsia="Times New Roman" w:hAnsi="Questa-Regular" w:cs="Segoe UI"/>
        </w:rPr>
        <w:fldChar w:fldCharType="end"/>
      </w:r>
      <w:bookmarkEnd w:id="0"/>
    </w:p>
    <w:p w14:paraId="7F0C0F5F"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rFonts w:ascii="Questa-Regular" w:hAnsi="Questa-Regular"/>
        </w:rPr>
        <w:t xml:space="preserve">Σύμφωνα με το άρθρο 30, το άρθρο 45 παράγραφος 1 και το άρθρο 59 παράγραφος 4 του νόμου για τα χημικά προϊόντα, βλ. κωδικοποιημένο νόμο αριθ. 115 της 26ης Ιανουαρίου 2017, όπως τροποποιήθηκε με τον νόμο αριθ. 2214 της 29ης Δεκεμβρίου 2020:</w:t>
      </w:r>
    </w:p>
    <w:p w14:paraId="0CB6BC75"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Πεδίο εφαρμογής του διατάγματος</w:t>
      </w:r>
    </w:p>
    <w:p w14:paraId="59687B3E"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Άρθρο 1.</w:t>
      </w:r>
      <w:r>
        <w:rPr>
          <w:color w:val="212529"/>
          <w:sz w:val="23"/>
          <w:rFonts w:ascii="Questa-Regular" w:hAnsi="Questa-Regular"/>
        </w:rPr>
        <w:t xml:space="preserve"> </w:t>
      </w:r>
      <w:r>
        <w:rPr>
          <w:color w:val="212529"/>
          <w:sz w:val="23"/>
          <w:rFonts w:ascii="Questa-Regular" w:hAnsi="Questa-Regular"/>
        </w:rPr>
        <w:t xml:space="preserve">Το εκτελεστικό διάταγμα καλύπτει τους υπερφθοράνθρακες (PFCs) και το εξαφθοριούχο θείο (SF</w:t>
      </w:r>
      <w:r>
        <w:rPr>
          <w:color w:val="212529"/>
          <w:sz w:val="16"/>
          <w:vertAlign w:val="subscript"/>
          <w:rFonts w:ascii="Questa-Regular" w:hAnsi="Questa-Regular"/>
        </w:rPr>
        <w:t xml:space="preserve">6</w:t>
      </w:r>
      <w:r>
        <w:rPr>
          <w:color w:val="212529"/>
          <w:sz w:val="23"/>
          <w:rFonts w:ascii="Questa-Regular" w:hAnsi="Questa-Regular"/>
        </w:rPr>
        <w:t xml:space="preserve">) και τους υδροφθοράνθρακες (HFCs) εκτός από τις υδροφθορολεφίνες (HFOs), τόσο τις ουσίες μόνες τους όσο και μείγματα που περιέχουν μία ή περισσότερες από αυτές τις ουσίες.</w:t>
      </w:r>
    </w:p>
    <w:p w14:paraId="184CCFD8"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2.</w:t>
      </w:r>
      <w:r>
        <w:rPr>
          <w:color w:val="212529"/>
          <w:sz w:val="23"/>
          <w:rFonts w:ascii="Questa-Regular" w:hAnsi="Questa-Regular"/>
        </w:rPr>
        <w:t xml:space="preserve"> </w:t>
      </w:r>
      <w:r>
        <w:rPr>
          <w:color w:val="212529"/>
          <w:sz w:val="23"/>
          <w:rFonts w:ascii="Questa-Regular" w:hAnsi="Questa-Regular"/>
        </w:rPr>
        <w:t xml:space="preserve">Το εκτελεστικό διάταγμα δεν καλύπτει τη βιομηχανική χρήση αερίων του θερμοκηπίου που αναφέρονται στην παράγραφο 1, εκτός από τη χρήση τους ως προστατευτικό αέριο σε χυτήρια ελαφρών μετάλλων και για την παραγωγή εύκαμπτων αφρωδών πλαστικών.</w:t>
      </w:r>
      <w:r>
        <w:rPr>
          <w:color w:val="212529"/>
          <w:sz w:val="23"/>
          <w:rFonts w:ascii="Questa-Regular" w:hAnsi="Questa-Regular"/>
        </w:rPr>
        <w:t xml:space="preserve"> </w:t>
      </w:r>
      <w:r>
        <w:rPr>
          <w:color w:val="212529"/>
          <w:sz w:val="23"/>
          <w:rFonts w:ascii="Questa-Regular" w:hAnsi="Questa-Regular"/>
        </w:rPr>
        <w:t xml:space="preserve">Στο παρόν διάταγμα, ως «βιομηχανική χρήση» νοείται η χρήση στην παραγωγή προϊόντων, όταν τα αέρια θερμοκηπίου δεν περιέχονται στο τελικό προϊόν.</w:t>
      </w:r>
    </w:p>
    <w:p w14:paraId="55CE4E89"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3.</w:t>
      </w:r>
      <w:r>
        <w:rPr>
          <w:color w:val="212529"/>
          <w:sz w:val="23"/>
          <w:rFonts w:ascii="Questa-Regular" w:hAnsi="Questa-Regular"/>
        </w:rPr>
        <w:t xml:space="preserve"> </w:t>
      </w:r>
      <w:r>
        <w:rPr>
          <w:color w:val="212529"/>
          <w:sz w:val="23"/>
          <w:rFonts w:ascii="Questa-Regular" w:hAnsi="Questa-Regular"/>
        </w:rPr>
        <w:t xml:space="preserve">Ο κανονισμός της ΕΕ για τα φθοριούχα αέρια θερμοκηπίου που ισχύει ανά πάσα στιγμή καθορίζει το ελάχιστο επίπεδο ρύθμισης των αερίων θερμοκηπίου που αναφέρονται στο υποτμήμα 1.</w:t>
      </w:r>
    </w:p>
    <w:p w14:paraId="66A7B908"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Περιορισμοί στη χρήση, κ.λπ.</w:t>
      </w:r>
    </w:p>
    <w:p w14:paraId="4B724AE3"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Άρθρο 2.</w:t>
      </w:r>
      <w:r>
        <w:rPr>
          <w:color w:val="212529"/>
          <w:sz w:val="23"/>
          <w:rFonts w:ascii="Questa-Regular" w:hAnsi="Questa-Regular"/>
        </w:rPr>
        <w:t xml:space="preserve"> </w:t>
      </w:r>
      <w:r>
        <w:rPr>
          <w:color w:val="212529"/>
          <w:sz w:val="23"/>
          <w:rFonts w:ascii="Questa-Regular" w:hAnsi="Questa-Regular"/>
        </w:rPr>
        <w:t xml:space="preserve">Η εισαγωγή, πώληση και χρήση νέων προϊόντων που περιέχουν τα αέρια του θερμοκηπίου που αναφέρονται στο άρθρο 1 παράγραφος 1 απαγορεύεται.</w:t>
      </w:r>
    </w:p>
    <w:p w14:paraId="7AAFBE47"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2.</w:t>
      </w:r>
      <w:r>
        <w:rPr>
          <w:color w:val="212529"/>
          <w:sz w:val="23"/>
          <w:rFonts w:ascii="Questa-Regular" w:hAnsi="Questa-Regular"/>
        </w:rPr>
        <w:t xml:space="preserve"> </w:t>
      </w:r>
      <w:r>
        <w:rPr>
          <w:color w:val="212529"/>
          <w:sz w:val="23"/>
          <w:rFonts w:ascii="Questa-Regular" w:hAnsi="Questa-Regular"/>
        </w:rPr>
        <w:t xml:space="preserve">Με την επιφύλαξη της παραγράφου 1, η εισαγωγή, πώληση και χρήση νέων προϊόντων που περιλαμβάνονται στο παράρτημα 1 επιτρέπεται για τα αέρια θερμοκηπίου που περιλαμβάνονται σε αυτό.</w:t>
      </w:r>
    </w:p>
    <w:p w14:paraId="4323A580"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Άρθρο 3.</w:t>
      </w:r>
      <w:r>
        <w:rPr>
          <w:color w:val="212529"/>
          <w:sz w:val="23"/>
          <w:rFonts w:ascii="Questa-Regular" w:hAnsi="Questa-Regular"/>
        </w:rPr>
        <w:t xml:space="preserve"> </w:t>
      </w:r>
      <w:r>
        <w:rPr>
          <w:color w:val="212529"/>
          <w:sz w:val="23"/>
          <w:rFonts w:ascii="Questa-Regular" w:hAnsi="Questa-Regular"/>
        </w:rPr>
        <w:t xml:space="preserve">Η εισαγωγή, πώληση και χρήση των αερίων του θερμοκηπίου, νέων ή ανακτημένων, που αναφέρονται στο άρθρο 1 παράγραφος 1 απαγορεύεται.</w:t>
      </w:r>
    </w:p>
    <w:p w14:paraId="4990F525"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2.</w:t>
      </w:r>
      <w:r>
        <w:rPr>
          <w:color w:val="212529"/>
          <w:sz w:val="23"/>
          <w:rFonts w:ascii="Questa-Regular" w:hAnsi="Questa-Regular"/>
        </w:rPr>
        <w:t xml:space="preserve"> </w:t>
      </w:r>
      <w:r>
        <w:rPr>
          <w:color w:val="212529"/>
          <w:sz w:val="23"/>
          <w:rFonts w:ascii="Questa-Regular" w:hAnsi="Questa-Regular"/>
        </w:rPr>
        <w:t xml:space="preserve">Με την επιφύλαξη της παραγράφου 1, η εισαγωγή, πώληση και οι χρήσεις που περιλαμβάνονται στο παράρτημα 2 επιτρέπονται για τα συγκεκριμένα αέρια του θερμοκηπίου.</w:t>
      </w:r>
    </w:p>
    <w:p w14:paraId="59195785"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Διοικητικές διατάξεις</w:t>
      </w:r>
    </w:p>
    <w:p w14:paraId="3C3F634E"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Άρθρο 4.</w:t>
      </w:r>
      <w:r>
        <w:rPr>
          <w:color w:val="212529"/>
          <w:sz w:val="23"/>
          <w:rFonts w:ascii="Questa-Regular" w:hAnsi="Questa-Regular"/>
        </w:rPr>
        <w:t xml:space="preserve"> </w:t>
      </w:r>
      <w:r>
        <w:rPr>
          <w:color w:val="212529"/>
          <w:sz w:val="23"/>
          <w:rFonts w:ascii="Questa-Regular" w:hAnsi="Questa-Regular"/>
        </w:rPr>
        <w:t xml:space="preserve">Η εποπτεία και ο έλεγχος της συμμόρφωσης με τους κανόνες της γνωστοποίησης σύμφωνα με τις διατάξεις διεξάγεται από τον Οργανισμό Περιβαλλοντικής Προστασίας.</w:t>
      </w:r>
    </w:p>
    <w:p w14:paraId="66D186F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2.</w:t>
      </w:r>
      <w:r>
        <w:rPr>
          <w:color w:val="212529"/>
          <w:sz w:val="23"/>
          <w:rFonts w:ascii="Questa-Regular" w:hAnsi="Questa-Regular"/>
        </w:rPr>
        <w:t xml:space="preserve"> </w:t>
      </w:r>
      <w:r>
        <w:rPr>
          <w:color w:val="212529"/>
          <w:sz w:val="23"/>
          <w:rFonts w:ascii="Questa-Regular" w:hAnsi="Questa-Regular"/>
        </w:rPr>
        <w:t xml:space="preserve">Σε ειδικές περιπτώσεις, ο Οργανισμός Περιβαλλοντικής Προστασίας της Δανίας ενδέχεται να εγκρίνει παρέκκλιση από τις διατάξεις του διατάγματος.</w:t>
      </w:r>
    </w:p>
    <w:p w14:paraId="0F32C31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3.</w:t>
      </w:r>
      <w:r>
        <w:rPr>
          <w:color w:val="212529"/>
          <w:sz w:val="23"/>
          <w:rFonts w:ascii="Questa-Regular" w:hAnsi="Questa-Regular"/>
        </w:rPr>
        <w:t xml:space="preserve"> </w:t>
      </w:r>
      <w:r>
        <w:rPr>
          <w:color w:val="212529"/>
          <w:sz w:val="23"/>
          <w:rFonts w:ascii="Questa-Regular" w:hAnsi="Questa-Regular"/>
        </w:rPr>
        <w:t xml:space="preserve">Οι προσφυγές κατά των αποφάσεων του Οργανισμού Περιβαλλοντικής Προστασίας της Δανίας σύμφωνα με την παράγραφο 2 δεν πρέπει να υποβάλλονται σε άλλη διοικητική αρχή.</w:t>
      </w:r>
    </w:p>
    <w:p w14:paraId="29720BCA"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Κυρώσεις και έναρξη ισχύος</w:t>
      </w:r>
    </w:p>
    <w:p w14:paraId="173B0918"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Άρθρο 5.</w:t>
      </w:r>
      <w:r>
        <w:rPr>
          <w:color w:val="212529"/>
          <w:sz w:val="23"/>
          <w:rFonts w:ascii="Questa-Regular" w:hAnsi="Questa-Regular"/>
        </w:rPr>
        <w:t xml:space="preserve"> </w:t>
      </w:r>
      <w:r>
        <w:rPr>
          <w:color w:val="212529"/>
          <w:sz w:val="23"/>
          <w:rFonts w:ascii="Questa-Regular" w:hAnsi="Questa-Regular"/>
        </w:rPr>
        <w:t xml:space="preserve">Εκτός εάν προβλέπονται αυστηρότερες κυρώσεις από άλλη νομοθεσία, ποινή προστίμου επιβάλλεται σε όσους:</w:t>
      </w:r>
    </w:p>
    <w:p w14:paraId="4ED8A6D9" w14:textId="77777777" w:rsidR="00231E43" w:rsidRPr="00231E43" w:rsidRDefault="00231E43" w:rsidP="00231E43">
      <w:pPr>
        <w:spacing w:after="0" w:line="480" w:lineRule="auto"/>
        <w:ind w:left="-170"/>
        <w:rPr>
          <w:color w:val="212529"/>
          <w:sz w:val="23"/>
          <w:szCs w:val="23"/>
          <w:rFonts w:ascii="Questa-Regular" w:eastAsia="Times New Roman" w:hAnsi="Questa-Regular" w:cs="Segoe UI"/>
        </w:rPr>
      </w:pPr>
      <w:r>
        <w:rPr>
          <w:color w:val="212529"/>
          <w:sz w:val="23"/>
          <w:rFonts w:ascii="Questa-Regular" w:hAnsi="Questa-Regular"/>
        </w:rPr>
        <w:t xml:space="preserve">1) εισάγουν, πωλούν ή χρησιμοποιούν νέα προϊόντα που περιέχουν αέρια του θερμοκηπίου κατά παράβαση του άρθρου 2 ή</w:t>
      </w:r>
    </w:p>
    <w:p w14:paraId="6885B775" w14:textId="77777777" w:rsidR="00231E43" w:rsidRPr="00231E43" w:rsidRDefault="00231E43" w:rsidP="00231E43">
      <w:pPr>
        <w:spacing w:after="0" w:line="480" w:lineRule="auto"/>
        <w:ind w:left="-170"/>
        <w:rPr>
          <w:color w:val="212529"/>
          <w:sz w:val="23"/>
          <w:szCs w:val="23"/>
          <w:rFonts w:ascii="Questa-Regular" w:eastAsia="Times New Roman" w:hAnsi="Questa-Regular" w:cs="Segoe UI"/>
        </w:rPr>
      </w:pPr>
      <w:r>
        <w:rPr>
          <w:color w:val="212529"/>
          <w:sz w:val="23"/>
          <w:rFonts w:ascii="Questa-Regular" w:hAnsi="Questa-Regular"/>
        </w:rPr>
        <w:t xml:space="preserve">2) εισάγουν, πωλούν ή χρησιμοποιούν αέρια του θερμοκηπίου κατά παράβαση του άρθρου 3.</w:t>
      </w:r>
    </w:p>
    <w:p w14:paraId="6CDC0188"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2.</w:t>
      </w:r>
      <w:r>
        <w:rPr>
          <w:color w:val="212529"/>
          <w:sz w:val="23"/>
          <w:rFonts w:ascii="Questa-Regular" w:hAnsi="Questa-Regular"/>
        </w:rPr>
        <w:t xml:space="preserve"> </w:t>
      </w:r>
      <w:r>
        <w:rPr>
          <w:color w:val="212529"/>
          <w:sz w:val="23"/>
          <w:rFonts w:ascii="Questa-Regular" w:hAnsi="Questa-Regular"/>
        </w:rPr>
        <w:t xml:space="preserve">Η κύρωση ενδέχεται να επαυξηθεί με φυλάκιση έως δύο χρόνων εάν η παράβαση διαπράχθηκε εκ προθέσεως ή εκ βαρείας αμελείας, καθώς και εάν η παραβίαση είχε ως αποτέλεσμα, ή αποσκοπούσε σε οικονομικά οφέλη, συμπεριλαμβανομένων των αποταμιεύσεων, για τους ίδιους τους παραβάτες ή για άλλους.</w:t>
      </w:r>
    </w:p>
    <w:p w14:paraId="4F33AC2D"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3.</w:t>
      </w:r>
      <w:r>
        <w:rPr>
          <w:color w:val="212529"/>
          <w:sz w:val="23"/>
          <w:rFonts w:ascii="Questa-Regular" w:hAnsi="Questa-Regular"/>
        </w:rPr>
        <w:t xml:space="preserve"> </w:t>
      </w:r>
      <w:r>
        <w:rPr>
          <w:color w:val="212529"/>
          <w:sz w:val="23"/>
          <w:rFonts w:ascii="Questa-Regular" w:hAnsi="Questa-Regular"/>
        </w:rPr>
        <w:t xml:space="preserve">Οι οντότητες κ.λπ.</w:t>
      </w:r>
      <w:r>
        <w:rPr>
          <w:color w:val="212529"/>
          <w:sz w:val="23"/>
          <w:rFonts w:ascii="Questa-Regular" w:hAnsi="Questa-Regular"/>
        </w:rPr>
        <w:t xml:space="preserve"> </w:t>
      </w:r>
      <w:r>
        <w:rPr>
          <w:color w:val="212529"/>
          <w:sz w:val="23"/>
          <w:rFonts w:ascii="Questa-Regular" w:hAnsi="Questa-Regular"/>
        </w:rPr>
        <w:t xml:space="preserve">(νομικά πρόσωπα) ενδέχεται να υπέχουν ποινική ευθύνη σύμφωνα με τις διατάξεις του κεφαλαίου 5 του ποινικού κώδικα [Straffeloven].</w:t>
      </w:r>
    </w:p>
    <w:p w14:paraId="0C61183C"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Άρθρο 6.</w:t>
      </w:r>
      <w:r>
        <w:rPr>
          <w:color w:val="212529"/>
          <w:sz w:val="23"/>
          <w:rFonts w:ascii="Questa-Regular" w:hAnsi="Questa-Regular"/>
        </w:rPr>
        <w:t xml:space="preserve"> </w:t>
      </w:r>
      <w:r>
        <w:rPr>
          <w:color w:val="212529"/>
          <w:sz w:val="23"/>
          <w:rFonts w:ascii="Questa-Regular" w:hAnsi="Questa-Regular"/>
        </w:rPr>
        <w:t xml:space="preserve">Το παρόν διάταγμα θα τεθεί σε ισχύ την 1η Ιουλίου 2021.</w:t>
      </w:r>
    </w:p>
    <w:p w14:paraId="03EB802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2.</w:t>
      </w:r>
      <w:r>
        <w:rPr>
          <w:color w:val="212529"/>
          <w:sz w:val="23"/>
          <w:rFonts w:ascii="Questa-Regular" w:hAnsi="Questa-Regular"/>
        </w:rPr>
        <w:t xml:space="preserve"> </w:t>
      </w:r>
      <w:r>
        <w:rPr>
          <w:color w:val="212529"/>
          <w:sz w:val="23"/>
          <w:rFonts w:ascii="Questa-Regular" w:hAnsi="Questa-Regular"/>
        </w:rPr>
        <w:t xml:space="preserve">Για τις αντλίες θερμότητας με γέμιση μεταξύ 0,15 kg και 10 kg, οι κανόνες που ισχύουν μέχρι σήμερα εφαρμόζονται έως την 1η Ιανουαρίου 2022.</w:t>
      </w:r>
    </w:p>
    <w:p w14:paraId="7C9F2CA7"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Παράγραφος 3.</w:t>
      </w:r>
      <w:r>
        <w:rPr>
          <w:color w:val="212529"/>
          <w:sz w:val="23"/>
          <w:rFonts w:ascii="Questa-Regular" w:hAnsi="Questa-Regular"/>
        </w:rPr>
        <w:t xml:space="preserve"> </w:t>
      </w:r>
      <w:r>
        <w:rPr>
          <w:color w:val="212529"/>
          <w:sz w:val="23"/>
          <w:rFonts w:ascii="Questa-Regular" w:hAnsi="Questa-Regular"/>
        </w:rPr>
        <w:t xml:space="preserve">Το διάταγμα αριθ. 1326, της 19ης Νοεμβρίου 2018, σχετικά με τη ρύθμιση ορισμένων βιομηχανικών αερίων του θερμοκηπίου καταργείται.</w:t>
      </w:r>
    </w:p>
    <w:p w14:paraId="01810B7E" w14:textId="77777777" w:rsidR="00231E43" w:rsidRPr="00231E43" w:rsidRDefault="00231E43" w:rsidP="00231E43">
      <w:pPr>
        <w:spacing w:before="120" w:after="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Υπουργείο Περιβάλλοντος, 13 Μαΐου 2021</w:t>
      </w:r>
    </w:p>
    <w:p w14:paraId="4EA287F6" w14:textId="77777777" w:rsidR="00231E43" w:rsidRPr="00231E43" w:rsidRDefault="00231E43" w:rsidP="00231E43">
      <w:pPr>
        <w:spacing w:before="120" w:after="0" w:line="480" w:lineRule="auto"/>
        <w:jc w:val="center"/>
        <w:rPr>
          <w:color w:val="212529"/>
          <w:sz w:val="23"/>
          <w:szCs w:val="23"/>
          <w:rFonts w:ascii="Questa-Regular" w:eastAsia="Times New Roman" w:hAnsi="Questa-Regular" w:cs="Segoe UI"/>
        </w:rPr>
      </w:pPr>
      <w:r>
        <w:rPr>
          <w:color w:val="212529"/>
          <w:sz w:val="23"/>
          <w:rFonts w:ascii="Questa-Regular" w:hAnsi="Questa-Regular"/>
        </w:rPr>
        <w:t xml:space="preserve">Lea Wermelin</w:t>
      </w:r>
    </w:p>
    <w:p w14:paraId="4C46C222" w14:textId="77777777" w:rsidR="00231E43" w:rsidRPr="00231E43" w:rsidRDefault="00231E43" w:rsidP="00231E43">
      <w:pPr>
        <w:spacing w:after="0" w:line="480" w:lineRule="auto"/>
        <w:jc w:val="right"/>
        <w:rPr>
          <w:color w:val="212529"/>
          <w:sz w:val="23"/>
          <w:szCs w:val="23"/>
          <w:rFonts w:ascii="Questa-Regular" w:eastAsia="Times New Roman" w:hAnsi="Questa-Regular" w:cs="Segoe UI"/>
        </w:rPr>
      </w:pPr>
      <w:r>
        <w:rPr>
          <w:color w:val="212529"/>
          <w:sz w:val="23"/>
          <w:rFonts w:ascii="Questa-Regular" w:hAnsi="Questa-Regular"/>
        </w:rPr>
        <w:t xml:space="preserve">/ Henrik Søren Larsen</w:t>
      </w:r>
    </w:p>
    <w:p w14:paraId="51926885" w14:textId="77777777" w:rsidR="00231E43" w:rsidRPr="00231E43" w:rsidRDefault="00BF61A0" w:rsidP="00231E43">
      <w:pPr>
        <w:spacing w:before="200" w:line="480" w:lineRule="auto"/>
        <w:rPr>
          <w:color w:val="212529"/>
          <w:sz w:val="23"/>
          <w:szCs w:val="23"/>
          <w:rFonts w:ascii="Questa-Regular" w:eastAsia="Times New Roman" w:hAnsi="Questa-Regular" w:cs="Segoe UI"/>
        </w:rPr>
      </w:pPr>
      <w:r>
        <w:rPr>
          <w:color w:val="212529"/>
          <w:sz w:val="23"/>
          <w:rFonts w:ascii="Questa-Regular" w:hAnsi="Questa-Regular"/>
        </w:rPr>
        <w:pict w14:anchorId="5E3E9614">
          <v:rect id="_x0000_i1025" style="width:416.3pt;height:0" o:hrpct="0" o:hralign="center" o:hrstd="t" o:hr="t" fillcolor="#a0a0a0" stroked="f"/>
        </w:pict>
      </w:r>
    </w:p>
    <w:p w14:paraId="38755CA3" w14:textId="77777777" w:rsidR="00BF61A0" w:rsidRDefault="00BF61A0">
      <w:pPr>
        <w:rPr>
          <w:b/>
          <w:color w:val="212529"/>
          <w:sz w:val="32"/>
          <w:rFonts w:ascii="Questa-Regular" w:hAnsi="Questa-Regular"/>
        </w:rPr>
      </w:pPr>
      <w:r>
        <w:br w:type="page"/>
      </w:r>
    </w:p>
    <w:p w14:paraId="78C08BCE" w14:textId="17AF3AF4" w:rsidR="00231E43" w:rsidRPr="00231E43" w:rsidRDefault="00231E43" w:rsidP="00231E43">
      <w:pPr>
        <w:spacing w:before="400" w:after="120" w:line="480" w:lineRule="auto"/>
        <w:jc w:val="right"/>
        <w:rPr>
          <w:b/>
          <w:bCs/>
          <w:color w:val="212529"/>
          <w:sz w:val="32"/>
          <w:szCs w:val="32"/>
          <w:rFonts w:ascii="Questa-Regular" w:eastAsia="Times New Roman" w:hAnsi="Questa-Regular" w:cs="Segoe UI"/>
        </w:rPr>
      </w:pPr>
      <w:r>
        <w:rPr>
          <w:b/>
          <w:color w:val="212529"/>
          <w:sz w:val="32"/>
          <w:rFonts w:ascii="Questa-Regular" w:hAnsi="Questa-Regular"/>
        </w:rPr>
        <w:t xml:space="preserve">Παράρτημα 1</w:t>
      </w:r>
    </w:p>
    <w:p w14:paraId="0DC067B5" w14:textId="77777777" w:rsidR="00231E43" w:rsidRPr="00231E43" w:rsidRDefault="00231E43" w:rsidP="00231E43">
      <w:pPr>
        <w:spacing w:after="120" w:line="480" w:lineRule="auto"/>
        <w:jc w:val="center"/>
        <w:rPr>
          <w:b/>
          <w:bCs/>
          <w:color w:val="212529"/>
          <w:sz w:val="28"/>
          <w:szCs w:val="28"/>
          <w:rFonts w:ascii="Questa-Regular" w:eastAsia="Times New Roman" w:hAnsi="Questa-Regular" w:cs="Segoe UI"/>
        </w:rPr>
      </w:pPr>
      <w:r>
        <w:rPr>
          <w:b/>
          <w:color w:val="212529"/>
          <w:sz w:val="28"/>
          <w:rFonts w:ascii="Questa-Regular" w:hAnsi="Questa-Regular"/>
        </w:rPr>
        <w:t xml:space="preserve">Τα ακόλουθα προϊόντα που περιέχουν τα ορισμένα αέρια θερμοκηπίου αποκλείονται από την απαγόρευση του άρθρου 2</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7837"/>
              <w:gridCol w:w="90"/>
              <w:gridCol w:w="1388"/>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Προϊόν</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Αέρια θερμοκηπίου</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Διατάξεις διακοπής υψηλής τάσης (τάση άνω του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SF</w:t>
                  </w:r>
                  <w:r>
                    <w:rPr>
                      <w:sz w:val="16"/>
                      <w:vertAlign w:val="subscript"/>
                      <w:rFonts w:ascii="Times New Roman" w:hAnsi="Times New Roman"/>
                    </w:rPr>
                    <w:t xml:space="preserve">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Αντλίες θερμότητας με φορτίο 50 kg ή μικρότερο οι οποίες είναι εξ ολοκλήρου εργοστασιακά συναρμολογημένες ως συμπαγείς μονάδες που συναρμολογούνται κυρίως με συγκόλληση ή κασσιτεροκόλληση.</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Συστήματα ψύξης για αντλίες θερμότητας με φορτίο 50 kg ή μικρότερο τα οποία είναι εξ ολοκλήρου εργοστασιακά συναρμολογημένα ως συμπαγείς μονάδες που συναρμολογούνται κυρίως με συγκόλληση ή κασσιτεροκόλληση.</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Αντλίες θερμότητας που δεν καλύπτονται από το σημείο 2, εξοπλισμός ψύξης, συστήματα κλιματισμού (ψύξη που δημιουργεί συνθήκες άνεσης) και αφυγραντήρες με φορτίο ίσο με ή μικρότερο από 5 τόνους ισοδύναμου CO</w:t>
                  </w:r>
                  <w:r>
                    <w:rPr>
                      <w:sz w:val="16"/>
                      <w:vertAlign w:val="subscript"/>
                      <w:rFonts w:ascii="Times New Roman" w:hAnsi="Times New Roman"/>
                    </w:rPr>
                    <w:t xml:space="preserve">2 </w:t>
                  </w:r>
                  <w:bookmarkStart w:id="1" w:name="Henvisning_id853ebac0-2be4-4db0-9b53-7d7"/>
                  <w:r w:rsidRPr="00231E43">
                    <w:rPr>
                      <w:sz w:val="24"/>
                      <w:rFonts w:ascii="Times New Roman" w:eastAsia="Times New Roman" w:hAnsi="Times New Roman" w:cs="Times New Roman"/>
                    </w:rPr>
                    <w:fldChar w:fldCharType="begin"/>
                  </w:r>
                  <w:r w:rsidRPr="00231E43">
                    <w:rPr>
                      <w:sz w:val="24"/>
                      <w:rFonts w:ascii="Times New Roman" w:eastAsia="Times New Roman" w:hAnsi="Times New Roman" w:cs="Times New Roman"/>
                    </w:rPr>
                    <w:instrText xml:space="preserve"> HYPERLINK "https://www.retsinformation.dk/eli/lta/2021/1013" \l "id853ebac0-2be4-4db0-9b53-7d7bc98618c7" </w:instrText>
                  </w:r>
                  <w:r w:rsidRPr="00231E43">
                    <w:rPr>
                      <w:sz w:val="24"/>
                      <w:rFonts w:ascii="Times New Roman" w:eastAsia="Times New Roman" w:hAnsi="Times New Roman" w:cs="Times New Roman"/>
                    </w:rPr>
                    <w:fldChar w:fldCharType="separate"/>
                  </w:r>
                  <w:r>
                    <w:rPr>
                      <w:color w:val="176D41"/>
                      <w:sz w:val="19"/>
                      <w:u w:val="single"/>
                      <w:vertAlign w:val="superscript"/>
                      <w:rFonts w:ascii="Times New Roman" w:hAnsi="Times New Roman"/>
                    </w:rPr>
                    <w:t xml:space="preserve">2)</w:t>
                  </w:r>
                  <w:r w:rsidRPr="00231E43">
                    <w:rPr>
                      <w:sz w:val="24"/>
                      <w:rFonts w:ascii="Times New Roman" w:eastAsia="Times New Roman" w:hAnsi="Times New Roman" w:cs="Times New Roman"/>
                    </w:rPr>
                    <w:fldChar w:fldCharType="end"/>
                  </w:r>
                  <w:bookmarkEnd w:id="1"/>
                  <w:r>
                    <w:rPr>
                      <w:sz w:val="24"/>
                      <w:rFonts w:ascii="Times New Roman" w:hAnsi="Times New Roman"/>
                    </w:rPr>
                    <w:t xml:space="preserve">.</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Συστήματα ψύξης που δεν καλύπτονται από το σημείο 4 για αντλίες θερμότητας με φορτίο από 0,15 kg έως 10 kg και τα οποία είναι εξ ολοκλήρου εργοστασιακά συναρμολογημένα ως συμπαγείς μονάδες που συναρμολογούνται κυρίως με συγκόλληση ή κασσιτεροκόλληση.</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Ψύκτες εμβολίων.</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Κινητός εξοπλισμός ψύξης.</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Συστήματα κλιματισμού σε οχήματα και αεροσκάφη.</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Καταψύκτες χαμηλής θερμοκρασίας (θερμοκρασίες κάτω των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Ιατρικά αερολύματα.</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Εργαστηριακός εξοπλισμός.</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Όλα</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Εγκαταστάσεις διενέργειας δοκιμών σε εξοπλισμό ψύξης.</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Αυτόματες διατάξεις ελέγχου (θερμοστάτες, βαλβίδες, κ.λπ.).</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Όλα</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Προϊόντα για στρατιωτική χρήση.</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Όλα</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Προϊόντα για χρήση σε σκάφη.</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Όλα</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color w:val="212529"/>
          <w:sz w:val="19"/>
          <w:szCs w:val="19"/>
          <w:rFonts w:ascii="Questa-Regular" w:eastAsia="Times New Roman" w:hAnsi="Questa-Regular" w:cs="Segoe UI"/>
        </w:rPr>
      </w:pPr>
      <w:r>
        <w:rPr>
          <w:color w:val="212529"/>
          <w:sz w:val="19"/>
          <w:rFonts w:ascii="Questa-Regular" w:hAnsi="Questa-Regular"/>
        </w:rPr>
        <w:t xml:space="preserve">2) Η ποσότητα και το ισοδύναμο CO</w:t>
      </w:r>
      <w:r>
        <w:rPr>
          <w:color w:val="212529"/>
          <w:sz w:val="13"/>
          <w:vertAlign w:val="subscript"/>
          <w:rFonts w:ascii="Questa-Regular" w:hAnsi="Questa-Regular"/>
        </w:rPr>
        <w:t xml:space="preserve">2</w:t>
      </w:r>
      <w:r>
        <w:rPr>
          <w:color w:val="212529"/>
          <w:sz w:val="19"/>
          <w:rFonts w:ascii="Questa-Regular" w:hAnsi="Questa-Regular"/>
        </w:rPr>
        <w:t xml:space="preserve"> προσδιορίζονται σύμφωνα με τους κανόνες που ισχύουν για την επισήμανση σύμφωνα με το άρθρο 12 παράγραφος 3 στοιχείο γ) του κανονισμού (ΕΚ) αριθ. 517/2014 του Ευρωπαϊκού Κοινοβουλίου και του Συμβουλίου, της 16ης Απριλίου 2014, για τα φθοριούχα αέρια του θερμοκηπίου και για την κατάργηση του κανονισμού (ΕΚ) αριθ.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BF61A0" w:rsidP="00231E43">
      <w:pPr>
        <w:spacing w:before="200" w:line="480" w:lineRule="auto"/>
        <w:rPr>
          <w:color w:val="212529"/>
          <w:sz w:val="23"/>
          <w:szCs w:val="23"/>
          <w:rFonts w:ascii="Questa-Regular" w:eastAsia="Times New Roman" w:hAnsi="Questa-Regular" w:cs="Segoe UI"/>
        </w:rPr>
      </w:pPr>
      <w:r>
        <w:rPr>
          <w:color w:val="212529"/>
          <w:sz w:val="23"/>
          <w:rFonts w:ascii="Questa-Regular" w:hAnsi="Questa-Regular"/>
        </w:rPr>
        <w:pict w14:anchorId="221067F7">
          <v:rect id="_x0000_i1026" style="width:416.3pt;height:0" o:hrpct="0" o:hralign="center" o:hrstd="t" o:hr="t" fillcolor="#a0a0a0" stroked="f"/>
        </w:pict>
      </w:r>
    </w:p>
    <w:p w14:paraId="1EF54FD8" w14:textId="77777777" w:rsidR="00231E43" w:rsidRDefault="00231E43">
      <w:pPr>
        <w:rPr>
          <w:b/>
          <w:bCs/>
          <w:color w:val="212529"/>
          <w:sz w:val="32"/>
          <w:szCs w:val="32"/>
          <w:rFonts w:ascii="Questa-Regular" w:eastAsia="Times New Roman" w:hAnsi="Questa-Regular" w:cs="Segoe UI"/>
        </w:rPr>
      </w:pPr>
      <w:r>
        <w:br w:type="page"/>
      </w:r>
    </w:p>
    <w:p w14:paraId="4404E3D1" w14:textId="77777777" w:rsidR="00231E43" w:rsidRPr="00231E43" w:rsidRDefault="00231E43" w:rsidP="00231E43">
      <w:pPr>
        <w:spacing w:before="400" w:after="120" w:line="480" w:lineRule="auto"/>
        <w:jc w:val="right"/>
        <w:rPr>
          <w:b/>
          <w:bCs/>
          <w:color w:val="212529"/>
          <w:sz w:val="32"/>
          <w:szCs w:val="32"/>
          <w:rFonts w:ascii="Questa-Regular" w:eastAsia="Times New Roman" w:hAnsi="Questa-Regular" w:cs="Segoe UI"/>
        </w:rPr>
      </w:pPr>
      <w:r>
        <w:rPr>
          <w:b/>
          <w:color w:val="212529"/>
          <w:sz w:val="32"/>
          <w:rFonts w:ascii="Questa-Regular" w:hAnsi="Questa-Regular"/>
        </w:rPr>
        <w:t xml:space="preserve">Παράρτημα 2</w:t>
      </w:r>
    </w:p>
    <w:p w14:paraId="0AA4944F" w14:textId="77777777" w:rsidR="00231E43" w:rsidRPr="00231E43" w:rsidRDefault="00231E43" w:rsidP="00231E43">
      <w:pPr>
        <w:spacing w:after="120" w:line="480" w:lineRule="auto"/>
        <w:jc w:val="center"/>
        <w:rPr>
          <w:b/>
          <w:bCs/>
          <w:color w:val="212529"/>
          <w:sz w:val="28"/>
          <w:szCs w:val="28"/>
          <w:rFonts w:ascii="Questa-Regular" w:eastAsia="Times New Roman" w:hAnsi="Questa-Regular" w:cs="Segoe UI"/>
        </w:rPr>
      </w:pPr>
      <w:r>
        <w:rPr>
          <w:b/>
          <w:color w:val="212529"/>
          <w:sz w:val="28"/>
          <w:rFonts w:ascii="Questa-Regular" w:hAnsi="Questa-Regular"/>
        </w:rPr>
        <w:t xml:space="preserve">Οι ακόλουθες χρήσεις των ορισμένων αερίων θερμοκηπίου αποκλείονται από την απαγόρευση του άρθρου 3</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810"/>
              <w:gridCol w:w="1625"/>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Χρήση</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Αέρια θερμοκηπίου</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Επισκευή εξοπλισμού ψύξης, συσκευών κλιματισμού, αντλιών θερμότητας και αφυγραντήρων.</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Επισκευή κλιματισμού σε οχήματα ή αεροσκάφη.</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Υδροφθοράνθρακες (HFC)</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Επισκευή διατάξεων διακοπής υψηλής τάσης (τάση άνω του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SF</w:t>
                  </w:r>
                  <w:r>
                    <w:rPr>
                      <w:sz w:val="16"/>
                      <w:vertAlign w:val="subscript"/>
                      <w:rFonts w:ascii="Times New Roman" w:hAnsi="Times New Roman"/>
                    </w:rPr>
                    <w:t xml:space="preserve">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Επισκευή εργαστηριακού εξοπλισμού.</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Όλα</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Στρατιωτική χρήση.</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Όλα</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Αποτέφρωση σε πλοίο.</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Όλα</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color w:val="212529"/>
          <w:sz w:val="23"/>
          <w:szCs w:val="23"/>
          <w:rFonts w:ascii="Questa-Regular" w:eastAsia="Times New Roman" w:hAnsi="Questa-Regular" w:cs="Segoe UI"/>
        </w:rPr>
      </w:pPr>
      <w:r>
        <w:rPr>
          <w:color w:val="212529"/>
          <w:sz w:val="23"/>
          <w:rFonts w:ascii="Questa-Regular" w:hAnsi="Questa-Regular"/>
        </w:rPr>
        <w:t xml:space="preserve">Επίσημες σημειώσεις</w:t>
      </w:r>
    </w:p>
    <w:bookmarkStart w:id="2" w:name="idadc2bf9e-e2bc-4522-800d-b831881a24cf"/>
    <w:p w14:paraId="49A84516" w14:textId="77777777" w:rsidR="00231E43" w:rsidRPr="00231E43" w:rsidRDefault="00231E43" w:rsidP="00231E43">
      <w:pPr>
        <w:spacing w:before="40" w:after="40" w:line="480" w:lineRule="auto"/>
        <w:rPr>
          <w:color w:val="212529"/>
          <w:sz w:val="19"/>
          <w:szCs w:val="19"/>
          <w:rFonts w:ascii="Questa-Regular" w:eastAsia="Times New Roman" w:hAnsi="Questa-Regular" w:cs="Segoe UI"/>
        </w:rPr>
      </w:pPr>
      <w:r w:rsidRPr="00231E43">
        <w:rPr>
          <w:color w:val="212529"/>
          <w:sz w:val="19"/>
          <w:rFonts w:ascii="Questa-Regular" w:eastAsia="Times New Roman" w:hAnsi="Questa-Regular" w:cs="Segoe UI"/>
        </w:rPr>
        <w:fldChar w:fldCharType="begin"/>
      </w:r>
      <w:r w:rsidRPr="00231E43">
        <w:rPr>
          <w:color w:val="212529"/>
          <w:sz w:val="19"/>
          <w:rFonts w:ascii="Questa-Regular" w:eastAsia="Times New Roman" w:hAnsi="Questa-Regular" w:cs="Segoe UI"/>
        </w:rPr>
        <w:instrText xml:space="preserve"> HYPERLINK "https://www.retsinformation.dk/eli/lta/2021/1013" \l "Reference_idadc2bf9e-e2bc-4522-800d-b831881a24cf" </w:instrText>
      </w:r>
      <w:r w:rsidRPr="00231E43">
        <w:rPr>
          <w:color w:val="212529"/>
          <w:sz w:val="19"/>
          <w:rFonts w:ascii="Questa-Regular" w:eastAsia="Times New Roman" w:hAnsi="Questa-Regular" w:cs="Segoe UI"/>
        </w:rPr>
        <w:fldChar w:fldCharType="separate"/>
      </w:r>
      <w:r>
        <w:rPr>
          <w:color w:val="176D41"/>
          <w:sz w:val="16"/>
          <w:u w:val="single"/>
          <w:vertAlign w:val="superscript"/>
          <w:rFonts w:ascii="Questa-Regular" w:hAnsi="Questa-Regular"/>
        </w:rPr>
        <w:t xml:space="preserve">1)</w:t>
      </w:r>
      <w:r w:rsidRPr="00231E43">
        <w:rPr>
          <w:color w:val="212529"/>
          <w:sz w:val="19"/>
          <w:rFonts w:ascii="Questa-Regular" w:eastAsia="Times New Roman" w:hAnsi="Questa-Regular" w:cs="Segoe UI"/>
        </w:rPr>
        <w:fldChar w:fldCharType="end"/>
      </w:r>
      <w:bookmarkEnd w:id="2"/>
      <w:r>
        <w:rPr>
          <w:color w:val="212529"/>
          <w:sz w:val="19"/>
          <w:rFonts w:ascii="Questa-Regular" w:hAnsi="Questa-Regular"/>
        </w:rPr>
        <w:t xml:space="preserve"> </w:t>
      </w:r>
      <w:r>
        <w:rPr>
          <w:color w:val="212529"/>
          <w:sz w:val="19"/>
          <w:rFonts w:ascii="Questa-Regular" w:hAnsi="Questa-Regular"/>
        </w:rPr>
        <w:t xml:space="preserve">Το παρόν διάταγμα κοινοποιήθηκε ως σχέδιο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909</Words>
  <Characters>5183</Characters>
  <Application>Microsoft Office Word</Application>
  <DocSecurity>0</DocSecurity>
  <Lines>43</Lines>
  <Paragraphs>12</Paragraphs>
  <ScaleCrop>false</ScaleCrop>
  <Company>Statens It</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2</cp:revision>
  <dcterms:created xsi:type="dcterms:W3CDTF">2021-06-30T11:09:00Z</dcterms:created>
  <dcterms:modified xsi:type="dcterms:W3CDTF">2021-08-12T10:28:00Z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