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BF3" w:rsidRDefault="00694BF3" w:rsidP="00F54ECB">
      <w:pPr>
        <w:jc w:val="both"/>
      </w:pPr>
    </w:p>
    <w:p w:rsidR="009C128D" w:rsidRDefault="009C128D" w:rsidP="00F54ECB">
      <w:pPr>
        <w:jc w:val="both"/>
      </w:pPr>
    </w:p>
    <w:p w:rsidR="009C128D" w:rsidRDefault="009C128D" w:rsidP="00F54ECB">
      <w:pPr>
        <w:jc w:val="both"/>
        <w:rPr>
          <w:color w:val="000000"/>
          <w:rFonts w:ascii="Arial" w:hAnsi="Arial" w:cs="Arial"/>
        </w:rPr>
      </w:pPr>
      <w:r>
        <w:rPr>
          <w:color w:val="000000"/>
          <w:rFonts w:ascii="Arial" w:hAnsi="Arial"/>
        </w:rPr>
        <w:t xml:space="preserve">Įstatymo projektas, kuriuo patvirtinama, kad laikomasi Respublikos principų</w:t>
      </w:r>
    </w:p>
    <w:p w:rsidR="009C128D" w:rsidRDefault="009C128D" w:rsidP="00F54ECB">
      <w:pPr>
        <w:jc w:val="both"/>
        <w:rPr>
          <w:rFonts w:ascii="Arial" w:hAnsi="Arial" w:cs="Arial"/>
          <w:color w:val="000000"/>
        </w:rPr>
      </w:pPr>
    </w:p>
    <w:p w:rsidR="009C128D" w:rsidRDefault="009C128D" w:rsidP="00F54ECB">
      <w:pPr>
        <w:jc w:val="both"/>
        <w:rPr>
          <w:rFonts w:ascii="Arial" w:hAnsi="Arial" w:cs="Arial"/>
          <w:color w:val="000000"/>
        </w:rPr>
      </w:pPr>
    </w:p>
    <w:p w:rsidR="009C128D" w:rsidRDefault="009C128D" w:rsidP="00F54ECB">
      <w:pPr>
        <w:autoSpaceDE w:val="0"/>
        <w:autoSpaceDN w:val="0"/>
        <w:adjustRightInd w:val="0"/>
        <w:spacing w:after="0" w:line="240" w:lineRule="auto"/>
        <w:jc w:val="both"/>
        <w:rPr>
          <w:b/>
          <w:bCs/>
          <w:sz w:val="21"/>
          <w:szCs w:val="21"/>
          <w:rFonts w:ascii="Times-Bold" w:hAnsi="Times-Bold" w:cs="Times-Bold"/>
        </w:rPr>
      </w:pPr>
      <w:r>
        <w:rPr>
          <w:b/>
          <w:sz w:val="21"/>
          <w:rFonts w:ascii="Times-Bold" w:hAnsi="Times-Bold"/>
        </w:rPr>
        <w:t xml:space="preserve">19 straipsnis</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rFonts w:ascii="Times-Roman" w:hAnsi="Times-Roman"/>
        </w:rPr>
        <w:t xml:space="preserve">2004 m. birželio 21 d. Įstatymo Nr. 2004-575 dėl pasitikėjimo skaitmenine ekonomika I antraštinės dalies II skyrius iš dalies keičiamas taip:</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sz w:val="21"/>
        </w:rPr>
        <w:t xml:space="preserve">1.</w:t>
      </w:r>
      <w:r>
        <w:rPr>
          <w:sz w:val="21"/>
        </w:rPr>
        <w:t xml:space="preserve"> </w:t>
      </w:r>
      <w:r>
        <w:rPr>
          <w:sz w:val="21"/>
          <w:i/>
        </w:rPr>
        <w:t xml:space="preserve">(naujas)</w:t>
      </w:r>
      <w:r>
        <w:rPr>
          <w:sz w:val="21"/>
        </w:rPr>
        <w:t xml:space="preserve"> 6 straipsnio I dalies 8 punkte žodžiai:</w:t>
      </w:r>
      <w:r>
        <w:rPr>
          <w:sz w:val="21"/>
          <w:rFonts w:ascii="Times-Roman" w:hAnsi="Times-Roman"/>
        </w:rPr>
        <w:t xml:space="preserve"> </w:t>
      </w:r>
      <w:r>
        <w:rPr>
          <w:sz w:val="21"/>
          <w:rFonts w:ascii="Times-Roman" w:hAnsi="Times-Roman"/>
        </w:rPr>
        <w:t xml:space="preserve">„2 punkte arba, to nepadarius, bet kuriam 1 punkte nurodytam asmeniui“ pakeičiami taip:</w:t>
      </w:r>
      <w:r>
        <w:rPr>
          <w:sz w:val="21"/>
          <w:rFonts w:ascii="Times-Roman" w:hAnsi="Times-Roman"/>
        </w:rPr>
        <w:t xml:space="preserve"> </w:t>
      </w:r>
      <w:r>
        <w:rPr>
          <w:sz w:val="21"/>
          <w:rFonts w:ascii="Times-Roman" w:hAnsi="Times-Roman"/>
        </w:rPr>
        <w:t xml:space="preserve">„1 arba 2 punkte“;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9C128D" w:rsidRDefault="009C128D"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Po 2020 m. spalio 19 d. Įstatymo Nr. 2020-1266, kuriuo siekiama reglamentuoti komercinį vaikų iki šešiolikos metų įvaizdžio naudojimą internetinėse platformose, 6-2 straipsnio formuluotės įterpiami šie 6-3 ir 6-4 straipsniai:</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Pr>
        <w:t xml:space="preserve">„</w:t>
      </w:r>
      <w:r>
        <w:rPr>
          <w:sz w:val="21"/>
          <w:i/>
          <w:rFonts w:ascii="Times-Italic" w:hAnsi="Times-Italic"/>
        </w:rPr>
        <w:t xml:space="preserve">6-4 straipsnis.</w:t>
      </w:r>
      <w:r>
        <w:rPr>
          <w:sz w:val="21"/>
          <w:i/>
          <w:rFonts w:ascii="Times-Italic" w:hAnsi="Times-Italic"/>
        </w:rPr>
        <w:t xml:space="preserve"> </w:t>
      </w:r>
      <w:r>
        <w:rPr>
          <w:sz w:val="21"/>
          <w:rFonts w:ascii="Times-Roman" w:hAnsi="Times-Roman"/>
        </w:rPr>
        <w:t xml:space="preserve">– Jei vykdytinu teismo sprendimu nurodoma imtis bet kokios priemonės, kuria siekiama užkirsti kelią naudotis internetine viešųjų ryšių paslauga, kurios turinys patenka į 6 straipsnio I dalies 7 punkte numatytų pažeidimų taikymo sritį, administracinė institucija, prireikus nurodyta bet kurio suinteresuotojo asmens, gali prašyti, kad tos pačios I dalies 1 arba 2 punkte nurodyti asmenys ne ilgiau kaip iki tol, kol bus taikomos tame teismo sprendime numatytos priemonės, neleistų visuomenei naudotis bet kokia internetine ryšių paslauga, kurios turinys yra tapatus ar iš dalies arba visiškai lygiavertis pirmiau minėtame sprendime nurodytos paslaugos turiniui.</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Tomis pačiomis sąlygomis administracinė institucija taip pat gali reikalauti, kad bet kuris paieškos sistemos, katalogo ar kitos orientacinės paslaugos teikėjas nutrauktų žiniatinklio adresų, kuriais suteikiama galimybė naudotis tokiomis internetinėmis ryšių paslaugomis, nuorodų teikimą.</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Administracinė institucija nuolat atnaujina šio straipsnio pirmoje pastraipoje nurodytų internetinių ryšių paslaugų, dėl kurių pagal tą pačią pirmą pastraipą prašoma blokuoti prieigą, sąrašą ir žiniatinklio adresus, kuriais suteikiama galimybė naudotis tokiomis paslaugomis, ir sudaro sąlygas reklamuotojams, jų agentams ir BMK 299 straipsnio II dalies 2 punkte nurodytoms tarnyboms susipažinti su šiuo sąrašu.</w:t>
      </w:r>
      <w:r>
        <w:rPr>
          <w:sz w:val="21"/>
          <w:rFonts w:ascii="Times-Roman" w:hAnsi="Times-Roman"/>
        </w:rPr>
        <w:t xml:space="preserve"> </w:t>
      </w:r>
      <w:r>
        <w:rPr>
          <w:sz w:val="21"/>
          <w:rFonts w:ascii="Times-Roman" w:hAnsi="Times-Roman"/>
        </w:rPr>
        <w:t xml:space="preserve">Šios paslaugos įtraukiamos į šį sąrašą likusiam teisminės institucijos nustatytų priemonių galiojimo laikotarpiui.</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Tais atvejais, kai tokios paslaugos nėra blokuojamos arba nuorodos į jas nebuvo pašalintos pagal šį straipsnį, taikant laikinąją apsaugos priemonę arba paprašius, teisminei institucijai gali būti pavesta nurodyti imtis bet kokių priemonių, kuriomis siekiama panaikinti galimybę naudotis tų paslaugų turiniu.</w:t>
      </w:r>
      <w:r>
        <w:rPr>
          <w:sz w:val="21"/>
          <w:rFonts w:ascii="Times-Roman" w:hAnsi="Times-Roman"/>
        </w:rPr>
        <w:t xml:space="preserve"> </w:t>
      </w:r>
      <w:r>
        <w:rPr>
          <w:sz w:val="21"/>
          <w:rFonts w:ascii="Times-Roman" w:hAnsi="Times-Roman"/>
        </w:rPr>
        <w:t xml:space="preserve">“</w:t>
      </w:r>
    </w:p>
    <w:p w:rsidR="00317039" w:rsidRDefault="00317039" w:rsidP="00F54ECB">
      <w:pPr>
        <w:autoSpaceDE w:val="0"/>
        <w:autoSpaceDN w:val="0"/>
        <w:adjustRightInd w:val="0"/>
        <w:spacing w:after="0" w:line="240" w:lineRule="auto"/>
        <w:jc w:val="both"/>
        <w:rPr>
          <w:rFonts w:ascii="Times-Bold" w:hAnsi="Times-Bold" w:cs="Times-Bold"/>
          <w:b/>
          <w:bCs/>
          <w:sz w:val="21"/>
          <w:szCs w:val="21"/>
        </w:rPr>
      </w:pPr>
    </w:p>
    <w:p w:rsidR="001048BC" w:rsidRDefault="001048BC" w:rsidP="00F54ECB">
      <w:pPr>
        <w:autoSpaceDE w:val="0"/>
        <w:autoSpaceDN w:val="0"/>
        <w:adjustRightInd w:val="0"/>
        <w:spacing w:after="0" w:line="240" w:lineRule="auto"/>
        <w:jc w:val="both"/>
        <w:rPr>
          <w:rFonts w:ascii="Times-Bold" w:hAnsi="Times-Bold" w:cs="Times-Bold"/>
          <w:b/>
          <w:bCs/>
          <w:sz w:val="21"/>
          <w:szCs w:val="21"/>
        </w:rPr>
      </w:pPr>
    </w:p>
    <w:p w:rsidR="00317039" w:rsidRDefault="00317039" w:rsidP="00F54ECB">
      <w:pPr>
        <w:autoSpaceDE w:val="0"/>
        <w:autoSpaceDN w:val="0"/>
        <w:adjustRightInd w:val="0"/>
        <w:spacing w:after="0" w:line="240" w:lineRule="auto"/>
        <w:jc w:val="both"/>
        <w:rPr>
          <w:b/>
          <w:bCs/>
          <w:i/>
          <w:iCs/>
          <w:sz w:val="21"/>
          <w:szCs w:val="21"/>
          <w:rFonts w:ascii="Times-BoldItalic" w:hAnsi="Times-BoldItalic" w:cs="Times-BoldItalic"/>
        </w:rPr>
      </w:pPr>
      <w:r>
        <w:rPr>
          <w:b/>
          <w:sz w:val="21"/>
          <w:rFonts w:ascii="Times-Bold" w:hAnsi="Times-Bold"/>
        </w:rPr>
        <w:t xml:space="preserve">19a straipsnis </w:t>
      </w:r>
      <w:r>
        <w:rPr>
          <w:b/>
          <w:sz w:val="21"/>
          <w:i/>
          <w:rFonts w:ascii="Times-BoldItalic" w:hAnsi="Times-BoldItalic"/>
        </w:rPr>
        <w:t xml:space="preserve">(naujas)</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rFonts w:ascii="Times-Roman" w:hAnsi="Times-Roman"/>
        </w:rPr>
        <w:t xml:space="preserve">I. 2004 m. birželio 21 d. Įstatymo Nr. 2004-575 dėl pasitikėjimo skaitmenine ekonomika I antraštinės dalies II skyrius iš dalies keičiamas taip:</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w:t>
      </w:r>
      <w:r>
        <w:rPr>
          <w:sz w:val="21"/>
          <w:rFonts w:ascii="Times-Roman" w:hAnsi="Times-Roman"/>
        </w:rPr>
        <w:t xml:space="preserve"> </w:t>
      </w:r>
      <w:r>
        <w:rPr>
          <w:sz w:val="21"/>
          <w:rFonts w:ascii="Times-Roman" w:hAnsi="Times-Roman"/>
        </w:rPr>
        <w:t xml:space="preserve">6 straipsnio 7 dalies ketvirta pastraipa iš dalies keičiama taip:</w:t>
      </w:r>
    </w:p>
    <w:p w:rsidR="004E021A" w:rsidRDefault="004E021A"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a)</w:t>
      </w:r>
      <w:r>
        <w:rPr>
          <w:sz w:val="21"/>
        </w:rPr>
        <w:t xml:space="preserve"> </w:t>
      </w:r>
      <w:r>
        <w:rPr>
          <w:sz w:val="21"/>
          <w:rFonts w:ascii="Times-Roman" w:hAnsi="Times-Roman"/>
        </w:rPr>
        <w:t xml:space="preserve">Pirmasis sakinys papildomas žodžiais:</w:t>
      </w:r>
      <w:r>
        <w:rPr>
          <w:sz w:val="21"/>
          <w:rFonts w:ascii="Times-Roman" w:hAnsi="Times-Roman"/>
        </w:rPr>
        <w:t xml:space="preserve"> </w:t>
      </w:r>
      <w:r>
        <w:rPr>
          <w:sz w:val="21"/>
          <w:rFonts w:ascii="Times-Roman" w:hAnsi="Times-Roman"/>
        </w:rPr>
        <w:t xml:space="preserve">„ir viešai paskelbia priemones, kurias jie skiria kovai su neteisėta veikla, nurodyta šios 7 dalies trečioje pastraipoje“;</w:t>
      </w:r>
    </w:p>
    <w:p w:rsidR="001048BC" w:rsidRDefault="001048BC"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b)</w:t>
      </w:r>
      <w:r>
        <w:rPr>
          <w:sz w:val="21"/>
        </w:rPr>
        <w:t xml:space="preserve"> </w:t>
      </w:r>
      <w:r>
        <w:rPr>
          <w:sz w:val="21"/>
          <w:rFonts w:ascii="Times-Roman" w:hAnsi="Times-Roman"/>
        </w:rPr>
        <w:t xml:space="preserve">po to paties pirmo sakinio įterpiamas šis sakinys:</w:t>
      </w:r>
      <w:r>
        <w:rPr>
          <w:sz w:val="21"/>
          <w:rFonts w:ascii="Times-Roman" w:hAnsi="Times-Roman"/>
        </w:rPr>
        <w:t xml:space="preserve"> </w:t>
      </w:r>
      <w:r>
        <w:rPr>
          <w:sz w:val="21"/>
          <w:rFonts w:ascii="Times-Roman" w:hAnsi="Times-Roman"/>
        </w:rPr>
        <w:t xml:space="preserve">„Šie įpareigojimai netaikomi operatoriams, nurodytiems 6-5 straipsnio pirmoje pastraipoje, siekiant kovoti su toje pačioje pirmoje pastraipoje nurodyto turinio sklaida.</w:t>
      </w:r>
      <w:r>
        <w:rPr>
          <w:sz w:val="21"/>
          <w:rFonts w:ascii="Times-Roman" w:hAnsi="Times-Roman"/>
        </w:rPr>
        <w:t xml:space="preserve"> </w:t>
      </w:r>
      <w:r>
        <w:rPr>
          <w:sz w:val="21"/>
          <w:rFonts w:ascii="Times-Roman" w:hAnsi="Times-Roman"/>
        </w:rPr>
        <w:t xml:space="preserv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c)</w:t>
      </w:r>
      <w:r>
        <w:rPr>
          <w:sz w:val="21"/>
        </w:rPr>
        <w:t xml:space="preserve"> Antrasis sakinys iš dalies keičiamas taip:</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pradžioje žodis</w:t>
      </w:r>
      <w:r>
        <w:rPr>
          <w:sz w:val="21"/>
          <w:rFonts w:ascii="Times-Roman" w:hAnsi="Times-Roman"/>
        </w:rPr>
        <w:t xml:space="preserve"> </w:t>
      </w:r>
      <w:r>
        <w:rPr>
          <w:sz w:val="21"/>
          <w:rFonts w:ascii="Times-Roman" w:hAnsi="Times-Roman"/>
        </w:rPr>
        <w:t xml:space="preserve">„Jie“ pakeičiamas žodžiais</w:t>
      </w:r>
      <w:r>
        <w:rPr>
          <w:sz w:val="21"/>
          <w:rFonts w:ascii="Times-Roman" w:hAnsi="Times-Roman"/>
        </w:rPr>
        <w:t xml:space="preserve"> </w:t>
      </w:r>
      <w:r>
        <w:rPr>
          <w:sz w:val="21"/>
          <w:rFonts w:ascii="Times-Roman" w:hAnsi="Times-Roman"/>
        </w:rPr>
        <w:t xml:space="preserve">„1 ir 2 punktuose nurodyti asmenys“;</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Pr>
        <w:t xml:space="preserve">– žodžiai</w:t>
      </w:r>
      <w:r>
        <w:rPr>
          <w:sz w:val="21"/>
          <w:rFonts w:ascii="Times-Roman" w:hAnsi="Times-Roman"/>
        </w:rPr>
        <w:t xml:space="preserve"> </w:t>
      </w:r>
      <w:r>
        <w:rPr>
          <w:sz w:val="21"/>
          <w:rFonts w:ascii="Times-Roman" w:hAnsi="Times-Roman"/>
        </w:rPr>
        <w:t xml:space="preserve">„, viena vertus,“ išbraukiami;</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žodžiai</w:t>
      </w:r>
      <w:r>
        <w:rPr>
          <w:sz w:val="21"/>
          <w:rFonts w:ascii="Times-Roman" w:hAnsi="Times-Roman"/>
        </w:rPr>
        <w:t xml:space="preserve"> </w:t>
      </w:r>
      <w:r>
        <w:rPr>
          <w:sz w:val="21"/>
          <w:rFonts w:ascii="Times-Roman" w:hAnsi="Times-Roman"/>
        </w:rPr>
        <w:t xml:space="preserve">„ankstesnės pastraipos“ pakeičiami žodžiais</w:t>
      </w:r>
      <w:r>
        <w:rPr>
          <w:sz w:val="21"/>
          <w:rFonts w:ascii="Times-Roman" w:hAnsi="Times-Roman"/>
        </w:rPr>
        <w:t xml:space="preserve"> </w:t>
      </w:r>
      <w:r>
        <w:rPr>
          <w:sz w:val="21"/>
          <w:rFonts w:ascii="Times-Roman" w:hAnsi="Times-Roman"/>
        </w:rPr>
        <w:t xml:space="preserve">„toje pačioje trečioje pastraipoje“;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po žodžio</w:t>
      </w:r>
      <w:r>
        <w:rPr>
          <w:sz w:val="21"/>
          <w:rFonts w:ascii="Times-Roman" w:hAnsi="Times-Roman"/>
        </w:rPr>
        <w:t xml:space="preserve"> </w:t>
      </w:r>
      <w:r>
        <w:rPr>
          <w:sz w:val="21"/>
          <w:rFonts w:ascii="Times-Roman" w:hAnsi="Times-Roman"/>
        </w:rPr>
        <w:t xml:space="preserve">„paslaugų“ sakinio pabaiga išbraukiama;</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Po pirmiau minėto 2020 m. spalio 19 d. Įstatymo Nr. 2020-1266 6-2 straipsnio formuluotės įterpiamas toks 6-5 straipsnis: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Fonts w:ascii="Times-Italic" w:hAnsi="Times-Italic"/>
        </w:rPr>
        <w:t xml:space="preserve">„6</w:t>
      </w:r>
      <w:r>
        <w:rPr>
          <w:sz w:val="21"/>
          <w:i/>
          <w:rFonts w:ascii="Times-Italic" w:hAnsi="Times-Italic"/>
        </w:rPr>
        <w:t xml:space="preserve">-5</w:t>
      </w:r>
      <w:r>
        <w:rPr>
          <w:sz w:val="21"/>
          <w:i/>
          <w:rFonts w:ascii="Times-Italic" w:hAnsi="Times-Italic"/>
        </w:rPr>
        <w:t xml:space="preserve"> straipsnis.</w:t>
      </w:r>
      <w:r>
        <w:rPr>
          <w:sz w:val="21"/>
          <w:i/>
          <w:rFonts w:ascii="Times-Italic" w:hAnsi="Times-Italic"/>
        </w:rPr>
        <w:t xml:space="preserve"> </w:t>
      </w:r>
      <w:r>
        <w:rPr>
          <w:sz w:val="21"/>
          <w:rFonts w:ascii="Times-Roman" w:hAnsi="Times-Roman"/>
        </w:rPr>
        <w:t xml:space="preserve">– Vartotojų kodekso L. 111-7 straipsnyje apibrėžtų internetinių platformų operatoriai, siūlantys visuomenei internetinę ryšių paslaugą, grindžiamą trečiųjų šalių internete teikiamo turinio klasifikavimu, nurodymu ar bendrinimu, ir kurių veikla Prancūzijos teritorijoje viršija dekretu nustatytą jungčių skaičiaus ribą, neatsižvelgiant į tai, ar jie yra įsisteigę Prancūzijos teritorijoje, prisideda prie kovos su vieša turinio sklaida, kuria prieštaraujama šio įstatymo 6 straipsnio I dalies 7 punkto trečioje pastraipoje ir 1881 m. liepos 29 d. Įstatymo dėl spaudos laisvės 24 straipsnio a punkte ir 33 straipsnio trečios ir ketvirtos pastraipų nuostatoms.</w:t>
      </w:r>
      <w:r>
        <w:rPr>
          <w:sz w:val="21"/>
          <w:rFonts w:ascii="Times-Roman" w:hAnsi="Times-Roman"/>
        </w:rPr>
        <w:t xml:space="preserve"> </w:t>
      </w:r>
      <w:r>
        <w:rPr>
          <w:sz w:val="21"/>
          <w:rFonts w:ascii="Times-Roman" w:hAnsi="Times-Roman"/>
        </w:rPr>
        <w:t xml:space="preserve">Šiuo atžvilgiu:</w:t>
      </w:r>
    </w:p>
    <w:p w:rsidR="00F54ECB" w:rsidRDefault="00F54ECB" w:rsidP="00196BE6">
      <w:pPr>
        <w:spacing w:after="0"/>
        <w:jc w:val="both"/>
        <w:rPr>
          <w:rFonts w:ascii="Times-Roman" w:hAnsi="Times-Roman" w:cs="Times-Roman"/>
          <w:sz w:val="21"/>
          <w:szCs w:val="21"/>
        </w:rPr>
      </w:pPr>
    </w:p>
    <w:p w:rsidR="00317039" w:rsidRDefault="00317039" w:rsidP="00196BE6">
      <w:pPr>
        <w:spacing w:after="0"/>
        <w:jc w:val="both"/>
        <w:rPr>
          <w:sz w:val="21"/>
          <w:szCs w:val="21"/>
          <w:rFonts w:ascii="Times-Roman" w:hAnsi="Times-Roman" w:cs="Times-Roman"/>
        </w:rPr>
      </w:pPr>
      <w:r>
        <w:rPr>
          <w:sz w:val="21"/>
          <w:rFonts w:ascii="Times-Roman" w:hAnsi="Times-Roman"/>
        </w:rPr>
        <w:t xml:space="preserve">1.</w:t>
      </w:r>
      <w:r>
        <w:rPr>
          <w:sz w:val="21"/>
          <w:rFonts w:ascii="Times-Roman" w:hAnsi="Times-Roman"/>
        </w:rPr>
        <w:t xml:space="preserve"> </w:t>
      </w:r>
      <w:r>
        <w:rPr>
          <w:sz w:val="21"/>
          <w:rFonts w:ascii="Times-Roman" w:hAnsi="Times-Roman"/>
        </w:rPr>
        <w:t xml:space="preserve">Jie įgyvendina proporcingas žmogiškąsias ir technologines procedūras ir priemones, kurios suteiks galimybę:</w:t>
      </w:r>
    </w:p>
    <w:p w:rsidR="001048BC" w:rsidRDefault="001048BC" w:rsidP="00196BE6">
      <w:pPr>
        <w:spacing w:after="0"/>
        <w:jc w:val="both"/>
        <w:rPr>
          <w:rFonts w:ascii="Times-Roman" w:hAnsi="Times-Roman" w:cs="Times-Roman"/>
          <w:sz w:val="21"/>
          <w:szCs w:val="21"/>
        </w:rPr>
      </w:pPr>
    </w:p>
    <w:p w:rsidR="00317039" w:rsidRPr="004E021A" w:rsidRDefault="001048BC" w:rsidP="00196BE6">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kuo greičiau informuoti teismines arba administracines institucijas apie veiksmus, kurių jie ėmėsi dėl šių institucijų paskelbtų draudimų, susijusių su šio straipsnio pirmoje pastraipoje nurodytu turiniu;</w:t>
      </w:r>
    </w:p>
    <w:p w:rsidR="004E021A" w:rsidRPr="004E021A" w:rsidRDefault="004E021A" w:rsidP="00196BE6">
      <w:pPr>
        <w:spacing w:after="0"/>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nedelsiant patvirtinti, kad teisminės ar administracinės institucijos saugiai gauna prašymus perduoti turimus duomenis, kad būtų galima nustatyti toje pačioje pirmoje pastraipoje nurodytą turinį įkėlusius naudotojus, ir kuo greičiau informuoti tas institucijas apie tolesnius veiksmus, susijusius su tokiais prašymais;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laikinai išsaugoti turinį, apie kurį jiems buvo pranešta kaip prieštaraujantį pirmoje pastraipoje nurodytoms nuostatoms ir kurį jie panaikino arba pavertė neprieinamu, kad su juo galėtų susipažinti teisminė institucija nusikalstamų veikų paieškos, atskleidimo ir patraukimo baudžiamojon atsakomybėn tikslais.</w:t>
      </w:r>
      <w:r>
        <w:rPr>
          <w:sz w:val="21"/>
          <w:rFonts w:ascii="Times-Roman" w:hAnsi="Times-Roman"/>
        </w:rPr>
        <w:t xml:space="preserve"> </w:t>
      </w:r>
      <w:r>
        <w:rPr>
          <w:sz w:val="21"/>
          <w:rFonts w:ascii="Times-Roman" w:hAnsi="Times-Roman"/>
        </w:rPr>
        <w:t xml:space="preserve">Šio turinio išsaugojimo trukmė ir būdai yra apibrėžti Valstybės tarybos dekrete, gavus</w:t>
      </w: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Nacionalinės informacinių technologijų ir laisvių komisijos nuomonę.</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Jie paskiria vieną bendrą kontaktinį punktą, fizinį asmenį, atsakingą už ryšių su valdžios institucijomis, įgyvendinančiomis šio straipsnio nuostatas, palaikymą, kuriam visų pirma visi prašymai, kuriuos pagal 1986 m. rugsėjo 30 d. Įstatymo Nr. 86-1067 dėl komunikacijos laisvės 62 straipsnį pateikė Aukštoji audiovizualinių reikalų taryba, gali būti siunčiami elektroninėmis priemonėmis.</w:t>
      </w:r>
      <w:r>
        <w:rPr>
          <w:sz w:val="21"/>
          <w:rFonts w:ascii="Times-Roman" w:hAnsi="Times-Roman"/>
        </w:rPr>
        <w:t xml:space="preserve"> </w:t>
      </w:r>
      <w:r>
        <w:rPr>
          <w:sz w:val="21"/>
          <w:rFonts w:ascii="Times-Roman" w:hAnsi="Times-Roman"/>
        </w:rPr>
        <w:t xml:space="preserve">Šis vienas bendras kontaktinis punktas visų pirma atsakingas už prašymų, kuriuos teisminė institucija pateikė operatoriui, priėmimą šio įstatymo 6 straipsnio II dalyje nustatyta tvarka, siekiant užtikrinti jų skubų nagrinėjimą.</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3.</w:t>
      </w:r>
      <w:r>
        <w:rPr>
          <w:sz w:val="21"/>
          <w:rFonts w:ascii="Times-Roman" w:hAnsi="Times-Roman"/>
        </w:rPr>
        <w:t xml:space="preserve"> </w:t>
      </w:r>
      <w:r>
        <w:rPr>
          <w:sz w:val="21"/>
          <w:rFonts w:ascii="Times-Roman" w:hAnsi="Times-Roman"/>
        </w:rPr>
        <w:t xml:space="preserve">Jie lengvai prieinamu būdu pateikia visuomenei bendrąsias naudojimosi jų siūlomomis paslaugomis sąlygas; į jas įtraukiamos nuostatos, kuriomis draudžiama internete skelbti šio straipsnio pirmoje pastraipoje nurodytą turinį; jose aiškiai ir tiksliai aprašomos ribojamosios priemonės, kurias naudojant prireikus siekiama aptikti, nustatyti ir apdoroti tokį turinį, išsamiai aprašytos procedūros ir šiam tikslui naudojamos žmonių arba automatizuotos priemonės bei jų įgyvendinamos priemonės, darančios poveikį tokio turinio prieinamumui, matomumui ir pasiekiamumui; jie nurodo priemones, kurias įgyvendina naudotojų, pateikusių šį turinį internete, atžvilgiu, taip pat vidaus ir teismines teisių gynimo priemones, kuriomis gali naudotis tokie naudotojai.</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4.</w:t>
      </w:r>
      <w:r>
        <w:rPr>
          <w:sz w:val="21"/>
          <w:rFonts w:ascii="Times-Roman" w:hAnsi="Times-Roman"/>
        </w:rPr>
        <w:t xml:space="preserve"> </w:t>
      </w:r>
      <w:r>
        <w:rPr>
          <w:sz w:val="21"/>
          <w:rFonts w:ascii="Times-Roman" w:hAnsi="Times-Roman"/>
        </w:rPr>
        <w:t xml:space="preserve">Jie informuoja visuomenę apie taikytas priemones, taip pat priemones, priimtas siekiant kovoti su pirmoje pastraipoje nurodyto turinio sklaida Prancūzijos teritorijoje esantiems naudotojams, pagal Aukštosios audiovizualinių reikalų tarybos nustatytas procedūras ir terminus skelbdami informaciją ir kiekybinius minėtos tarybos nustatytus rodiklius, visų pirma susijusius su draudimų ar prašymų suteikti informaciją, gautų iš teisminių ar administracinių institucijų, tvarkymu, gautais pranešimais ir vidaus teisių gynimo priemonių parinkimu, taip pat, kai taikytina, patikimų trečiųjų šalių, kurių pranešimams taikoma pirmumo tvarka, atrankos kriterijais ir bendradarbiavimo su šiomis trečiosiomis šalimis sąlygomis.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5.</w:t>
      </w:r>
      <w:r>
        <w:rPr>
          <w:sz w:val="21"/>
          <w:rFonts w:ascii="Times-Roman" w:hAnsi="Times-Roman"/>
        </w:rPr>
        <w:t xml:space="preserve"> </w:t>
      </w:r>
      <w:r>
        <w:rPr>
          <w:sz w:val="21"/>
          <w:rFonts w:ascii="Times-Roman" w:hAnsi="Times-Roman"/>
        </w:rPr>
        <w:t xml:space="preserve">Jie įgyvendina lengvai prieinamą ir paprastą naudoti procedūrą, pagal kurią bet kuris asmuo galės elektroninėmis priemonėmis pranešti apie bet kokį turinį, kuris laikomas prieštaraujančiu pirmoje pastraipoje nurodytoms nuostatoms, aiškiai nurodyti jo buvimo vietą ir priežastis, dėl kurių manoma, kad šis turinys turėtų būti laikomas neteisėtu, ir pateikti informaciją, leidžiančią susisiekti ir pranešti apie skirtas nuobaudas už netinkamą pranešimą.</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6.</w:t>
      </w:r>
      <w:r>
        <w:rPr>
          <w:sz w:val="21"/>
          <w:rFonts w:ascii="Times-Roman" w:hAnsi="Times-Roman"/>
        </w:rPr>
        <w:t xml:space="preserve"> </w:t>
      </w:r>
      <w:r>
        <w:rPr>
          <w:sz w:val="21"/>
          <w:rFonts w:ascii="Times-Roman" w:hAnsi="Times-Roman"/>
        </w:rPr>
        <w:t xml:space="preserve">Jie įgyvendina proporcingas žmogiškąsias ir technologines procedūras ir priemones, kurios suteikia galimybę:</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skubiai patvirtinti, kad buvo saugiai gauti pranešimai, susiję su pirmoje pastraipoje nurodytu turiniu, jei pateikta informacija, reikalinga norint susisiekti su subjektu;</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laiku užtikrinti tinkamą šių pranešimų analizę;</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informuoti pranešėją apie veiksmus, kurių buvo imtasi, ir apie vidaus bei teismines teisių gynimo priemones, jei pateikta informacija, reikalinga norint su juo susisiekti;</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d) jei nusprendžiama pašalinti turinį arba padaryti jį neprieinamą dėl to, kad nesilaikoma pirmoje pastraipoje nurodytų nuostatų, informuoti naudotoją jo paskelbimo kilmės vietoje, jei pateikta informacija, reikalinga norint su juo susisiekti:</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nurodant sprendimo priežastis;</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nurodant, ar šis sprendimas buvo priimtas naudojant automatizuotą priemonę;</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informuojant apie vidaus ir teismines teisių gynimo priemones;</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pranešant, kad už neteisėto turinio paskelbimą taikomos civilinės ir baudžiamosios sankcijos.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7.</w:t>
      </w:r>
      <w:r>
        <w:rPr>
          <w:sz w:val="21"/>
          <w:rFonts w:ascii="Times-Roman" w:hAnsi="Times-Roman"/>
        </w:rPr>
        <w:t xml:space="preserve"> </w:t>
      </w:r>
      <w:r>
        <w:rPr>
          <w:sz w:val="21"/>
          <w:rFonts w:ascii="Times-Roman" w:hAnsi="Times-Roman"/>
        </w:rPr>
        <w:t xml:space="preserve">Jie įgyvendina vidaus taisomąsias priemones, kurios suteikia galimybę:</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pirmoje pastraipoje nurodyto pranešimo apie turinį subjektui užginčyti operatoriaus sprendimą, priimtą atsakant į tą pranešimą;</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naudotojui, paskelbusiam turinį, dėl kurio buvo priimtas 6 dalies d punkte nurodytas sprendimas, užginčyti tą sprendimą;</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Pr="004E021A" w:rsidRDefault="00317039" w:rsidP="00F54ECB">
      <w:pPr>
        <w:autoSpaceDE w:val="0"/>
        <w:autoSpaceDN w:val="0"/>
        <w:adjustRightInd w:val="0"/>
        <w:spacing w:after="0" w:line="240" w:lineRule="auto"/>
        <w:jc w:val="both"/>
        <w:rPr>
          <w:i/>
          <w:iCs/>
          <w:sz w:val="21"/>
          <w:szCs w:val="21"/>
          <w:rFonts w:ascii="Times-Italic" w:hAnsi="Times-Italic" w:cs="Times-Italic"/>
        </w:rPr>
      </w:pPr>
      <w:r>
        <w:rPr>
          <w:sz w:val="21"/>
          <w:rFonts w:ascii="Times-Roman" w:hAnsi="Times-Roman"/>
        </w:rPr>
        <w:t xml:space="preserve">c) naudotojui, kurio atžvilgiu buvo priimtas 8 dalies a arba b punkte nurodytas sprendimas, užginčyti tą sprendimą.</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Jie užtikrina, kad šios sistemos būtų lengvai prieinamos ir paprastos naudoti ir kad leistų tinkamai ir greitai išnagrinėti apeliacinius skundus, kurie nėra pagrįsti vien tik automatizuotomis priemonėmis, nedelsdami informuoja naudotoją apie priimtą sprendimą ir nedelsdami panaikina priemones, susijusias su atitinkamu turiniu arba naudotoju, kai apeliacinis skundas leidžia manyti, kad ginčijamas sprendimas yra nepagrįstas.</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8.</w:t>
      </w:r>
      <w:r>
        <w:rPr>
          <w:sz w:val="21"/>
          <w:rFonts w:ascii="Times-Roman" w:hAnsi="Times-Roman"/>
        </w:rPr>
        <w:t xml:space="preserve"> </w:t>
      </w:r>
      <w:r>
        <w:rPr>
          <w:sz w:val="21"/>
          <w:rFonts w:ascii="Times-Roman" w:hAnsi="Times-Roman"/>
        </w:rPr>
        <w:t xml:space="preserve">Nuspręsdami įgyvendinti tokias procedūras, jie aiškiai ir tiksliai savo naudojimo sąlygose nustato tvarką, pagal kurią:</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laikinai sustabdoma arba rimtesniais atvejais pašalinama naudotojų, pakartotinai įkėlusių turinį, kuriuo pažeidžiamos šio straipsnio pirmoje pastraipoje nurodytos nuostatos, paskyra;</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laikinai sustabdoma naudotojų, kurie pakartotinai pateikė akivaizdžiai nepagrįstus pranešimus, susijusius su toje pačioje pirmoje pastraipoje nurodytu turiniu, prieiga prie pranešimo mechanizmo.</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Įgyvendinant tokias procedūras, atliekama kiekvieno konkretaus atvejo analizė, kuria siekiama objektyviai apibūdinti šios 8 dalies a arba b punkte nurodytų veiksmų buvimą, ir visų pirma atsižvelgiama į:</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neteisėto turinio, nurodyto šio straipsnio pirmoje pastraipoje, arba akivaizdžiai nepagrįstų pranešimų, kuriuos pateikė naudotojas, skaičius praėjusiais metais, tiek absoliučiais skaičiais, tiek proporcine dalimi, palyginti su bendru turinio ar pranešimų, už kuriuos jis buvo atsakingas, skaičiumi;</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tokio piktnaudžiavimo rimtumą ir pasekmes.</w:t>
      </w:r>
    </w:p>
    <w:p w:rsidR="004E021A" w:rsidRDefault="004E021A"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Įgyvendinant šias procedūras numatyta, kad 8 dalies a ir b punktuose nurodytos priemonės savo pobūdžiu turi būti proporcingos atitinkamo elgesio rimtumui, o sustabdymo atveju – kad jos būtų patvirtintos pagrįstam laikotarpiui.</w:t>
      </w:r>
      <w:r>
        <w:rPr>
          <w:sz w:val="21"/>
          <w:rFonts w:ascii="Times-Roman" w:hAnsi="Times-Roman"/>
        </w:rPr>
        <w:t xml:space="preserve"> </w:t>
      </w:r>
      <w:r>
        <w:rPr>
          <w:sz w:val="21"/>
          <w:rFonts w:ascii="Times-Roman" w:hAnsi="Times-Roman"/>
        </w:rPr>
        <w:t xml:space="preserve">Naudotojui pateikiamas įspėjimas ir informacija apie galimas vidaus ir teismines teisių gynimo priemones.</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9.</w:t>
      </w:r>
      <w:r>
        <w:rPr>
          <w:sz w:val="21"/>
          <w:rFonts w:ascii="Times-Roman" w:hAnsi="Times-Roman"/>
        </w:rPr>
        <w:t xml:space="preserve"> </w:t>
      </w:r>
      <w:r>
        <w:rPr>
          <w:sz w:val="21"/>
          <w:rFonts w:ascii="Times-Roman" w:hAnsi="Times-Roman"/>
        </w:rPr>
        <w:t xml:space="preserve">Šio straipsnio pirmojoje pastraipoje minimi operatoriai, kurių veikla Prancūzijos teritorijoje viršija dekretu nustatytą jungčių skaičiaus ribą ir yra platesnio masto, nei nurodyta toje pačioje pirmoje pastraipoje: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 kasmet atlieka sisteminės rizikos, susijusios su jų paslaugų teikimu ir naudojimu, vertinimą, kiek tai susiję su pirmoje pastraipoje nurodyto turinio sklaida ir pagrindinių teisių, įskaitant saviraiškos laisvę, pažeidimais.</w:t>
      </w:r>
      <w:r>
        <w:rPr>
          <w:sz w:val="21"/>
          <w:rFonts w:ascii="Times-Roman" w:hAnsi="Times-Roman"/>
        </w:rPr>
        <w:t xml:space="preserve"> </w:t>
      </w:r>
      <w:r>
        <w:rPr>
          <w:sz w:val="21"/>
          <w:rFonts w:ascii="Times-Roman" w:hAnsi="Times-Roman"/>
        </w:rPr>
        <w:t xml:space="preserve">Atliekant šį vertinimą atsižvelgiama į šių paslaugų ypatybes, visų pirma į jų poveikį minėto turinio plitimui arba masinei sklaidai;</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 įgyvendina pagrįstas, veiksmingas ir proporcingas priemones, visų pirma susijusias su jų paslaugų ypatybėmis ir rizikos, nustatytos 9 dalies a punkte nurodyto rizikos vertinimo pabaigoje, mastu ir dydžiu, kuriomis siekiama sumažinti tokio turinio sklaidos riziką, kuri visų pirma gali būti susijusi su procedūromis ir žmogiškosiomis bei technologinėmis priemonėmis, naudojamomis tokiam turiniui aptikti, nustatyti ir apdoroti, kartu užkertant kelią nepagrįsto pašalinimo pagal taikytiną teisę ir naudojimo sąlygas rizikai;</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c) pagal Aukštosios audiovizualinių reikalų tarybos nustatytas procedūras ir terminus praneša visuomenei apie šios sisteminės rizikos įvertinimą ir įgyvendintas rizikos mažinimo priemones.</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10. Pirmoje pastraipoje minimi operatoriai Aukštajai audiovizualinių reikalų tarybai praneša apie šio straipsnio taikymo tvarką ir priemones pagal pirmiau minėto 1986 m. rugsėjo 30 d. Įstatymo Nr. 86-1067 62 straipsnyje nustatytas sąlygas.</w:t>
      </w:r>
      <w:r>
        <w:rPr>
          <w:sz w:val="21"/>
          <w:rFonts w:ascii="Times-Roman" w:hAnsi="Times-Roman"/>
        </w:rPr>
        <w:t xml:space="preserve"> </w:t>
      </w:r>
      <w:r>
        <w:rPr>
          <w:sz w:val="21"/>
          <w:rFonts w:ascii="Times-Roman" w:hAnsi="Times-Roman"/>
        </w:rPr>
        <w:t xml:space="preserve">“</w:t>
      </w:r>
    </w:p>
    <w:p w:rsidR="00317039" w:rsidRDefault="00317039"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w:t>
      </w:r>
      <w:r>
        <w:rPr>
          <w:sz w:val="21"/>
          <w:rFonts w:ascii="Times-Roman" w:hAnsi="Times-Roman"/>
        </w:rPr>
        <w:t xml:space="preserve"> </w:t>
      </w:r>
      <w:r>
        <w:rPr>
          <w:sz w:val="21"/>
          <w:rFonts w:ascii="Times-Roman" w:hAnsi="Times-Roman"/>
        </w:rPr>
        <w:t xml:space="preserve">– 1986 m. rugsėjo 30 d. Įstatymas Nr. 86-1067 dėl komunikacijos laisvės iš dalies keičiamas taip:</w:t>
      </w:r>
    </w:p>
    <w:p w:rsidR="00317039" w:rsidRDefault="00317039"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1.</w:t>
      </w:r>
      <w:r>
        <w:rPr>
          <w:sz w:val="21"/>
          <w:rFonts w:ascii="Times-Roman" w:hAnsi="Times-Roman"/>
        </w:rPr>
        <w:t xml:space="preserve"> </w:t>
      </w:r>
      <w:r>
        <w:rPr>
          <w:sz w:val="21"/>
          <w:rFonts w:ascii="Times-Roman" w:hAnsi="Times-Roman"/>
        </w:rPr>
        <w:t xml:space="preserve">19 straipsnio I dalies 1 punkto trečioje pastraipoje žodžiai</w:t>
      </w:r>
      <w:r>
        <w:rPr>
          <w:sz w:val="21"/>
          <w:rFonts w:ascii="Times-Roman" w:hAnsi="Times-Roman"/>
        </w:rPr>
        <w:t xml:space="preserve"> </w:t>
      </w:r>
      <w:r>
        <w:rPr>
          <w:sz w:val="21"/>
          <w:rFonts w:ascii="Times-Roman" w:hAnsi="Times-Roman"/>
        </w:rPr>
        <w:t xml:space="preserve">„taip pat vaizdo medžiagos bendro naudojimo platformos“ pakeičiami žodžiais</w:t>
      </w:r>
      <w:r>
        <w:rPr>
          <w:sz w:val="21"/>
          <w:rFonts w:ascii="Times-Roman" w:hAnsi="Times-Roman"/>
        </w:rPr>
        <w:t xml:space="preserve"> </w:t>
      </w:r>
      <w:r>
        <w:rPr>
          <w:sz w:val="21"/>
          <w:rFonts w:ascii="Times-Roman" w:hAnsi="Times-Roman"/>
        </w:rPr>
        <w:t xml:space="preserve">„, vaizdo medžiagos bendro naudojimo platformos ir 62 straipsnyje nurodyti interneto platformų operatoriai“;</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2.</w:t>
      </w:r>
      <w:r>
        <w:rPr>
          <w:sz w:val="21"/>
          <w:rFonts w:ascii="Times-Roman" w:hAnsi="Times-Roman"/>
        </w:rPr>
        <w:t xml:space="preserve"> </w:t>
      </w:r>
      <w:r>
        <w:rPr>
          <w:sz w:val="21"/>
          <w:rFonts w:ascii="Times-Roman" w:hAnsi="Times-Roman"/>
        </w:rPr>
        <w:t xml:space="preserve">42-7 straipsnio pirmoje pastraipoje nuoroda</w:t>
      </w:r>
      <w:r>
        <w:rPr>
          <w:sz w:val="21"/>
          <w:rFonts w:ascii="Times-Roman" w:hAnsi="Times-Roman"/>
        </w:rPr>
        <w:t xml:space="preserve"> </w:t>
      </w:r>
      <w:r>
        <w:rPr>
          <w:sz w:val="21"/>
          <w:rFonts w:ascii="Times-Roman" w:hAnsi="Times-Roman"/>
        </w:rPr>
        <w:t xml:space="preserve">„ir 48-3“ pakeičiama nuorodomis</w:t>
      </w:r>
      <w:r>
        <w:rPr>
          <w:sz w:val="21"/>
          <w:rFonts w:ascii="Times-Roman" w:hAnsi="Times-Roman"/>
        </w:rPr>
        <w:t xml:space="preserve"> </w:t>
      </w:r>
      <w:r>
        <w:rPr>
          <w:sz w:val="21"/>
          <w:rFonts w:ascii="Times-Roman" w:hAnsi="Times-Roman"/>
        </w:rPr>
        <w:t xml:space="preserve">„, 48-3 ir 62“;</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3.</w:t>
      </w:r>
      <w:r>
        <w:rPr>
          <w:sz w:val="21"/>
          <w:rFonts w:ascii="Times-Roman" w:hAnsi="Times-Roman"/>
        </w:rPr>
        <w:t xml:space="preserve"> </w:t>
      </w:r>
      <w:r>
        <w:rPr>
          <w:sz w:val="21"/>
          <w:rFonts w:ascii="Times-Roman" w:hAnsi="Times-Roman"/>
        </w:rPr>
        <w:t xml:space="preserve">IV antraštinė dalis papildoma III skyriumi, kuris išdėstomas taip:</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i/>
          <w:iCs/>
          <w:sz w:val="21"/>
          <w:szCs w:val="21"/>
          <w:rFonts w:ascii="Times-Italic" w:hAnsi="Times-Italic" w:cs="Times-Italic"/>
        </w:rPr>
      </w:pPr>
      <w:r>
        <w:rPr>
          <w:i/>
          <w:rFonts w:ascii="Times-Italic" w:hAnsi="Times-Italic"/>
        </w:rPr>
        <w:t xml:space="preserve">„III skyrius</w:t>
      </w:r>
    </w:p>
    <w:p w:rsidR="00F54ECB" w:rsidRDefault="00F54ECB" w:rsidP="00F54ECB">
      <w:pPr>
        <w:autoSpaceDE w:val="0"/>
        <w:autoSpaceDN w:val="0"/>
        <w:adjustRightInd w:val="0"/>
        <w:spacing w:after="0" w:line="240" w:lineRule="auto"/>
        <w:jc w:val="both"/>
        <w:rPr>
          <w:rFonts w:ascii="Times-Italic" w:hAnsi="Times-Italic" w:cs="Times-Italic"/>
          <w:i/>
          <w:iCs/>
          <w:sz w:val="21"/>
          <w:szCs w:val="21"/>
        </w:rPr>
      </w:pPr>
    </w:p>
    <w:p w:rsidR="00317039" w:rsidRDefault="00317039" w:rsidP="00F54ECB">
      <w:pPr>
        <w:autoSpaceDE w:val="0"/>
        <w:autoSpaceDN w:val="0"/>
        <w:adjustRightInd w:val="0"/>
        <w:spacing w:after="0" w:line="240" w:lineRule="auto"/>
        <w:jc w:val="both"/>
        <w:rPr>
          <w:b/>
          <w:bCs/>
          <w:i/>
          <w:iCs/>
          <w:sz w:val="21"/>
          <w:szCs w:val="21"/>
          <w:rFonts w:ascii="Times-BoldItalic" w:hAnsi="Times-BoldItalic" w:cs="Times-BoldItalic"/>
        </w:rPr>
      </w:pPr>
      <w:r>
        <w:rPr>
          <w:b/>
          <w:i/>
          <w:sz w:val="21"/>
          <w:rFonts w:ascii="Times-BoldItalic" w:hAnsi="Times-BoldItalic"/>
        </w:rPr>
        <w:t xml:space="preserve">Interneto platformoms taikomos kovos su neapykantos turiniu nuostatos</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54ECB">
      <w:pPr>
        <w:autoSpaceDE w:val="0"/>
        <w:autoSpaceDN w:val="0"/>
        <w:adjustRightInd w:val="0"/>
        <w:spacing w:after="0" w:line="240" w:lineRule="auto"/>
        <w:jc w:val="both"/>
        <w:rPr>
          <w:sz w:val="21"/>
          <w:szCs w:val="21"/>
          <w:rFonts w:ascii="Times-Roman" w:hAnsi="Times-Roman" w:cs="Times-Roman"/>
        </w:rPr>
      </w:pPr>
      <w:r>
        <w:rPr>
          <w:sz w:val="21"/>
          <w:i/>
        </w:rPr>
        <w:t xml:space="preserve">62 straipsnis.</w:t>
      </w:r>
      <w:r>
        <w:rPr>
          <w:sz w:val="21"/>
          <w:i/>
          <w:rFonts w:ascii="Times-Italic" w:hAnsi="Times-Italic"/>
        </w:rPr>
        <w:t xml:space="preserve"> </w:t>
      </w:r>
      <w:r>
        <w:rPr>
          <w:sz w:val="21"/>
          <w:rFonts w:ascii="Times-Roman" w:hAnsi="Times-Roman"/>
        </w:rPr>
        <w:t xml:space="preserve">– I. Aukštoji audiovizualinių reikalų taryba užtikrina, kad interneto platformos operatoriai, nurodyti 2004 m. birželio 21 d. Įstatymo Nr. 2004-575 dėl pasitikėjimo skaitmenine ekonomika 6-5 straipsnio pirmojoje pastraipoje, laikytųsi to paties 6-5 straipsnio nuostatų, atsižvelgiant į kiekvienos jų siūlomos paslaugos ypatybes ir operatoriaus taikomų priemonių tinkamumą, visų pirma į minėto 6-5 straipsnio pirmoje pastraipoje nurodyto turinio sklaidos rizikos mastą ir sunkumą, taip pat į nepagrįsto pašalinimo pagal taikytiną teisę ir jo naudojimo sąlygas riziką.</w:t>
      </w:r>
      <w:r>
        <w:rPr>
          <w:sz w:val="21"/>
          <w:rFonts w:ascii="Times-Roman" w:hAnsi="Times-Roman"/>
        </w:rPr>
        <w:t xml:space="preserve"> </w:t>
      </w:r>
      <w:r>
        <w:rPr>
          <w:sz w:val="21"/>
          <w:rFonts w:ascii="Times-Roman" w:hAnsi="Times-Roman"/>
        </w:rPr>
        <w:t xml:space="preserve">Šiems platformos operatoriams ji pateikia to paties 6-5 straipsnio taikymo gaires.</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317039" w:rsidRDefault="00317039" w:rsidP="00F02A14">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Šio įstatymo 19 straipsnyje nustatytomis sąlygomis iš šių operatorių ji renka informaciją, būtiną jų įsipareigojimams stebėti.</w:t>
      </w:r>
      <w:r>
        <w:rPr>
          <w:sz w:val="21"/>
          <w:rFonts w:ascii="Times-Roman" w:hAnsi="Times-Roman"/>
        </w:rPr>
        <w:t xml:space="preserve"> </w:t>
      </w:r>
      <w:r>
        <w:rPr>
          <w:sz w:val="21"/>
          <w:rFonts w:ascii="Times-Roman" w:hAnsi="Times-Roman"/>
        </w:rPr>
        <w:t xml:space="preserve">Todėl 2004 m. birželio 21 d. Įstatymo Nr. 2004-575 6-5 straipsnio 9 dalyje nurodyti operatoriai suteikia galimybę susipažinti su automatizuotų priemonių, naudojamų šiems įpareigojimams įvykdyti, veikimo principais, šių priemonių naudojamais parametrais, metodais ir duomenimis, naudojamais vertinant ir tobulinant jų veikimą, ir bet kokia kita informacija ar duomenimis, leidžiančiais įvertinti jų veiksmingumą, pagal asmens duomenų apsaugos nuostatas.</w:t>
      </w:r>
      <w:r>
        <w:rPr>
          <w:sz w:val="21"/>
          <w:rFonts w:ascii="Times-Roman" w:hAnsi="Times-Roman"/>
        </w:rPr>
        <w:t xml:space="preserve"> </w:t>
      </w:r>
      <w:r>
        <w:rPr>
          <w:sz w:val="21"/>
          <w:rFonts w:ascii="Times-Roman" w:hAnsi="Times-Roman"/>
        </w:rPr>
        <w:t xml:space="preserve">Laikydamasi šių nuostatų, Aukštoji audiovizualinių reikalų taryba gali siųsti proporcingus prašymus dėl prieigos prie duomenų, susijusių su šių priemonių veiksmingumo vertinimu, naudodamasi specialiomis programavimo sąsajomis.</w:t>
      </w:r>
      <w:r>
        <w:rPr>
          <w:sz w:val="21"/>
          <w:rFonts w:ascii="Times-Roman" w:hAnsi="Times-Roman"/>
        </w:rPr>
        <w:t xml:space="preserve"> </w:t>
      </w:r>
      <w:r>
        <w:rPr>
          <w:sz w:val="21"/>
          <w:rFonts w:ascii="Times-Roman" w:hAnsi="Times-Roman"/>
        </w:rPr>
        <w:t xml:space="preserve">Laikydamasi šių nuostatų ir siekdama tų pačių tikslų, Aukštoji audiovizualinių reikalų taryba gali įgyvendinti proporcingus viešai prieinamų duomenų automatizuoto rinkimo metodus, kad būtų galima gauti reikiamus duomenis.</w:t>
      </w:r>
    </w:p>
    <w:p w:rsidR="00317039" w:rsidRPr="00196BE6" w:rsidRDefault="00317039" w:rsidP="00196BE6">
      <w:pPr>
        <w:autoSpaceDE w:val="0"/>
        <w:autoSpaceDN w:val="0"/>
        <w:adjustRightInd w:val="0"/>
        <w:spacing w:after="0" w:line="240" w:lineRule="auto"/>
        <w:jc w:val="both"/>
        <w:rPr>
          <w:rFonts w:ascii="Times-Roman" w:hAnsi="Times-Roman" w:cs="Times-Roman"/>
          <w:sz w:val="21"/>
          <w:szCs w:val="21"/>
        </w:rPr>
      </w:pPr>
    </w:p>
    <w:p w:rsidR="006522CF" w:rsidRDefault="001048BC"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Ji apibrėžia informaciją ir kiekybinius rodiklius, kuriuos šie operatoriai privalo skelbti pagal 6-5 straipsnio 4 dalį, taip pat šio paskelbimo sąlygas ir terminus.</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Ji kasmet skelbia 6-5 straipsnio nuostatų taikymo apžvalgą.</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w:t>
      </w:r>
      <w:r>
        <w:rPr>
          <w:sz w:val="21"/>
          <w:rFonts w:ascii="Times-Roman" w:hAnsi="Times-Roman"/>
        </w:rPr>
        <w:t xml:space="preserve"> </w:t>
      </w:r>
      <w:r>
        <w:rPr>
          <w:sz w:val="21"/>
          <w:rFonts w:ascii="Times-Roman" w:hAnsi="Times-Roman"/>
        </w:rPr>
        <w:t xml:space="preserve">– Aukštoji audiovizualinių reikalų taryba, pateikdama oficialų pranešimą ir per jos nustatytą terminą, gali primygtinai raginti operatorius laikytis pirmiau minėto 2004 m. birželio 21 d. Įstatymo Nr. 2004-575 6-5 straipsnio nuostatų.</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Jeigu operatorius nesilaiko gauto pranešimo nuostatų, Aukštoji audiovizualinių reikalų taryba šio įstatymo 42-7 straipsnyje nustatytomis sąlygomis gali skirti baudą, kurios dydis nustatomas atsižvelgiant į reikalavimų nesilaikymo rimtumą ir, kai tinkama, pasikartojantį pobūdį, kuri neviršytų 20 mln. EUR arba 6 proc. bendros metinės apyvartos praėjusiais metais, atsižvelgiant į tai, kuri suma yra didesnė.</w:t>
      </w:r>
      <w:r>
        <w:rPr>
          <w:sz w:val="21"/>
          <w:rFonts w:ascii="Times-Roman" w:hAnsi="Times-Roman"/>
        </w:rPr>
        <w:t xml:space="preserve"> </w:t>
      </w:r>
      <w:r>
        <w:rPr>
          <w:sz w:val="21"/>
          <w:rFonts w:ascii="Times-Roman" w:hAnsi="Times-Roman"/>
        </w:rPr>
        <w:t xml:space="preserve">Jeigu už tą patį pažeidimą kitoje valstybėje tuo pačiu pagrindu apskaičiuota finansinė bauda, nustatant pagal šią dalį paskirtą baudą atsižvelgiama į tos baudos dydį.</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Nukrypstant nuo šio II dalies antros pastraipos, jei atsisakoma atskleisti informaciją, kurios reikalauja reguliavimo institucija pagal I dalies antrą pastraipą, arba kai pateikiama neteisinga ar klaidinanti informacija, skirtos nuobaudos suma negali viršyti 1 proc. bendros metinės pasaulinės apyvartos praėjusiais finansiniais metais.</w:t>
      </w:r>
    </w:p>
    <w:p w:rsidR="00F54ECB" w:rsidRDefault="00F54ECB"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Aukštoji audiovizualinių reikalų taryba gali viešai skelbti pranešimus ir paskirtas sankcijas.</w:t>
      </w:r>
      <w:r>
        <w:rPr>
          <w:sz w:val="21"/>
          <w:rFonts w:ascii="Times-Roman" w:hAnsi="Times-Roman"/>
        </w:rPr>
        <w:t xml:space="preserve"> </w:t>
      </w:r>
      <w:r>
        <w:rPr>
          <w:sz w:val="21"/>
          <w:rFonts w:ascii="Times-Roman" w:hAnsi="Times-Roman"/>
        </w:rPr>
        <w:t xml:space="preserve">Savo sprendime ji nustato tokio paskelbimo detales, kurios turi būti proporcingos pažeidimo sunkumui.</w:t>
      </w:r>
      <w:r>
        <w:rPr>
          <w:sz w:val="21"/>
          <w:rFonts w:ascii="Times-Roman" w:hAnsi="Times-Roman"/>
        </w:rPr>
        <w:t xml:space="preserve"> </w:t>
      </w:r>
      <w:r>
        <w:rPr>
          <w:sz w:val="21"/>
          <w:rFonts w:ascii="Times-Roman" w:hAnsi="Times-Roman"/>
        </w:rPr>
        <w:t xml:space="preserve">Ji taip pat gali nurodyti savo sprendimą įtraukti į tam skirtus leidinius, laikraščius ir žiniasklaidos priemones operatorių, kuriems taikomas oficialus pranešimas arba sankcijos, sąskaita.</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Baudos surenkamos kaip neapmokestinamosios ir neturtinės skolos valstybei.</w:t>
      </w:r>
      <w:r>
        <w:rPr>
          <w:sz w:val="21"/>
          <w:rFonts w:ascii="Times-Roman" w:hAnsi="Times-Roman"/>
        </w:rPr>
        <w:t xml:space="preserve"> </w:t>
      </w:r>
      <w:r>
        <w:rPr>
          <w:sz w:val="21"/>
          <w:rFonts w:ascii="Times-Roman" w:hAnsi="Times-Roman"/>
        </w:rPr>
        <w:t xml:space="preserve">;</w:t>
      </w:r>
    </w:p>
    <w:p w:rsidR="001048BC" w:rsidRDefault="001048BC" w:rsidP="00F54ECB">
      <w:pPr>
        <w:autoSpaceDE w:val="0"/>
        <w:autoSpaceDN w:val="0"/>
        <w:adjustRightInd w:val="0"/>
        <w:spacing w:after="0" w:line="240" w:lineRule="auto"/>
        <w:jc w:val="both"/>
        <w:rPr>
          <w:rFonts w:ascii="Times-Roman" w:hAnsi="Times-Roman" w:cs="Times-Roman"/>
          <w:sz w:val="21"/>
          <w:szCs w:val="21"/>
        </w:rPr>
      </w:pPr>
    </w:p>
    <w:p w:rsidR="006522CF"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 4 punkte po žodžio</w:t>
      </w:r>
      <w:r>
        <w:rPr>
          <w:sz w:val="21"/>
          <w:rFonts w:ascii="Times-Roman" w:hAnsi="Times-Roman"/>
        </w:rPr>
        <w:t xml:space="preserve"> </w:t>
      </w:r>
      <w:r>
        <w:rPr>
          <w:sz w:val="21"/>
          <w:rFonts w:ascii="Times-Roman" w:hAnsi="Times-Roman"/>
        </w:rPr>
        <w:t xml:space="preserve">„nulemtą“ 108 straipsnio pirmos pastraipos pabaiga išdėstoma taip:</w:t>
      </w:r>
      <w:r>
        <w:rPr>
          <w:sz w:val="21"/>
          <w:rFonts w:ascii="Times-Roman" w:hAnsi="Times-Roman"/>
        </w:rPr>
        <w:t xml:space="preserve"> </w:t>
      </w:r>
      <w:r>
        <w:rPr>
          <w:sz w:val="21"/>
          <w:rFonts w:ascii="Times-Roman" w:hAnsi="Times-Roman"/>
        </w:rPr>
        <w:t xml:space="preserve">„Įstatymo Nr. ..., kuriuo įtvirtinama pagarba Respublikos principams.</w:t>
      </w:r>
      <w:r>
        <w:rPr>
          <w:sz w:val="21"/>
          <w:rFonts w:ascii="Times-Roman" w:hAnsi="Times-Roman"/>
        </w:rPr>
        <w:t xml:space="preserve"> </w:t>
      </w:r>
      <w:r>
        <w:rPr>
          <w:sz w:val="21"/>
          <w:rFonts w:ascii="Times-Roman" w:hAnsi="Times-Roman"/>
        </w:rPr>
        <w:t xml:space="preserve">“</w:t>
      </w:r>
    </w:p>
    <w:p w:rsidR="00317039" w:rsidRPr="00196BE6" w:rsidRDefault="00317039" w:rsidP="00196BE6">
      <w:pPr>
        <w:autoSpaceDE w:val="0"/>
        <w:autoSpaceDN w:val="0"/>
        <w:adjustRightInd w:val="0"/>
        <w:spacing w:after="0" w:line="240" w:lineRule="auto"/>
        <w:jc w:val="both"/>
        <w:rPr>
          <w:rFonts w:ascii="Times-Roman" w:hAnsi="Times-Roman" w:cs="Times-Roman"/>
          <w:sz w:val="21"/>
          <w:szCs w:val="21"/>
        </w:rPr>
      </w:pPr>
    </w:p>
    <w:p w:rsidR="006522CF" w:rsidRPr="00F54ECB" w:rsidRDefault="006522CF" w:rsidP="00F54ECB">
      <w:pPr>
        <w:autoSpaceDE w:val="0"/>
        <w:autoSpaceDN w:val="0"/>
        <w:adjustRightInd w:val="0"/>
        <w:spacing w:after="0" w:line="240" w:lineRule="auto"/>
        <w:jc w:val="both"/>
        <w:rPr>
          <w:sz w:val="21"/>
          <w:szCs w:val="21"/>
          <w:rFonts w:ascii="Times-Roman" w:hAnsi="Times-Roman" w:cs="Times-Roman"/>
        </w:rPr>
      </w:pPr>
      <w:r>
        <w:rPr>
          <w:sz w:val="21"/>
          <w:rFonts w:ascii="Times-Roman" w:hAnsi="Times-Roman"/>
        </w:rPr>
        <w:t xml:space="preserve">III.</w:t>
      </w:r>
      <w:r>
        <w:rPr>
          <w:sz w:val="21"/>
          <w:rFonts w:ascii="Times-Roman" w:hAnsi="Times-Roman"/>
        </w:rPr>
        <w:t xml:space="preserve"> </w:t>
      </w:r>
      <w:r>
        <w:rPr>
          <w:sz w:val="21"/>
          <w:rFonts w:ascii="Times-Roman" w:hAnsi="Times-Roman"/>
        </w:rPr>
        <w:t xml:space="preserve">– Šio straipsnio nuostatos taikomos iki 2023 m. gruodžio 31 d.</w:t>
      </w:r>
    </w:p>
    <w:sectPr w:rsidR="006522CF" w:rsidRPr="00F54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Italic">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F1FF0"/>
    <w:multiLevelType w:val="hybridMultilevel"/>
    <w:tmpl w:val="70DE856A"/>
    <w:lvl w:ilvl="0" w:tplc="73F84A00">
      <w:start w:val="1"/>
      <w:numFmt w:val="lowerLetter"/>
      <w:lvlText w:val="%1)"/>
      <w:lvlJc w:val="left"/>
      <w:pPr>
        <w:ind w:left="720" w:hanging="360"/>
      </w:pPr>
      <w:rPr>
        <w:rFonts w:ascii="Times-Italic" w:hAnsi="Times-Italic" w:cs="Times-Italic"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dirty" w:grammar="dirty"/>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8D"/>
    <w:rsid w:val="001048BC"/>
    <w:rsid w:val="00134B73"/>
    <w:rsid w:val="00196BE6"/>
    <w:rsid w:val="00317039"/>
    <w:rsid w:val="00485A93"/>
    <w:rsid w:val="004E021A"/>
    <w:rsid w:val="006522CF"/>
    <w:rsid w:val="00694BF3"/>
    <w:rsid w:val="00994AE4"/>
    <w:rsid w:val="009C128D"/>
    <w:rsid w:val="00F02A14"/>
    <w:rsid w:val="00F54ECB"/>
    <w:rsid w:val="00FD5A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22478-4E01-4C1D-9BE7-99AC4826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021A"/>
    <w:pPr>
      <w:ind w:left="720"/>
      <w:contextualSpacing/>
    </w:pPr>
  </w:style>
  <w:style w:type="paragraph" w:styleId="Textedebulles">
    <w:name w:val="Balloon Text"/>
    <w:basedOn w:val="Normal"/>
    <w:link w:val="TextedebullesCar"/>
    <w:uiPriority w:val="99"/>
    <w:semiHidden/>
    <w:unhideWhenUsed/>
    <w:rsid w:val="00F02A1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2A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2964</Words>
  <Characters>16308</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Chantal</dc:creator>
  <cp:keywords/>
  <dc:description/>
  <cp:lastModifiedBy>SOURY-LAVERGNE Blaise</cp:lastModifiedBy>
  <cp:revision>6</cp:revision>
  <dcterms:created xsi:type="dcterms:W3CDTF">2021-03-12T11:39:00Z</dcterms:created>
  <dcterms:modified xsi:type="dcterms:W3CDTF">2021-03-12T12:08:00Z</dcterms:modified>
</cp:coreProperties>
</file>