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PROIECT</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Ordonanța privind produsele de unică folosință</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Guvernul suedez stabilește prin prezenta </w:t>
      </w:r>
      <w:r w:rsidRPr="00B10BD4">
        <w:rPr>
          <w:rStyle w:val="Fotnotsreferens"/>
        </w:rPr>
        <w:footnoteReference w:id="2"/>
      </w:r>
      <w:r>
        <w:t xml:space="preserve"> următoarele:</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Articolul 1    </w:t>
      </w:r>
      <w:r>
        <w:t xml:space="preserve">Prezenta ordonanță este emisă în temeiul</w:t>
      </w:r>
      <w:r>
        <w:t xml:space="preserve"> </w:t>
      </w:r>
    </w:p>
    <w:p w14:paraId="60B3B3FE" w14:textId="6DC83533" w:rsidR="005468F3" w:rsidRPr="00B10BD4" w:rsidRDefault="005468F3" w:rsidP="005468F3">
      <w:pPr>
        <w:pStyle w:val="Brdtextmedindrag"/>
      </w:pPr>
      <w:r>
        <w:t xml:space="preserve">– capitolului 15 articolul 40 din Codul mediului în ceea ce privește articolele 13-30;</w:t>
      </w:r>
    </w:p>
    <w:p w14:paraId="690CFD40" w14:textId="0EAC24C0" w:rsidR="005468F3" w:rsidRPr="00B10BD4" w:rsidRDefault="005468F3" w:rsidP="005468F3">
      <w:pPr>
        <w:pStyle w:val="Brdtextmedindrag"/>
      </w:pPr>
      <w:r>
        <w:t xml:space="preserve">– capitolului 8 articolul 11 din instrumentul guvernului cu privire la articolul 35; și</w:t>
      </w:r>
    </w:p>
    <w:p w14:paraId="325C6242" w14:textId="77777777" w:rsidR="005468F3" w:rsidRPr="00B10BD4" w:rsidRDefault="005468F3" w:rsidP="005468F3">
      <w:pPr>
        <w:pStyle w:val="Brdtextmedindrag"/>
      </w:pPr>
      <w:r>
        <w:t xml:space="preserve">– capitolului 8 articolul 7 din instrumentul guvernului în ceea ce privește alte dispoziții.</w:t>
      </w:r>
    </w:p>
    <w:p w14:paraId="1D3247EF" w14:textId="77777777" w:rsidR="005468F3" w:rsidRPr="00B10BD4" w:rsidRDefault="005468F3" w:rsidP="000918F8">
      <w:pPr>
        <w:pStyle w:val="Rubrik4"/>
      </w:pPr>
      <w:r>
        <w:t xml:space="preserve">Obiectul ordonanței</w:t>
      </w:r>
    </w:p>
    <w:p w14:paraId="32463151" w14:textId="0D7E8DA6" w:rsidR="0015788B" w:rsidRPr="00B10BD4" w:rsidRDefault="005468F3" w:rsidP="005468F3">
      <w:pPr>
        <w:pStyle w:val="Brdtextmedindrag"/>
        <w:ind w:firstLine="0"/>
      </w:pPr>
      <w:r>
        <w:rPr>
          <w:b/>
        </w:rPr>
        <w:t xml:space="preserve">Articolul 2    </w:t>
      </w:r>
      <w:r>
        <w:t xml:space="preserve">Scopul prezentei ordonanțe este de a reduce volumul de deșeuri și de a promova o economie circulară.</w:t>
      </w:r>
      <w:r>
        <w:t xml:space="preserve"> </w:t>
      </w:r>
    </w:p>
    <w:p w14:paraId="3E594C62" w14:textId="34ADAC2F" w:rsidR="005468F3" w:rsidRPr="00B10BD4" w:rsidRDefault="005468F3" w:rsidP="00C073DB">
      <w:pPr>
        <w:pStyle w:val="Rubrik4"/>
      </w:pPr>
      <w:r>
        <w:t xml:space="preserve">Definiții</w:t>
      </w:r>
    </w:p>
    <w:p w14:paraId="02D41004" w14:textId="4FB7FD12" w:rsidR="005468F3" w:rsidRPr="00B10BD4" w:rsidRDefault="003469C8" w:rsidP="005468F3">
      <w:pPr>
        <w:pStyle w:val="Brdtext"/>
        <w:keepNext/>
      </w:pPr>
      <w:r>
        <w:rPr>
          <w:b/>
        </w:rPr>
        <w:t xml:space="preserve">Articolul 3    </w:t>
      </w:r>
      <w:r>
        <w:t xml:space="preserve">În prezenta ordonanță, </w:t>
      </w:r>
      <w:r>
        <w:rPr>
          <w:i/>
        </w:rPr>
        <w:t xml:space="preserve">polimer</w:t>
      </w:r>
      <w:r>
        <w:t xml:space="preserve"> are sensul definit la articolul 3 alineatul (5)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Articolul 4    </w:t>
      </w:r>
      <w:r>
        <w:t xml:space="preserve">În prezenta ordonanță, </w:t>
      </w:r>
      <w:r>
        <w:rPr>
          <w:i/>
        </w:rPr>
        <w:t xml:space="preserve">plastic</w:t>
      </w:r>
      <w:r>
        <w:t xml:space="preserve"> înseamnă un polimer care poate funcționa ca o componentă structurală principală a produselor finite, </w:t>
      </w:r>
      <w:bookmarkStart w:id="1" w:name="_Hlk49851962"/>
      <w:r>
        <w:t xml:space="preserve">indiferent dacă au fost adăugați aditivi sau alte substanțe la polimer.</w:t>
      </w:r>
    </w:p>
    <w:bookmarkEnd w:id="1"/>
    <w:p w14:paraId="1A73BBD2" w14:textId="77777777" w:rsidR="005468F3" w:rsidRPr="00B10BD4" w:rsidRDefault="005468F3" w:rsidP="005468F3">
      <w:pPr>
        <w:pStyle w:val="Brdtextmedindrag"/>
      </w:pPr>
      <w:r>
        <w:t xml:space="preserve">Plasticul nu înseamnă un polimer care se găsește în mod natural în mediu și care nu a fost modificat chimic.</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Articolul 5    </w:t>
      </w:r>
      <w:r>
        <w:t xml:space="preserve">În prezenta ordonanță</w:t>
      </w:r>
    </w:p>
    <w:p w14:paraId="4401025B" w14:textId="77777777" w:rsidR="005468F3" w:rsidRPr="00B10BD4" w:rsidRDefault="005468F3" w:rsidP="005468F3">
      <w:pPr>
        <w:pStyle w:val="Brdtextmedindrag"/>
        <w:rPr>
          <w:iCs/>
        </w:rPr>
      </w:pPr>
      <w:r>
        <w:rPr>
          <w:i/>
        </w:rPr>
        <w:t xml:space="preserve">a furniza pe piața suedeză</w:t>
      </w:r>
      <w:r>
        <w:t xml:space="preserve"> înseamnă a pune la dispoziție un produs pentru distribuție, consum sau utilizare pe piața suedeză în schimbul unei plăți sau gratuit, cu titlu profesional; și</w:t>
      </w:r>
    </w:p>
    <w:p w14:paraId="75C434F2" w14:textId="77777777" w:rsidR="005468F3" w:rsidRPr="00B10BD4" w:rsidRDefault="005468F3" w:rsidP="005468F3">
      <w:pPr>
        <w:pStyle w:val="Brdtextmedindrag"/>
        <w:rPr>
          <w:iCs/>
        </w:rPr>
      </w:pPr>
      <w:r>
        <w:rPr>
          <w:i/>
        </w:rPr>
        <w:t xml:space="preserve">a introduce pe piața suedeză</w:t>
      </w:r>
      <w:r>
        <w:t xml:space="preserve"> înseamnă a furniza un produs pe piața suedeză pentru prima dată.</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Articolul 6    </w:t>
      </w:r>
      <w:r>
        <w:t xml:space="preserve">În prezenta ordonanță</w:t>
      </w:r>
      <w:r>
        <w:rPr>
          <w:i/>
        </w:rPr>
        <w:t xml:space="preserve"> </w:t>
      </w:r>
    </w:p>
    <w:p w14:paraId="1FB7D8D3" w14:textId="77777777" w:rsidR="005468F3" w:rsidRPr="00B10BD4" w:rsidRDefault="005468F3" w:rsidP="005468F3">
      <w:pPr>
        <w:pStyle w:val="Brdtextmedindrag"/>
      </w:pPr>
      <w:r>
        <w:rPr>
          <w:i/>
        </w:rPr>
        <w:t xml:space="preserve">produs de unică folosință</w:t>
      </w:r>
      <w:r>
        <w:t xml:space="preserve"> înseamnă un produs care nu este conceput, proiectat sau introdus pe piața suedeză pentru a realiza, în cadrul duratei sale de viață, mai multe cicluri sau rotații prin reutilizare în același scop pentru care a fost conceput sau prin returnarea la un producător pentru reumplere; și</w:t>
      </w:r>
    </w:p>
    <w:p w14:paraId="6B05E1E1" w14:textId="77777777" w:rsidR="005468F3" w:rsidRPr="00B10BD4" w:rsidRDefault="005468F3" w:rsidP="005468F3">
      <w:pPr>
        <w:pStyle w:val="Brdtextmedindrag"/>
      </w:pPr>
      <w:r>
        <w:rPr>
          <w:i/>
        </w:rPr>
        <w:t xml:space="preserve">produs din plastic de unică folosință</w:t>
      </w:r>
      <w:r>
        <w:t xml:space="preserve"> înseamnă un produs de unică folosință care este fabricat integral sau parțial din plastic.</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Articolul 7    </w:t>
      </w:r>
      <w:r>
        <w:t xml:space="preserve">În prezenta ordonanță</w:t>
      </w:r>
      <w:r>
        <w:t xml:space="preserve"> </w:t>
      </w:r>
    </w:p>
    <w:p w14:paraId="2DE92665" w14:textId="62C0AC9A" w:rsidR="005468F3" w:rsidRPr="00B10BD4" w:rsidRDefault="005468F3" w:rsidP="005468F3">
      <w:pPr>
        <w:pStyle w:val="Brdtextmedindrag"/>
      </w:pPr>
      <w:r>
        <w:rPr>
          <w:i/>
        </w:rPr>
        <w:t xml:space="preserve">pahar</w:t>
      </w:r>
      <w:r>
        <w:t xml:space="preserve"> înseamnă un pahar sau o cană, cu sau fără capac, destinată băuturilor reci sau fierbinți care sunt de obicei băute direct din ceașcă;</w:t>
      </w:r>
      <w:r>
        <w:t xml:space="preserve"> </w:t>
      </w:r>
    </w:p>
    <w:p w14:paraId="6472B480" w14:textId="77777777" w:rsidR="005468F3" w:rsidRPr="00B10BD4" w:rsidRDefault="005468F3" w:rsidP="005468F3">
      <w:pPr>
        <w:pStyle w:val="Brdtextmedindrag"/>
      </w:pPr>
      <w:r>
        <w:rPr>
          <w:i/>
        </w:rPr>
        <w:t xml:space="preserve">pahare de unică folosință</w:t>
      </w:r>
      <w:r>
        <w:t xml:space="preserve"> înseamnă un pahar care este un produs de unică folosință; și</w:t>
      </w:r>
    </w:p>
    <w:p w14:paraId="1F837B1A" w14:textId="77777777" w:rsidR="005468F3" w:rsidRPr="00B10BD4" w:rsidRDefault="005468F3" w:rsidP="005468F3">
      <w:pPr>
        <w:pStyle w:val="Brdtextmedindrag"/>
      </w:pPr>
      <w:r>
        <w:rPr>
          <w:i/>
        </w:rPr>
        <w:t xml:space="preserve">recipient pentru băuturi</w:t>
      </w:r>
      <w:r>
        <w:t xml:space="preserve"> înseamnă o sticlă din plastic, un ambalaj compozit sau un alt recipient care</w:t>
      </w:r>
      <w:r>
        <w:t xml:space="preserve"> </w:t>
      </w:r>
    </w:p>
    <w:p w14:paraId="12165DCE" w14:textId="77777777" w:rsidR="005468F3" w:rsidRPr="00B10BD4" w:rsidRDefault="005468F3" w:rsidP="005468F3">
      <w:pPr>
        <w:pStyle w:val="Brdtextmedindrag"/>
      </w:pPr>
      <w:r>
        <w:t xml:space="preserve">1. este un produs din plastic de unică folosință;</w:t>
      </w:r>
    </w:p>
    <w:p w14:paraId="7F1954A4" w14:textId="77777777" w:rsidR="005468F3" w:rsidRPr="00B10BD4" w:rsidRDefault="005468F3" w:rsidP="005468F3">
      <w:pPr>
        <w:pStyle w:val="Brdtextmedindrag"/>
      </w:pPr>
      <w:r>
        <w:t xml:space="preserve">2. are o capacitate de până la trei litri;</w:t>
      </w:r>
      <w:r>
        <w:t xml:space="preserve"> </w:t>
      </w:r>
    </w:p>
    <w:p w14:paraId="09D1093F" w14:textId="77777777" w:rsidR="005468F3" w:rsidRPr="00B10BD4" w:rsidRDefault="005468F3" w:rsidP="005468F3">
      <w:pPr>
        <w:pStyle w:val="Brdtextmedindrag"/>
      </w:pPr>
      <w:r>
        <w:t xml:space="preserve">3. este destinat băuturilor; și</w:t>
      </w:r>
    </w:p>
    <w:p w14:paraId="47AE724B" w14:textId="61386166" w:rsidR="00D5396B" w:rsidRPr="00B10BD4" w:rsidRDefault="005468F3" w:rsidP="00A95177">
      <w:pPr>
        <w:pStyle w:val="Brdtextmedindrag"/>
      </w:pPr>
      <w:r>
        <w:t xml:space="preserve">4. nu este un pahar.</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Articolul 8    </w:t>
      </w:r>
      <w:bookmarkStart w:id="2" w:name="_Hlk39491428"/>
      <w:r>
        <w:t xml:space="preserve">În prezenta ordonanță</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alimente </w:t>
      </w:r>
      <w:r>
        <w:t xml:space="preserve">înseamnă produse alimentare care nu sunt băuturi;</w:t>
      </w:r>
    </w:p>
    <w:p w14:paraId="5F034BAC" w14:textId="7A8A80E3" w:rsidR="005468F3" w:rsidRPr="00B10BD4" w:rsidRDefault="005468F3" w:rsidP="005468F3">
      <w:pPr>
        <w:pStyle w:val="Brdtextmedindrag"/>
      </w:pPr>
      <w:r>
        <w:rPr>
          <w:i/>
        </w:rPr>
        <w:t xml:space="preserve">alimente de tip fast food</w:t>
      </w:r>
      <w:r>
        <w:t xml:space="preserve"> </w:t>
      </w:r>
      <w:bookmarkStart w:id="4" w:name="_Hlk23153179"/>
      <w:r>
        <w:t xml:space="preserve">înseamnă produsele alimentare care</w:t>
      </w:r>
      <w:r>
        <w:t xml:space="preserve"> </w:t>
      </w:r>
    </w:p>
    <w:p w14:paraId="1C7ADC8E" w14:textId="77777777" w:rsidR="005468F3" w:rsidRPr="00B10BD4" w:rsidRDefault="005468F3" w:rsidP="005468F3">
      <w:pPr>
        <w:pStyle w:val="Brdtextmedindrag"/>
      </w:pPr>
      <w:r>
        <w:t xml:space="preserve">1. sunt destinate să fie consumate direct sau în imediata apropiere a vânzării;</w:t>
      </w:r>
      <w:r>
        <w:t xml:space="preserve"> </w:t>
      </w:r>
    </w:p>
    <w:p w14:paraId="306BE99C" w14:textId="77777777" w:rsidR="005468F3" w:rsidRPr="00B10BD4" w:rsidRDefault="005468F3" w:rsidP="005468F3">
      <w:pPr>
        <w:pStyle w:val="Brdtextmedindrag"/>
      </w:pPr>
      <w:bookmarkStart w:id="5" w:name="_Hlk38459579"/>
      <w:r>
        <w:t xml:space="preserve">2. sunt consumate la punctul de vânzare sau în alt loc</w:t>
      </w:r>
      <w:bookmarkEnd w:id="5"/>
      <w:r>
        <w:t xml:space="preserve">;</w:t>
      </w:r>
      <w:r>
        <w:t xml:space="preserve"> </w:t>
      </w:r>
    </w:p>
    <w:p w14:paraId="36EDDE17" w14:textId="3704FF03" w:rsidR="005468F3" w:rsidRPr="00B10BD4" w:rsidRDefault="005468F3" w:rsidP="005468F3">
      <w:pPr>
        <w:pStyle w:val="Brdtextmedindrag"/>
      </w:pPr>
      <w:r>
        <w:t xml:space="preserve">3. sunt destinate a fi consumate din ambalaj; și</w:t>
      </w:r>
      <w:r>
        <w:t xml:space="preserve"> </w:t>
      </w:r>
    </w:p>
    <w:p w14:paraId="5E6DD8B8" w14:textId="77777777" w:rsidR="005468F3" w:rsidRPr="00B10BD4" w:rsidRDefault="005468F3" w:rsidP="005468F3">
      <w:pPr>
        <w:pStyle w:val="Brdtextmedindrag"/>
      </w:pPr>
      <w:r>
        <w:t xml:space="preserve">4. sunt gata pentru a fi consumate fără a fi gătite, încălzite sau preparate în alt mod</w:t>
      </w:r>
      <w:bookmarkEnd w:id="4"/>
      <w:r>
        <w:t xml:space="preserve"> de către consumator;</w:t>
      </w:r>
      <w:r>
        <w:t xml:space="preserve"> </w:t>
      </w:r>
    </w:p>
    <w:p w14:paraId="371FE5CF" w14:textId="77777777" w:rsidR="005468F3" w:rsidRPr="00B10BD4" w:rsidRDefault="005468F3" w:rsidP="005468F3">
      <w:pPr>
        <w:pStyle w:val="Brdtextmedindrag"/>
      </w:pPr>
      <w:r>
        <w:rPr>
          <w:i/>
        </w:rPr>
        <w:t xml:space="preserve">cutie pentru alimente:</w:t>
      </w:r>
      <w:r>
        <w:t xml:space="preserve"> înseamnă ambalaj, cu sau fără capac, care</w:t>
      </w:r>
      <w:r>
        <w:t xml:space="preserve"> </w:t>
      </w:r>
    </w:p>
    <w:p w14:paraId="5DBFFD4E" w14:textId="77777777" w:rsidR="005468F3" w:rsidRPr="00B10BD4" w:rsidRDefault="005468F3" w:rsidP="005468F3">
      <w:pPr>
        <w:pStyle w:val="Brdtextmedindrag"/>
      </w:pPr>
      <w:r>
        <w:t xml:space="preserve">1. este turnată sau rămâne practic neschimbată ca formă după adăugarea sau eliminarea conținutului; și</w:t>
      </w:r>
      <w:r>
        <w:t xml:space="preserve"> </w:t>
      </w:r>
    </w:p>
    <w:p w14:paraId="296581A3" w14:textId="77777777" w:rsidR="005468F3" w:rsidRPr="00B10BD4" w:rsidRDefault="005468F3" w:rsidP="005468F3">
      <w:pPr>
        <w:pStyle w:val="Brdtextmedindrag"/>
      </w:pPr>
      <w:r>
        <w:t xml:space="preserve">2. este utilizată pentru alimente de tip fast food; și</w:t>
      </w:r>
    </w:p>
    <w:p w14:paraId="362B1E0F" w14:textId="77777777" w:rsidR="005468F3" w:rsidRPr="00B10BD4" w:rsidRDefault="005468F3" w:rsidP="005468F3">
      <w:pPr>
        <w:pStyle w:val="Brdtextmedindrag"/>
        <w:rPr>
          <w:i/>
        </w:rPr>
      </w:pPr>
      <w:r>
        <w:rPr>
          <w:i/>
        </w:rPr>
        <w:t xml:space="preserve">cutie de unică folosință pentru alimente</w:t>
      </w:r>
      <w:r>
        <w:t xml:space="preserve"> înseamnă o cutie pentru produse alimentare care este un produs de unică folosință</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Articolul 9    </w:t>
      </w:r>
      <w:r>
        <w:t xml:space="preserve">În prezenta ordonanță, </w:t>
      </w:r>
      <w:r>
        <w:rPr>
          <w:i/>
        </w:rPr>
        <w:t xml:space="preserve">ciclu de reutilizare </w:t>
      </w:r>
      <w:r>
        <w:t xml:space="preserve">înseamnă călătoria pe care un pahar sau o cutie reutilizabilă pentru alimente o începe prin a fi pusă la dispoziție pe piața suedeză împreună cu băutura sau alimentele pe care urmează să le conțină, să le protejeze, să le livreze sau să le prezinte, până când sunt supuse unui sistem de reutilizare a paharelor sau cutiilor pentru alimente de tip fast food în scopul furnizării din nou pe piața suedeză împreună cu băutura sau alimentele pentru care sunt destinate.</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Articolul 10    </w:t>
      </w:r>
      <w:r>
        <w:t xml:space="preserve">Cuvintele și expresii din prezenta ordonanță au, în caz contrar, același înțeles ca în capitolul 15 din Codul mediului.</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Articolul 11    </w:t>
      </w:r>
      <w:r>
        <w:t xml:space="preserve">Introducerea pe piața suedeză a paharelor de unică folosință care conțin mai mult de 15 % plastic este interzisă.</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Articolul 12    </w:t>
      </w:r>
      <w:r>
        <w:t xml:space="preserve">Agenția suedeză pentru Protecția Mediului poate emite reglementări privind derogările de la interdicția prevăzută la articolul 15, în cazul în care există motive speciale pentru introducerea pe piața suedeză a paharelor de unică folosință.</w:t>
      </w:r>
      <w:r>
        <w:t xml:space="preserve"> </w:t>
      </w:r>
    </w:p>
    <w:p w14:paraId="50F56AB3" w14:textId="0F9F3676" w:rsidR="003E2867" w:rsidRPr="00C819BD" w:rsidRDefault="003E2867" w:rsidP="003E2867">
      <w:pPr>
        <w:pStyle w:val="Rubrik4"/>
      </w:pPr>
      <w:r>
        <w:t xml:space="preserve">Interzicerea utilizării confetti</w:t>
      </w:r>
      <w:r>
        <w:t xml:space="preserve"> </w:t>
      </w:r>
    </w:p>
    <w:p w14:paraId="720B323C" w14:textId="24EAEE21" w:rsidR="003E2867" w:rsidRPr="00B10BD4" w:rsidRDefault="003E2867" w:rsidP="003E2867">
      <w:pPr>
        <w:pStyle w:val="Brdtext"/>
      </w:pPr>
      <w:r>
        <w:rPr>
          <w:b/>
        </w:rPr>
        <w:t xml:space="preserve">Articolul 13    </w:t>
      </w:r>
      <w:r>
        <w:t xml:space="preserve">Confettile care conțin plastic nu pot fi utilizate în aer liber.</w:t>
      </w:r>
    </w:p>
    <w:p w14:paraId="72A24187" w14:textId="77777777" w:rsidR="005468F3" w:rsidRPr="00B10BD4" w:rsidRDefault="005468F3" w:rsidP="000918F8">
      <w:pPr>
        <w:pStyle w:val="Rubrik4"/>
      </w:pPr>
      <w:r>
        <w:t xml:space="preserve">Cerința de a oferi produsul servit în pahare și cutii reutilizabile pentru alimente</w:t>
      </w:r>
      <w:r>
        <w:t xml:space="preserve"> </w:t>
      </w:r>
    </w:p>
    <w:p w14:paraId="55B8BA93" w14:textId="63BE3311" w:rsidR="005468F3" w:rsidRPr="00B10BD4" w:rsidRDefault="005468F3" w:rsidP="005468F3">
      <w:pPr>
        <w:pStyle w:val="Brdtext"/>
      </w:pPr>
      <w:bookmarkStart w:id="6" w:name="_Hlk57038341"/>
      <w:r>
        <w:rPr>
          <w:b/>
        </w:rPr>
        <w:t xml:space="preserve">Articolul 14    </w:t>
      </w:r>
      <w:r>
        <w:t xml:space="preserve">Orice persoană care oferă băuturi pe piața suedeză în pahare de unică folosință trebuie să</w:t>
      </w:r>
      <w:r>
        <w:t xml:space="preserve"> </w:t>
      </w:r>
    </w:p>
    <w:p w14:paraId="2ADA6DD9" w14:textId="77777777" w:rsidR="005468F3" w:rsidRPr="00B10BD4" w:rsidRDefault="005468F3" w:rsidP="005468F3">
      <w:pPr>
        <w:pStyle w:val="Brdtextmedindrag"/>
      </w:pPr>
      <w:r>
        <w:t xml:space="preserve">1. ofere posibilitatea de a servi băutura într-un pahar reutilizabil; și</w:t>
      </w:r>
    </w:p>
    <w:p w14:paraId="18B4EC82" w14:textId="77777777" w:rsidR="005468F3" w:rsidRPr="00B10BD4" w:rsidRDefault="005468F3" w:rsidP="005468F3">
      <w:pPr>
        <w:pStyle w:val="Brdtextmedindrag"/>
      </w:pPr>
      <w:r>
        <w:t xml:space="preserve">2. să ia măsuri eficiente pentru a se asigura că paharele reutilizabile și capacele lor trec prin mai multe cicluri de reutilizare.</w:t>
      </w:r>
    </w:p>
    <w:p w14:paraId="6FE2066C" w14:textId="2225E735" w:rsidR="005468F3" w:rsidRPr="00B10BD4" w:rsidRDefault="005468F3" w:rsidP="005468F3">
      <w:pPr>
        <w:pStyle w:val="Brdtextmedindrag"/>
      </w:pPr>
      <w:r>
        <w:t xml:space="preserve">Paharul reutilizabil trebuie să fie furnizat de furnizorul băuturii, indiferent dacă băutura urmează să fie luată la pachet sau băută la punctul de vânzare.</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Articolul 15    </w:t>
      </w:r>
      <w:r>
        <w:t xml:space="preserve">Orice persoană care furnizează alimente de tip fast food pe piața suedeză în cutii de unică folosință pentru alimente trebuie să</w:t>
      </w:r>
      <w:r>
        <w:t xml:space="preserve"> </w:t>
      </w:r>
    </w:p>
    <w:p w14:paraId="2B9B5C24" w14:textId="77777777" w:rsidR="005468F3" w:rsidRPr="00B10BD4" w:rsidRDefault="005468F3" w:rsidP="005468F3">
      <w:pPr>
        <w:pStyle w:val="Brdtextmedindrag"/>
      </w:pPr>
      <w:r>
        <w:t xml:space="preserve">1. ofere posibilitatea ca alimentele de tip fast food servite într-o cutie reutilizabilă pentru alimente; și</w:t>
      </w:r>
    </w:p>
    <w:p w14:paraId="022A9E55" w14:textId="77777777" w:rsidR="005468F3" w:rsidRPr="00B10BD4" w:rsidRDefault="005468F3" w:rsidP="005468F3">
      <w:pPr>
        <w:pStyle w:val="Brdtextmedindrag"/>
      </w:pPr>
      <w:r>
        <w:t xml:space="preserve">2. să ia măsuri eficiente pentru a se asigura că cutii reutilizabile pentru alimente și capacele lor trec prin mai multe cicluri de reutilizare.</w:t>
      </w:r>
      <w:r>
        <w:t xml:space="preserve"> </w:t>
      </w:r>
    </w:p>
    <w:p w14:paraId="64D8035A" w14:textId="0D96B30D" w:rsidR="005A5ADA" w:rsidRPr="00C819BD" w:rsidRDefault="005468F3" w:rsidP="000918F8">
      <w:pPr>
        <w:pStyle w:val="Brdtextmedindrag"/>
      </w:pPr>
      <w:r>
        <w:t xml:space="preserve">Cutia reutilizabilă pentru alimente trebuie să fie furnizată de furnizorul alimentului, indiferent dacă produsul alimentar urmează să fie luat la pachet sau consumat la punctul de vânzare.</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Articolul 16    </w:t>
      </w:r>
      <w:r>
        <w:t xml:space="preserve">Orice persoană care furnizează un pahar sau o cutie reutilizabilă pentru alimente în conformitate cu articolul 14 sau articolul 15 trebuie să aleagă un pahar sau o cutie pentru alimente care are un efect negativ cât mai mic posibil asupra sănătății umane și asupra mediului.</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Articolul 17    </w:t>
      </w:r>
      <w:bookmarkStart w:id="7" w:name="_Hlk50550710"/>
      <w:r>
        <w:t xml:space="preserve">Orice persoană care furnizează pe piața suedeză băuturi în pahare de unică folosință sau alimente de tip fast food în cutii de unică folosință pentru alimente trebuie să informeze consumatorii cu privire la</w:t>
      </w:r>
      <w:bookmarkEnd w:id="7"/>
    </w:p>
    <w:p w14:paraId="14B387DD" w14:textId="77777777" w:rsidR="005468F3" w:rsidRPr="00B10BD4" w:rsidRDefault="005468F3" w:rsidP="005468F3">
      <w:pPr>
        <w:pStyle w:val="Brdtextmedindrag"/>
      </w:pPr>
      <w:r>
        <w:t xml:space="preserve">1. posibilitatea de a servi băutura într-un pahar reutilizabil sau alimentele de tip fast food într-o cutie reutilizabilă pentru alimente;</w:t>
      </w:r>
      <w:r>
        <w:t xml:space="preserve"> </w:t>
      </w:r>
    </w:p>
    <w:p w14:paraId="466FD8DD" w14:textId="52641002" w:rsidR="005468F3" w:rsidRPr="00B10BD4" w:rsidRDefault="005468F3" w:rsidP="005468F3">
      <w:pPr>
        <w:pStyle w:val="Brdtextmedindrag"/>
      </w:pPr>
      <w:r>
        <w:t xml:space="preserve">2. impactul asupra mediului cauzat de utilizarea paharelor de unică folosință și a cutiilor de unică folosință pentru alimente; și</w:t>
      </w:r>
    </w:p>
    <w:p w14:paraId="4BDF7D3C" w14:textId="5B1F148B" w:rsidR="005468F3" w:rsidRPr="00B10BD4" w:rsidRDefault="005468F3" w:rsidP="005468F3">
      <w:pPr>
        <w:pStyle w:val="Brdtextmedindrag"/>
      </w:pPr>
      <w:r>
        <w:t xml:space="preserve">3. beneficiile reducerii consumului de pahare de unică folosință și cutii de unică folosință pentru alimente.</w:t>
      </w:r>
    </w:p>
    <w:p w14:paraId="57D456AA" w14:textId="0885871D" w:rsidR="005468F3" w:rsidRPr="00B10BD4" w:rsidRDefault="005468F3" w:rsidP="005468F3">
      <w:pPr>
        <w:pStyle w:val="Brdtextmedindrag"/>
      </w:pPr>
      <w:r>
        <w:t xml:space="preserve">Informațiile trebuie să fie vizibile la punctul de vânzare și să fie ușor accesibile consumatorului.</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Articolul 18    </w:t>
      </w:r>
      <w:r>
        <w:t xml:space="preserve">Cerințele prevăzute la articolele 14-17 nu se aplică celor care furnizează pe piața suedeză băuturi în pahare de unică folosință sau alimente de tip fast food în cutii de unică folosință pentru alimente, în cazul în care paharul sau cutia pentru alimente este fabricată în întregime din hârtie sau carton care nu a fost modificat chimic într-un mod care întârzie descompunerea.</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Articolul 19    </w:t>
      </w:r>
      <w:r>
        <w:t xml:space="preserve">Cerințele prevăzute la articolele 14-17 nu se aplică celor care furnizează pe piața suedeză băuturi sau alimente de tip fast food în mai puțin de 150 de pahare de unică folosință și cutii de unică folosință pentru alimente pe zi </w:t>
      </w:r>
      <w:bookmarkStart w:id="8" w:name="_Hlk53479781"/>
      <w:r>
        <w:t xml:space="preserve">în care întreprinderea este deschisă</w:t>
      </w:r>
      <w:bookmarkEnd w:id="8"/>
      <w:r>
        <w:t xml:space="preserve">.</w:t>
      </w:r>
      <w:r>
        <w:t xml:space="preserve"> </w:t>
      </w:r>
    </w:p>
    <w:p w14:paraId="038E5668" w14:textId="78BB7B8E" w:rsidR="005468F3" w:rsidRPr="00B10BD4" w:rsidRDefault="005468F3" w:rsidP="005468F3">
      <w:pPr>
        <w:pStyle w:val="Brdtextmedindrag"/>
      </w:pPr>
      <w:r>
        <w:t xml:space="preserve">Persoanele care fac obiectul derogării care nu furnizează pahare și cutii reutilizabile pentru alimente trebuie să dispună de proceduri care să asigure că nu sunt furnizate mai mult de 150 de pahare de unică folosință și cutii de unică folosință pentru alimente pe zi, în medie.</w:t>
      </w:r>
    </w:p>
    <w:p w14:paraId="06957594" w14:textId="77777777" w:rsidR="005468F3" w:rsidRPr="00B10BD4" w:rsidRDefault="005468F3" w:rsidP="005468F3">
      <w:pPr>
        <w:pStyle w:val="Brdtextmedindrag"/>
      </w:pPr>
      <w:r>
        <w:t xml:space="preserve">Numărul de pahare de unică folosință și de cutii de unică folosință pentru alimente furnizate trebuie calculat ca medie a paharelor de unică folosință și a cutiilor de unică folosință pentru alimente furnizate în zilele </w:t>
      </w:r>
      <w:bookmarkStart w:id="9" w:name="_Hlk54008522"/>
      <w:r>
        <w:t xml:space="preserve">în care întreprinderea este deschisă în cursul unui an calendaristic</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Articolul 20    </w:t>
      </w:r>
      <w:r>
        <w:t xml:space="preserve">Agenția suedeză pentru Protecția Mediului poate emite reglementări privind derogările de la cerințele prevăzute la articolele 14-17 în cazurile în care este nerezonabil să se solicite persoanei care furnizează băuturi în pahare de unică folosință sau în alimente de tip fast food în cutii de unică folosință pentru alimente să ofere o alternativă reutilizabilă.</w:t>
      </w:r>
    </w:p>
    <w:p w14:paraId="15E8DB29" w14:textId="18653FF5" w:rsidR="003469C8" w:rsidRPr="00B10BD4" w:rsidRDefault="005468F3" w:rsidP="005468F3">
      <w:pPr>
        <w:pStyle w:val="Brdtextmedindrag"/>
      </w:pPr>
      <w:bookmarkStart w:id="10" w:name="_Hlk54008598"/>
      <w:r>
        <w:t xml:space="preserve">Reglementările privind derogările nu pot fi emise în ceea ce privește paharele de unică folosință sau cutiile de unică folosință pentru alimente în cazul în care se poate presupune că o derogare prezintă un risc de generare semnificativă de deșeuri.</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Prezenta ordonanță intră în vigoare la 30 aprilie 2022 în ceea ce privește articolul 13, 1 ianuarie 2024 în ceea ce privește articolele 11 și 14-19 și, în caz contrar, la 1 noiembrie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A se vedea Directiva (UE) 2019/904 a Parlamentului European și a Consiliului din 5 iunie 2019 privind reducerea impactului anumitor produse din plastic asupra mediului, în formularea inițială.</w:t>
      </w:r>
      <w:r>
        <w:t xml:space="preserve"> </w:t>
      </w:r>
      <w:r>
        <w:t xml:space="preserve">A se vedea, de asemenea, Directiva (UE) 2015/1535 a Parlamentului European și a Consiliului din 9 septembrie 2015 referitoare la procedura de furnizare de informații în domeniul reglementărilor tehnice și al normelor privind serviciile societății informaționale (text codificat).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ACESTA ESTE UN DOCUMENT DE TEST. NU ESTE UN DOCUMENT VALAB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