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7D36" w14:textId="77777777" w:rsidR="00201C96" w:rsidRDefault="00201C96" w:rsidP="0068520B">
      <w:pPr>
        <w:pStyle w:val="BodyText"/>
      </w:pPr>
      <w:bookmarkStart w:id="0" w:name="Start"/>
      <w:bookmarkEnd w:id="0"/>
    </w:p>
    <w:p w14:paraId="4BBECBBF" w14:textId="77777777" w:rsidR="00646F34" w:rsidRDefault="00646F34" w:rsidP="007F7FC2">
      <w:pPr>
        <w:pStyle w:val="BodyText"/>
        <w:spacing w:after="1120"/>
      </w:pPr>
    </w:p>
    <w:p w14:paraId="719B4569" w14:textId="291EA408" w:rsidR="00646F34" w:rsidRDefault="00646F34" w:rsidP="002576A9">
      <w:pPr>
        <w:pStyle w:val="Heading1"/>
        <w:rPr>
          <w:sz w:val="38"/>
          <w:szCs w:val="38"/>
        </w:rPr>
      </w:pPr>
      <w:r>
        <w:rPr>
          <w:noProof/>
          <w:sz w:val="38"/>
        </w:rPr>
        <w:drawing>
          <wp:anchor distT="0" distB="0" distL="114300" distR="114300" simplePos="0" relativeHeight="251657216" behindDoc="1" locked="0" layoutInCell="1" allowOverlap="0" wp14:anchorId="01797C1F" wp14:editId="488218D1">
            <wp:simplePos x="0" y="0"/>
            <wp:positionH relativeFrom="column">
              <wp:posOffset>-2540</wp:posOffset>
            </wp:positionH>
            <wp:positionV relativeFrom="page">
              <wp:posOffset>431800</wp:posOffset>
            </wp:positionV>
            <wp:extent cx="370205" cy="629920"/>
            <wp:effectExtent l="0" t="0" r="0" b="0"/>
            <wp:wrapNone/>
            <wp:docPr id="9" name="Bildobjekt 9"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r>
        <w:rPr>
          <w:sz w:val="38"/>
        </w:rPr>
        <w:t>Συλλογή της Σουηδικής Νομοθεσίας</w:t>
      </w:r>
    </w:p>
    <w:p w14:paraId="6CC2C3FA" w14:textId="05B00AFE" w:rsidR="00646F34" w:rsidRPr="005F75D2" w:rsidRDefault="00646F34" w:rsidP="005F75D2">
      <w:pPr>
        <w:pStyle w:val="BodyText"/>
        <w:pBdr>
          <w:top w:val="single" w:sz="6" w:space="1" w:color="auto"/>
        </w:pBdr>
        <w:ind w:right="-2411"/>
        <w:rPr>
          <w:sz w:val="4"/>
          <w:szCs w:val="4"/>
        </w:rPr>
      </w:pPr>
    </w:p>
    <w:p w14:paraId="06E55153" w14:textId="4DA2574A" w:rsidR="00646F34" w:rsidRDefault="00060726" w:rsidP="005F75D2">
      <w:pPr>
        <w:pStyle w:val="Heading2"/>
        <w:spacing w:before="200"/>
      </w:pPr>
      <w:bookmarkStart w:id="1" w:name="Titel"/>
      <w:r>
        <w:rPr>
          <w:noProof/>
        </w:rPr>
        <mc:AlternateContent>
          <mc:Choice Requires="wps">
            <w:drawing>
              <wp:anchor distT="0" distB="0" distL="114300" distR="114300" simplePos="0" relativeHeight="251662336" behindDoc="0" locked="0" layoutInCell="1" allowOverlap="1" wp14:anchorId="5E9FED69" wp14:editId="709F0867">
                <wp:simplePos x="0" y="0"/>
                <wp:positionH relativeFrom="page">
                  <wp:posOffset>5421818</wp:posOffset>
                </wp:positionH>
                <wp:positionV relativeFrom="page">
                  <wp:posOffset>1985479</wp:posOffset>
                </wp:positionV>
                <wp:extent cx="1551305" cy="712470"/>
                <wp:effectExtent l="0" t="0" r="0" b="0"/>
                <wp:wrapNone/>
                <wp:docPr id="7" name="Textruta 7" descr="Ruta som innehåller SFS-nummer och publiceringsdatum"/>
                <wp:cNvGraphicFramePr/>
                <a:graphic xmlns:a="http://schemas.openxmlformats.org/drawingml/2006/main">
                  <a:graphicData uri="http://schemas.microsoft.com/office/word/2010/wordprocessingShape">
                    <wps:wsp>
                      <wps:cNvSpPr txBox="1"/>
                      <wps:spPr>
                        <a:xfrm>
                          <a:off x="0" y="0"/>
                          <a:ext cx="1551305" cy="712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C41C7" w14:textId="77777777" w:rsidR="00CE5660" w:rsidRPr="001974BD" w:rsidRDefault="00CE5660" w:rsidP="009C4782">
                            <w:pPr>
                              <w:pStyle w:val="BodyText"/>
                              <w:jc w:val="left"/>
                              <w:rPr>
                                <w:b/>
                                <w:sz w:val="26"/>
                                <w:szCs w:val="26"/>
                              </w:rPr>
                            </w:pPr>
                            <w:r>
                              <w:rPr>
                                <w:b/>
                                <w:sz w:val="26"/>
                              </w:rPr>
                              <w:t>SFS</w:t>
                            </w:r>
                          </w:p>
                          <w:p w14:paraId="4144185B" w14:textId="77777777" w:rsidR="00CE5660" w:rsidRPr="00AE1FEB" w:rsidRDefault="00CE5660" w:rsidP="009C4782">
                            <w:pPr>
                              <w:pStyle w:val="BodyText"/>
                              <w:jc w:val="left"/>
                              <w:rPr>
                                <w:sz w:val="20"/>
                                <w:szCs w:val="20"/>
                              </w:rPr>
                            </w:pPr>
                            <w:r>
                              <w:rPr>
                                <w:sz w:val="20"/>
                              </w:rPr>
                              <w:t>Δημοσιεύθηκε</w:t>
                            </w:r>
                            <w:r>
                              <w:rPr>
                                <w:sz w:val="20"/>
                              </w:rPr>
                              <w:br/>
                              <w:t>στις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FED69" id="_x0000_t202" coordsize="21600,21600" o:spt="202" path="m,l,21600r21600,l21600,xe">
                <v:stroke joinstyle="miter"/>
                <v:path gradientshapeok="t" o:connecttype="rect"/>
              </v:shapetype>
              <v:shape id="Textruta 7" o:spid="_x0000_s1026" type="#_x0000_t202" alt="Ruta som innehåller SFS-nummer och publiceringsdatum" style="position:absolute;margin-left:426.9pt;margin-top:156.35pt;width:122.15pt;height:56.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" fillcolor="white [3201]" stroked="f" strokeweight=".5pt">
                <v:textbox>
                  <w:txbxContent>
                    <w:p w14:paraId="100C41C7" w14:textId="77777777" w:rsidR="00CE5660" w:rsidRPr="001974BD" w:rsidRDefault="00CE5660" w:rsidP="009C4782">
                      <w:pPr>
                        <w:pStyle w:val="BodyText"/>
                        <w:jc w:val="left"/>
                        <w:rPr>
                          <w:b/>
                          <w:sz w:val="26"/>
                          <w:szCs w:val="26"/>
                        </w:rPr>
                      </w:pPr>
                      <w:r>
                        <w:rPr>
                          <w:b/>
                          <w:sz w:val="26"/>
                        </w:rPr>
                        <w:t>SFS</w:t>
                      </w:r>
                    </w:p>
                    <w:p w14:paraId="4144185B" w14:textId="77777777" w:rsidR="00CE5660" w:rsidRPr="00AE1FEB" w:rsidRDefault="00CE5660" w:rsidP="009C4782">
                      <w:pPr>
                        <w:pStyle w:val="BodyText"/>
                        <w:jc w:val="left"/>
                        <w:rPr>
                          <w:sz w:val="20"/>
                          <w:szCs w:val="20"/>
                        </w:rPr>
                      </w:pPr>
                      <w:r>
                        <w:rPr>
                          <w:sz w:val="20"/>
                        </w:rPr>
                        <w:t>Δημοσιεύθηκε</w:t>
                      </w:r>
                      <w:r>
                        <w:rPr>
                          <w:sz w:val="20"/>
                        </w:rPr>
                        <w:br/>
                        <w:t>στις</w:t>
                      </w:r>
                    </w:p>
                  </w:txbxContent>
                </v:textbox>
                <w10:wrap anchorx="page" anchory="page"/>
              </v:shape>
            </w:pict>
          </mc:Fallback>
        </mc:AlternateContent>
      </w:r>
      <w:r w:rsidR="00646F34">
        <w:t>Διάταγμα για τα προϊόντα μιας χρήσης</w:t>
      </w:r>
    </w:p>
    <w:bookmarkEnd w:id="1"/>
    <w:p w14:paraId="266D883D" w14:textId="77777777" w:rsidR="00646F34" w:rsidRPr="00496B57" w:rsidRDefault="00646F34" w:rsidP="009C4782">
      <w:pPr>
        <w:pStyle w:val="BodyText"/>
      </w:pPr>
      <w:r>
        <w:t xml:space="preserve">Εκδόθηκε </w:t>
      </w:r>
      <w:sdt>
        <w:sdtPr>
          <w:alias w:val="Ημερομηνία έκδοσης"/>
          <w:tag w:val="UtfärdadDatum"/>
          <w:id w:val="-627399020"/>
          <w:placeholder>
            <w:docPart w:val="BA31D46B8C324B76B3CEC46700909471"/>
          </w:placeholder>
          <w:showingPlcHdr/>
          <w:date>
            <w:dateFormat w:val="'den' d MMMM yyyy"/>
            <w:lid w:val="el-GR"/>
            <w:storeMappedDataAs w:val="dateTime"/>
            <w:calendar w:val="gregorian"/>
          </w:date>
        </w:sdtPr>
        <w:sdtEndPr/>
        <w:sdtContent>
          <w:r>
            <w:rPr>
              <w:rStyle w:val="PlaceholderText"/>
            </w:rPr>
            <w:t>Κάντε κλικ εδώ για να εισαγάγετε την ημερομηνία.</w:t>
          </w:r>
        </w:sdtContent>
      </w:sdt>
    </w:p>
    <w:p w14:paraId="531050A5" w14:textId="77777777" w:rsidR="00646F34" w:rsidRDefault="00646F34" w:rsidP="009C4782">
      <w:pPr>
        <w:pStyle w:val="BodyText"/>
      </w:pPr>
    </w:p>
    <w:p w14:paraId="33F2A488" w14:textId="1ECAF154" w:rsidR="00646F34" w:rsidRDefault="00646F34" w:rsidP="009C4782">
      <w:pPr>
        <w:pStyle w:val="BodyText"/>
      </w:pPr>
      <w:r>
        <w:t>Η σουηδική κυβέρνηση διά του παρόντος θεσπίζει</w:t>
      </w:r>
      <w:r w:rsidR="00211C2C">
        <w:rPr>
          <w:rStyle w:val="FootnoteReference"/>
        </w:rPr>
        <w:footnoteReference w:id="2"/>
      </w:r>
      <w:r>
        <w:t xml:space="preserve"> τα ακόλουθα.</w:t>
      </w:r>
    </w:p>
    <w:p w14:paraId="089CC68B" w14:textId="77777777" w:rsidR="00646F34" w:rsidRDefault="00646F34" w:rsidP="00D001EA">
      <w:pPr>
        <w:pStyle w:val="BodyText"/>
      </w:pPr>
    </w:p>
    <w:p w14:paraId="6E641870" w14:textId="478BFE4B" w:rsidR="0078709D" w:rsidRPr="0078709D" w:rsidRDefault="0078709D" w:rsidP="00615D62">
      <w:pPr>
        <w:pStyle w:val="BodyTextIndent"/>
        <w:ind w:firstLine="0"/>
      </w:pPr>
      <w:r>
        <w:rPr>
          <w:b/>
        </w:rPr>
        <w:t>Άρθρο 1</w:t>
      </w:r>
      <w:r>
        <w:tab/>
        <w:t xml:space="preserve">Σκοπός του παρόντος διατάγματος είναι η μείωση των απορριμμάτων και η προώθηση μιας κυκλικής οικονομίας. </w:t>
      </w:r>
    </w:p>
    <w:p w14:paraId="40BFA1F6" w14:textId="0E004591" w:rsidR="00211C2C" w:rsidRDefault="00333E47" w:rsidP="004F112E">
      <w:pPr>
        <w:pStyle w:val="BodyTextIndent"/>
      </w:pPr>
      <w:r>
        <w:t xml:space="preserve">Το παρόν διάταγμα εκδίδεται δυνάμει των εξής </w:t>
      </w:r>
    </w:p>
    <w:p w14:paraId="12B53A34" w14:textId="68D2448E" w:rsidR="00211C2C" w:rsidRPr="001E4FCB" w:rsidRDefault="00211C2C" w:rsidP="00211C2C">
      <w:pPr>
        <w:pStyle w:val="BodyTextIndent"/>
      </w:pPr>
      <w:bookmarkStart w:id="2" w:name="_Hlk83046616"/>
      <w:r>
        <w:t>– Κεφάλαιο 15, τμήμα 40 του περιβαλλοντικού κώδικα όσον αφορά τα τμήματα 12-23 και 25-28,</w:t>
      </w:r>
    </w:p>
    <w:p w14:paraId="4D869C94" w14:textId="315A9AF4" w:rsidR="00211C2C" w:rsidRDefault="00211C2C" w:rsidP="00211C2C">
      <w:pPr>
        <w:pStyle w:val="BodyTextIndent"/>
      </w:pPr>
      <w:r>
        <w:t>– Κεφάλαιο 8, τμήμα 11 του κυβερνητικού μέσου όσον αφορά το τμήμα 34, και</w:t>
      </w:r>
    </w:p>
    <w:p w14:paraId="4031C2BE" w14:textId="565CD061" w:rsidR="00211C2C" w:rsidRDefault="00211C2C" w:rsidP="00211C2C">
      <w:pPr>
        <w:pStyle w:val="BodyTextIndent"/>
      </w:pPr>
      <w:r>
        <w:t>– Κεφάλαιο 8, τμήμα 7 του κυβερνητικού μέσου όσον αφορά άλλες διατάξεις.</w:t>
      </w:r>
    </w:p>
    <w:p w14:paraId="4266EBCF" w14:textId="77777777" w:rsidR="00646F34" w:rsidRDefault="00646F34" w:rsidP="009E6D43">
      <w:pPr>
        <w:pStyle w:val="Heading4"/>
      </w:pPr>
      <w:bookmarkStart w:id="3" w:name="_Hlk48222959"/>
      <w:bookmarkEnd w:id="2"/>
      <w:r>
        <w:t>Συμπληρωματικές διατάξεις σε άλλα διατάγματα</w:t>
      </w:r>
      <w:bookmarkEnd w:id="3"/>
    </w:p>
    <w:p w14:paraId="01712DC8" w14:textId="4271D0B8" w:rsidR="00646F34" w:rsidRDefault="00311E20" w:rsidP="00646F34">
      <w:pPr>
        <w:pStyle w:val="BodyTextIndent"/>
        <w:ind w:firstLine="0"/>
      </w:pPr>
      <w:r>
        <w:rPr>
          <w:b/>
        </w:rPr>
        <w:t>Άρθρο 2</w:t>
      </w:r>
      <w:r>
        <w:tab/>
        <w:t xml:space="preserve">Περαιτέρω διατάξεις για τα ιατροτεχνολογικά προϊόντα μιας χρήσης διατίθενται στη διεύθυνση: </w:t>
      </w:r>
    </w:p>
    <w:p w14:paraId="154B105E" w14:textId="60FF01F1" w:rsidR="003C1B39" w:rsidRDefault="003C1B39" w:rsidP="003C1B39">
      <w:pPr>
        <w:pStyle w:val="BodyTextIndent"/>
      </w:pPr>
      <w:r>
        <w:t xml:space="preserve">– Το διάταγμα για τα χημικά προϊόντα (χειρισμός, απαγόρευση εισαγωγής και εξαγωγής) (1998:944), </w:t>
      </w:r>
    </w:p>
    <w:p w14:paraId="059C6EE1" w14:textId="1A797C64" w:rsidR="003C1B39" w:rsidRDefault="003C1B39" w:rsidP="003C1B39">
      <w:pPr>
        <w:pStyle w:val="BodyTextIndent"/>
      </w:pPr>
      <w:r>
        <w:t xml:space="preserve">– Διάταγμα (2005:220) σχετικά με τα συστήματα επιστροφής πλαστικών φιαλών και μεταλλικών δοχείων, </w:t>
      </w:r>
    </w:p>
    <w:p w14:paraId="2360F5CB" w14:textId="5EE3CD3D" w:rsidR="003C1B39" w:rsidRDefault="003C1B39" w:rsidP="009E6D43">
      <w:pPr>
        <w:pStyle w:val="BodyTextIndent"/>
      </w:pPr>
      <w:r>
        <w:t xml:space="preserve">– Διάταγμα (2018:1462) σχετικά με την ευθύνη του παραγωγού για τη συσκευασία, </w:t>
      </w:r>
    </w:p>
    <w:p w14:paraId="6B638499" w14:textId="18241521" w:rsidR="00615D62" w:rsidRDefault="00646F34" w:rsidP="00646F34">
      <w:pPr>
        <w:pStyle w:val="BodyTextIndent"/>
      </w:pPr>
      <w:r>
        <w:t xml:space="preserve">– Κανονισμός (2021:000) σχετικά με την ευθύνη του παραγωγού για ορισμένα προϊόντα καπνού </w:t>
      </w:r>
    </w:p>
    <w:p w14:paraId="6DF6135E" w14:textId="39B4E289" w:rsidR="00646F34" w:rsidRDefault="00646F34" w:rsidP="00646F34">
      <w:pPr>
        <w:pStyle w:val="BodyTextIndent"/>
      </w:pPr>
      <w:r>
        <w:t xml:space="preserve">και φίλτρα, </w:t>
      </w:r>
    </w:p>
    <w:p w14:paraId="1451E275" w14:textId="1C1843A6" w:rsidR="00646F34" w:rsidRDefault="00646F34" w:rsidP="00646F34">
      <w:pPr>
        <w:pStyle w:val="BodyTextIndent"/>
      </w:pPr>
      <w:r>
        <w:t xml:space="preserve">– Διάταγμα (2021:000) σχετικά με την ευθύνη του παραγωγού για τα αερόστατα, </w:t>
      </w:r>
    </w:p>
    <w:p w14:paraId="24695156" w14:textId="0A203132" w:rsidR="00646F34" w:rsidRDefault="00646F34" w:rsidP="00646F34">
      <w:pPr>
        <w:pStyle w:val="BodyTextIndent"/>
      </w:pPr>
      <w:r>
        <w:t>– Διάταγμα (2021:000) σχετικά με την ευθύνη του παραγωγού για υγρά μαντηλάκια, και</w:t>
      </w:r>
    </w:p>
    <w:p w14:paraId="776217DF" w14:textId="427A9E98" w:rsidR="00646F34" w:rsidRDefault="00646F34" w:rsidP="00646F34">
      <w:pPr>
        <w:pStyle w:val="BodyTextIndent"/>
      </w:pPr>
      <w:r>
        <w:t xml:space="preserve">– </w:t>
      </w:r>
      <w:r>
        <w:rPr>
          <w:shd w:val="clear" w:color="auto" w:fill="FFFFFF"/>
        </w:rPr>
        <w:t xml:space="preserve"> Διάταγμα (2021:000) σχετικά με τα τέλη απορριμμάτων</w:t>
      </w:r>
      <w:r>
        <w:t>.</w:t>
      </w:r>
    </w:p>
    <w:p w14:paraId="7F211810" w14:textId="77777777" w:rsidR="00646F34" w:rsidRPr="008F79D1" w:rsidRDefault="00646F34" w:rsidP="009E6D43">
      <w:pPr>
        <w:pStyle w:val="Heading4"/>
      </w:pPr>
      <w:r>
        <w:t>Ορισμοί</w:t>
      </w:r>
    </w:p>
    <w:p w14:paraId="772F6552" w14:textId="71C770DF" w:rsidR="00211C2C" w:rsidRDefault="00311E20" w:rsidP="00211C2C">
      <w:pPr>
        <w:pStyle w:val="BodyText"/>
        <w:keepNext/>
      </w:pPr>
      <w:r>
        <w:rPr>
          <w:b/>
        </w:rPr>
        <w:t>Άρθρο 3</w:t>
      </w:r>
      <w:r>
        <w:tab/>
        <w:t xml:space="preserve">Στο παρόν διάταγμα, το </w:t>
      </w:r>
      <w:r>
        <w:rPr>
          <w:i/>
        </w:rPr>
        <w:t>πολυμερές</w:t>
      </w:r>
      <w:r>
        <w:t xml:space="preserve"> έχει την έννοια που ορίζεται στο άρθρο 3.5 του κανονισμού (ΕΚ) αριθ. 1907/2006 του </w:t>
      </w:r>
      <w:r>
        <w:lastRenderedPageBreak/>
        <w:t>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1999/45/ΕΚ και για την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93/67/ΕΟΚ, 93/105/ΕΚ και 2000/21/ΕΚ.</w:t>
      </w:r>
    </w:p>
    <w:p w14:paraId="6171A621" w14:textId="77777777" w:rsidR="00646F34" w:rsidRDefault="00646F34" w:rsidP="00646F34">
      <w:pPr>
        <w:pStyle w:val="BodyTextIndent"/>
      </w:pPr>
    </w:p>
    <w:p w14:paraId="0085FF47" w14:textId="02293E03" w:rsidR="00211C2C" w:rsidRDefault="00311E20" w:rsidP="00211C2C">
      <w:pPr>
        <w:pStyle w:val="BodyTextIndent"/>
        <w:ind w:firstLine="0"/>
      </w:pPr>
      <w:r>
        <w:rPr>
          <w:b/>
        </w:rPr>
        <w:t>Άρθρο 4</w:t>
      </w:r>
      <w:r>
        <w:tab/>
        <w:t xml:space="preserve">Σε αυτό το διάταγμα, </w:t>
      </w:r>
      <w:r>
        <w:rPr>
          <w:i/>
        </w:rPr>
        <w:t>πλαστικό</w:t>
      </w:r>
      <w:r>
        <w:t xml:space="preserve"> σημαίνει πολυμερές που μπορεί να λειτουργήσει ως κύριο δομικό συστατικό των τελικών προϊόντων, </w:t>
      </w:r>
      <w:bookmarkStart w:id="4" w:name="_Hlk49851962"/>
      <w:r>
        <w:t>ανεξάρτητα από το αν έχουν προστεθεί πρόσθετα ή άλλες ουσίες στο πολυμερές.</w:t>
      </w:r>
    </w:p>
    <w:bookmarkEnd w:id="4"/>
    <w:p w14:paraId="2F9F098E" w14:textId="77777777" w:rsidR="00211C2C" w:rsidRDefault="00211C2C" w:rsidP="00211C2C">
      <w:pPr>
        <w:pStyle w:val="BodyTextIndent"/>
      </w:pPr>
      <w:r>
        <w:t xml:space="preserve">Ως πλαστικό δεν νοείται πολυμερές που απαντά φυσικά στο περιβάλλον και το οποίο δεν έχει τροποποιηθεί χημικώς. </w:t>
      </w:r>
    </w:p>
    <w:p w14:paraId="0F1CEE55" w14:textId="77777777" w:rsidR="00646F34" w:rsidRDefault="00646F34" w:rsidP="00646F34">
      <w:pPr>
        <w:pStyle w:val="BodyTextIndent"/>
      </w:pPr>
    </w:p>
    <w:p w14:paraId="614D69D0" w14:textId="468D4CB1" w:rsidR="00211C2C" w:rsidRDefault="00311E20" w:rsidP="00211C2C">
      <w:pPr>
        <w:pStyle w:val="BodyText"/>
        <w:keepNext/>
      </w:pPr>
      <w:r>
        <w:rPr>
          <w:b/>
        </w:rPr>
        <w:t>Άρθρο 5</w:t>
      </w:r>
      <w:r>
        <w:tab/>
        <w:t>Στο παρόν διάταγμα</w:t>
      </w:r>
    </w:p>
    <w:p w14:paraId="71E1411A" w14:textId="77777777" w:rsidR="00211C2C" w:rsidRPr="00B440B8" w:rsidRDefault="00211C2C" w:rsidP="00211C2C">
      <w:pPr>
        <w:pStyle w:val="BodyTextIndent"/>
        <w:rPr>
          <w:iCs/>
        </w:rPr>
      </w:pPr>
      <w:r>
        <w:rPr>
          <w:i/>
        </w:rPr>
        <w:t>παρέχεται στη σουηδική αγορά</w:t>
      </w:r>
      <w:r>
        <w:t>: μέσα διάθεσης ενός προϊόντος για διανομή, κατανάλωση ή χρήση στη σουηδική αγορά έναντι αντιτίμου ή δωρεάν υπό επαγγελματική ιδιότητα, και</w:t>
      </w:r>
    </w:p>
    <w:p w14:paraId="698B7BE7" w14:textId="77777777" w:rsidR="00211C2C" w:rsidRDefault="00211C2C" w:rsidP="00211C2C">
      <w:pPr>
        <w:pStyle w:val="BodyTextIndent"/>
        <w:rPr>
          <w:iCs/>
        </w:rPr>
      </w:pPr>
      <w:r>
        <w:rPr>
          <w:i/>
        </w:rPr>
        <w:t>διαθέτουν στη σουηδική αγορά</w:t>
      </w:r>
      <w:r>
        <w:t>: μέσα για την παροχή ενός προϊόντος στη σουηδική αγορά για πρώτη φορά.</w:t>
      </w:r>
    </w:p>
    <w:p w14:paraId="3C7251C2" w14:textId="77777777" w:rsidR="00646F34" w:rsidRDefault="00646F34" w:rsidP="00646F34">
      <w:pPr>
        <w:pStyle w:val="BodyTextIndent"/>
        <w:rPr>
          <w:iCs/>
        </w:rPr>
      </w:pPr>
    </w:p>
    <w:p w14:paraId="33DCA43D" w14:textId="395F23BF" w:rsidR="00211C2C" w:rsidRDefault="00311E20" w:rsidP="00211C2C">
      <w:pPr>
        <w:pStyle w:val="BodyTextIndent"/>
        <w:ind w:firstLine="0"/>
        <w:rPr>
          <w:i/>
        </w:rPr>
      </w:pPr>
      <w:r>
        <w:rPr>
          <w:b/>
        </w:rPr>
        <w:t>Άρθρο 6</w:t>
      </w:r>
      <w:r>
        <w:tab/>
        <w:t>Στο παρόν διάταγμα</w:t>
      </w:r>
      <w:r>
        <w:rPr>
          <w:i/>
        </w:rPr>
        <w:t xml:space="preserve"> </w:t>
      </w:r>
    </w:p>
    <w:p w14:paraId="32959034" w14:textId="77777777" w:rsidR="00211C2C" w:rsidRDefault="00211C2C" w:rsidP="00211C2C">
      <w:pPr>
        <w:pStyle w:val="BodyTextIndent"/>
      </w:pPr>
      <w:r>
        <w:rPr>
          <w:i/>
        </w:rPr>
        <w:t>προϊόν μιας χρήσης</w:t>
      </w:r>
      <w:r>
        <w:t xml:space="preserve"> σημαίνει προϊόν το οποίο δεν έχει επινοηθεί, σχεδιαστεί ή διατεθεί στη σουηδική αγορά για να επιτύχει, εντός του κύκλου ζωής του, πολλαπλές διαδρομές ή περιστροφές με επαναχρησιμοποίηση για τον ίδιο σκοπό για τον οποίο σχεδιάστηκε ή με επιστροφή σε παραγωγό για επαναπλήρωση, και</w:t>
      </w:r>
    </w:p>
    <w:p w14:paraId="2EC9DEC7" w14:textId="77777777" w:rsidR="00211C2C" w:rsidRDefault="00211C2C" w:rsidP="00211C2C">
      <w:pPr>
        <w:pStyle w:val="BodyTextIndent"/>
      </w:pPr>
      <w:r>
        <w:rPr>
          <w:i/>
        </w:rPr>
        <w:t>πλαστικό προϊόν μιας χρήσης</w:t>
      </w:r>
      <w:r>
        <w:t>: προϊόν μιας χρήσης που κατασκευάζεται εξ ολοκλήρου ή εν μέρει από πλαστική ύλη.</w:t>
      </w:r>
    </w:p>
    <w:p w14:paraId="7CB6C08F" w14:textId="77777777" w:rsidR="00646F34" w:rsidRDefault="00646F34" w:rsidP="00646F34">
      <w:pPr>
        <w:pStyle w:val="BodyTextIndent"/>
        <w:rPr>
          <w:iCs/>
        </w:rPr>
      </w:pPr>
    </w:p>
    <w:p w14:paraId="376A036B" w14:textId="0632F7EB" w:rsidR="00211C2C" w:rsidRDefault="00311E20" w:rsidP="00211C2C">
      <w:pPr>
        <w:pStyle w:val="BodyText"/>
        <w:rPr>
          <w:i/>
        </w:rPr>
      </w:pPr>
      <w:r>
        <w:rPr>
          <w:b/>
        </w:rPr>
        <w:t>Άρθρο 7</w:t>
      </w:r>
      <w:r>
        <w:tab/>
        <w:t xml:space="preserve">Στο παρόν διάταγμα </w:t>
      </w:r>
    </w:p>
    <w:p w14:paraId="7911FBA8" w14:textId="35F7F761" w:rsidR="00211C2C" w:rsidRDefault="00211C2C" w:rsidP="00211C2C">
      <w:pPr>
        <w:pStyle w:val="BodyTextIndent"/>
      </w:pPr>
      <w:r>
        <w:rPr>
          <w:i/>
        </w:rPr>
        <w:t>κύπελλο</w:t>
      </w:r>
      <w:r>
        <w:t xml:space="preserve">: γυαλί, κύπελλο ή κούπα, με ή χωρίς καπάκι, που προορίζεται για κρύα ή ζεστά ποτά που συνήθως πίνονται απευθείας από το δοχείο, </w:t>
      </w:r>
    </w:p>
    <w:p w14:paraId="41F0496D" w14:textId="77777777" w:rsidR="00211C2C" w:rsidRPr="00FB2596" w:rsidRDefault="00211C2C" w:rsidP="00211C2C">
      <w:pPr>
        <w:pStyle w:val="BodyTextIndent"/>
      </w:pPr>
      <w:r>
        <w:rPr>
          <w:i/>
        </w:rPr>
        <w:t>μίας χρήσης φλυτζάνι</w:t>
      </w:r>
      <w:r>
        <w:t>: κύπελλο που είναι προϊόν μίας χρήσης, και</w:t>
      </w:r>
    </w:p>
    <w:p w14:paraId="3A3DBBEE" w14:textId="77777777" w:rsidR="00211C2C" w:rsidRDefault="00211C2C" w:rsidP="00211C2C">
      <w:pPr>
        <w:pStyle w:val="BodyTextIndent"/>
      </w:pPr>
      <w:r>
        <w:rPr>
          <w:i/>
        </w:rPr>
        <w:t>εμπορευματοκιβώτιο ποτών</w:t>
      </w:r>
      <w:r>
        <w:t xml:space="preserve">: πλαστική φιάλη, σύνθετη συσκευασία ή άλλο δοχείο που </w:t>
      </w:r>
    </w:p>
    <w:p w14:paraId="6D5F716D" w14:textId="04F70FD1" w:rsidR="00211C2C" w:rsidRDefault="00211C2C" w:rsidP="00211C2C">
      <w:pPr>
        <w:pStyle w:val="BodyTextIndent"/>
      </w:pPr>
      <w:r>
        <w:t>1. είναι ένα πλαστικό προϊόν μίας χρήσης,</w:t>
      </w:r>
    </w:p>
    <w:p w14:paraId="018F45E2" w14:textId="0CE437CB" w:rsidR="00211C2C" w:rsidRDefault="00211C2C" w:rsidP="00211C2C">
      <w:pPr>
        <w:pStyle w:val="BodyTextIndent"/>
      </w:pPr>
      <w:r>
        <w:t xml:space="preserve">2. έχει χωρητικότητα έως τρία λίτρα, </w:t>
      </w:r>
    </w:p>
    <w:p w14:paraId="70789623" w14:textId="1900851D" w:rsidR="00211C2C" w:rsidRDefault="00211C2C" w:rsidP="00211C2C">
      <w:pPr>
        <w:pStyle w:val="BodyTextIndent"/>
      </w:pPr>
      <w:r>
        <w:t>3. προορίζεται για ποτά, και</w:t>
      </w:r>
    </w:p>
    <w:p w14:paraId="5D24AEE8" w14:textId="3AE3E09F" w:rsidR="00211C2C" w:rsidRDefault="00211C2C" w:rsidP="00211C2C">
      <w:pPr>
        <w:pStyle w:val="BodyTextIndent"/>
      </w:pPr>
      <w:r>
        <w:t>4. δεν είναι κύπελλο.</w:t>
      </w:r>
    </w:p>
    <w:p w14:paraId="0B5458BD" w14:textId="77777777" w:rsidR="00646F34" w:rsidRDefault="00646F34" w:rsidP="00646F34">
      <w:pPr>
        <w:pStyle w:val="BodyTextIndent"/>
      </w:pPr>
    </w:p>
    <w:p w14:paraId="2A9DC098" w14:textId="6153F49F" w:rsidR="00211C2C" w:rsidRDefault="00311E20" w:rsidP="00211C2C">
      <w:pPr>
        <w:pStyle w:val="BodyTextIndent"/>
        <w:ind w:firstLine="0"/>
        <w:rPr>
          <w:i/>
        </w:rPr>
      </w:pPr>
      <w:r>
        <w:rPr>
          <w:b/>
        </w:rPr>
        <w:t>Άρθρο 8</w:t>
      </w:r>
      <w:r>
        <w:tab/>
      </w:r>
      <w:bookmarkStart w:id="5" w:name="_Hlk39491428"/>
      <w:r>
        <w:t>Σε αυτό το διάταγμα</w:t>
      </w:r>
      <w:r>
        <w:rPr>
          <w:i/>
        </w:rPr>
        <w:t xml:space="preserve"> </w:t>
      </w:r>
    </w:p>
    <w:p w14:paraId="00F25C91" w14:textId="77777777" w:rsidR="00211C2C" w:rsidRDefault="00211C2C" w:rsidP="00211C2C">
      <w:pPr>
        <w:pStyle w:val="BodyTextIndent"/>
        <w:rPr>
          <w:iCs/>
        </w:rPr>
      </w:pPr>
      <w:bookmarkStart w:id="6" w:name="_Hlk37753820"/>
      <w:r>
        <w:rPr>
          <w:i/>
        </w:rPr>
        <w:t>τρόφιμα</w:t>
      </w:r>
      <w:r>
        <w:t>:</w:t>
      </w:r>
      <w:r>
        <w:rPr>
          <w:i/>
        </w:rPr>
        <w:t xml:space="preserve"> </w:t>
      </w:r>
      <w:r>
        <w:t>σημαίνει τρόφιμα που δεν είναι ποτά,</w:t>
      </w:r>
    </w:p>
    <w:p w14:paraId="6CD5D5E1" w14:textId="77777777" w:rsidR="00211C2C" w:rsidRPr="00154A99" w:rsidRDefault="00211C2C" w:rsidP="00211C2C">
      <w:pPr>
        <w:pStyle w:val="BodyTextIndent"/>
      </w:pPr>
      <w:r>
        <w:rPr>
          <w:i/>
        </w:rPr>
        <w:t>γρήγορο φαγητό</w:t>
      </w:r>
      <w:r>
        <w:t xml:space="preserve">: </w:t>
      </w:r>
      <w:bookmarkStart w:id="7" w:name="_Hlk23153179"/>
      <w:r>
        <w:t xml:space="preserve">τρόφιμα τα οποία: </w:t>
      </w:r>
    </w:p>
    <w:p w14:paraId="24371858" w14:textId="04B3961E" w:rsidR="00211C2C" w:rsidRDefault="00211C2C" w:rsidP="00527561">
      <w:pPr>
        <w:pStyle w:val="BodyTextIndent"/>
      </w:pPr>
      <w:r>
        <w:t xml:space="preserve">1. πρόκειται να καταναλωθούν άμεσα στον τόπο πώλησης ή να καταναλωθεί αμέσως μετά την πώληση, </w:t>
      </w:r>
    </w:p>
    <w:p w14:paraId="70ADA6C2" w14:textId="16A3AB60" w:rsidR="00211C2C" w:rsidRDefault="00527561" w:rsidP="00211C2C">
      <w:pPr>
        <w:pStyle w:val="BodyTextIndent"/>
      </w:pPr>
      <w:r>
        <w:t xml:space="preserve">2. πρόκειται να καταναλωθούν από τη συσκευασία, και </w:t>
      </w:r>
    </w:p>
    <w:p w14:paraId="50E3428F" w14:textId="4B93E499" w:rsidR="00211C2C" w:rsidRDefault="00527561" w:rsidP="00211C2C">
      <w:pPr>
        <w:pStyle w:val="BodyTextIndent"/>
      </w:pPr>
      <w:r>
        <w:t>3. είναι έτοιμα για να καταναλωθούν χωρίς περαιτέρω μαγείρεμα, θέρμανση ή άλλη παρασκευή</w:t>
      </w:r>
      <w:bookmarkEnd w:id="7"/>
      <w:r>
        <w:t xml:space="preserve"> που εκτελείται από τον καταναλωτή, </w:t>
      </w:r>
    </w:p>
    <w:p w14:paraId="397D38F3" w14:textId="77777777" w:rsidR="00211C2C" w:rsidRPr="00635A03" w:rsidRDefault="00211C2C" w:rsidP="00211C2C">
      <w:pPr>
        <w:pStyle w:val="BodyTextIndent"/>
      </w:pPr>
      <w:r>
        <w:rPr>
          <w:i/>
        </w:rPr>
        <w:t>περιέκτης τροφίμων</w:t>
      </w:r>
      <w:r>
        <w:t xml:space="preserve">: σημαίνει συσκευασία, με ή χωρίς καπάκι, η οποία </w:t>
      </w:r>
    </w:p>
    <w:p w14:paraId="13FE8351" w14:textId="77777777" w:rsidR="00211C2C" w:rsidRPr="00635A03" w:rsidRDefault="00211C2C" w:rsidP="00211C2C">
      <w:pPr>
        <w:pStyle w:val="BodyTextIndent"/>
      </w:pPr>
      <w:r>
        <w:lastRenderedPageBreak/>
        <w:t xml:space="preserve">1. έχει μορφοποιηθεί ή παραμένει ουσιαστικά αμετάβλητο σε σχήμα μετά την προσθήκη ή αφαίρεση του περιεχομένου, και </w:t>
      </w:r>
    </w:p>
    <w:p w14:paraId="26008761" w14:textId="69B2DDBB" w:rsidR="00211C2C" w:rsidRDefault="00211C2C" w:rsidP="00211C2C">
      <w:pPr>
        <w:pStyle w:val="BodyTextIndent"/>
      </w:pPr>
      <w:r>
        <w:t>2. χρησιμοποιείται για γρήγορο φαγητό, και</w:t>
      </w:r>
    </w:p>
    <w:p w14:paraId="7D565C9E" w14:textId="77777777" w:rsidR="00211C2C" w:rsidRDefault="00211C2C" w:rsidP="00211C2C">
      <w:pPr>
        <w:pStyle w:val="BodyTextIndent"/>
        <w:rPr>
          <w:i/>
        </w:rPr>
      </w:pPr>
      <w:r>
        <w:rPr>
          <w:i/>
        </w:rPr>
        <w:t>περιέκτης τροφίμων μιας χρήσης</w:t>
      </w:r>
      <w:r>
        <w:t>: ένας περιέκτης τροφίμων που είναι προϊόν μιας χρήσης</w:t>
      </w:r>
      <w:bookmarkEnd w:id="5"/>
      <w:r>
        <w:t>.</w:t>
      </w:r>
    </w:p>
    <w:bookmarkEnd w:id="6"/>
    <w:p w14:paraId="7F5A41D5" w14:textId="752C0511" w:rsidR="00646F34" w:rsidRDefault="00646F34" w:rsidP="00211C2C">
      <w:pPr>
        <w:pStyle w:val="BodyTextIndent"/>
        <w:ind w:firstLine="0"/>
        <w:rPr>
          <w:i/>
          <w:iCs/>
        </w:rPr>
      </w:pPr>
    </w:p>
    <w:p w14:paraId="2D23FD68" w14:textId="2741EADC" w:rsidR="00211C2C" w:rsidRDefault="00311E20" w:rsidP="00211C2C">
      <w:pPr>
        <w:pStyle w:val="BodyTextIndent"/>
        <w:ind w:firstLine="0"/>
      </w:pPr>
      <w:r>
        <w:rPr>
          <w:b/>
        </w:rPr>
        <w:t>Άρθρο 9</w:t>
      </w:r>
      <w:r>
        <w:tab/>
        <w:t xml:space="preserve">Στο παρόν διάταγμα, ως </w:t>
      </w:r>
      <w:r>
        <w:rPr>
          <w:i/>
        </w:rPr>
        <w:t>κύκλος επαναχρησιμοποίησης</w:t>
      </w:r>
      <w:r>
        <w:t xml:space="preserve"> νοείται η διαδρομή που πραγματοποιείται από ένα επαναχρησιμοποιήσιμο κύπελλο ή έναν περιέκτη τροφίμων στη σουηδική αγορά μαζί με τα ποτά ή τα τρόφιμα που δυνητικά περιέχει, προστατεύει, παραδίδει ή παρουσιάζει, έως ότου υποβληθεί σε ένα σύστημα για την επαναχρησιμοποίηση κυπέλλων ή περιεκτών τροφίμων για γρήγορο φαγητό με σκοπό την εκ νέου παροχή στη σουηδική αγορά μαζί με τα ποτά ή τα τρόφιμα για τα οποία προορίζεται.</w:t>
      </w:r>
    </w:p>
    <w:p w14:paraId="458F3E19" w14:textId="58BD4776" w:rsidR="00646F34" w:rsidRDefault="00646F34" w:rsidP="00646F34">
      <w:pPr>
        <w:pStyle w:val="BodyTextIndent"/>
        <w:ind w:firstLine="0"/>
      </w:pPr>
    </w:p>
    <w:p w14:paraId="234E2165" w14:textId="0C76742F" w:rsidR="00646F34" w:rsidRDefault="00646F34" w:rsidP="00646F34">
      <w:pPr>
        <w:pStyle w:val="BodyText"/>
        <w:keepNext/>
      </w:pPr>
      <w:r>
        <w:rPr>
          <w:b/>
        </w:rPr>
        <w:t>Άρθρο 10</w:t>
      </w:r>
      <w:r>
        <w:tab/>
        <w:t xml:space="preserve">Στο παρόν διάταγμα </w:t>
      </w:r>
    </w:p>
    <w:p w14:paraId="0763F124" w14:textId="05B0CE3A" w:rsidR="00646F34" w:rsidRDefault="00646F34" w:rsidP="00646F34">
      <w:pPr>
        <w:pStyle w:val="BodyTextIndent"/>
      </w:pPr>
      <w:r>
        <w:t xml:space="preserve">σακούλα </w:t>
      </w:r>
      <w:r>
        <w:rPr>
          <w:i/>
        </w:rPr>
        <w:t>μεταφοράς</w:t>
      </w:r>
      <w:r>
        <w:t>: σακούλα που παρέχει στους καταναλωτές τη δυνατότητα να συσκευάζουν και να μεταφέρουν εμπορεύματα από τον τόπο όπου παραδίδονται τα αγαθά, οι οποίες δεν προορίζονται για μόνιμη χρήση,</w:t>
      </w:r>
    </w:p>
    <w:p w14:paraId="08368CE8" w14:textId="2EF23F87" w:rsidR="00646F34" w:rsidRDefault="00646F34" w:rsidP="00646F34">
      <w:pPr>
        <w:pStyle w:val="BodyTextIndent"/>
      </w:pPr>
      <w:r>
        <w:rPr>
          <w:i/>
        </w:rPr>
        <w:t>πλαστική σακούλα μεταφοράς</w:t>
      </w:r>
      <w:r>
        <w:t>: πλαστική σακούλα μεταφοράς, και</w:t>
      </w:r>
    </w:p>
    <w:p w14:paraId="2FC8448C" w14:textId="340B87C5" w:rsidR="00646F34" w:rsidRDefault="00646F34" w:rsidP="00646F34">
      <w:pPr>
        <w:pStyle w:val="BodyTextIndent"/>
      </w:pPr>
      <w:r>
        <w:rPr>
          <w:i/>
        </w:rPr>
        <w:t>πολύ λεπτή πλαστική σακούλα μεταφοράς</w:t>
      </w:r>
      <w:r>
        <w:t>: πλαστική σακούλα μεταφοράς με λεπτότερο τοίχο από 50 μικρά.</w:t>
      </w:r>
    </w:p>
    <w:p w14:paraId="30FA8567" w14:textId="77777777" w:rsidR="00646F34" w:rsidRDefault="00646F34" w:rsidP="00646F34">
      <w:pPr>
        <w:pStyle w:val="BodyTextIndent"/>
        <w:ind w:firstLine="0"/>
      </w:pPr>
    </w:p>
    <w:p w14:paraId="15DC9264" w14:textId="6DA2970F" w:rsidR="00646F34" w:rsidRDefault="00646F34" w:rsidP="00646F34">
      <w:pPr>
        <w:pStyle w:val="BodyTextIndent"/>
        <w:ind w:firstLine="0"/>
      </w:pPr>
      <w:r>
        <w:rPr>
          <w:b/>
        </w:rPr>
        <w:t>Άρθρο 11</w:t>
      </w:r>
      <w:r>
        <w:tab/>
        <w:t>Οι όροι και οι εκφράσεις σε αυτό το διάταγμα έχουν κατά τα λοιπά την ίδια έννοια με αυτή του κεφαλαίου 15 του περιβαλλοντικού κώδικα.</w:t>
      </w:r>
    </w:p>
    <w:p w14:paraId="49E8D53A" w14:textId="77777777" w:rsidR="00646F34" w:rsidRPr="006047FF" w:rsidRDefault="00646F34" w:rsidP="009E6D43">
      <w:pPr>
        <w:pStyle w:val="Heading4"/>
      </w:pPr>
      <w:r>
        <w:t>Απαγόρευση διάθεσης ορισμένων πλαστικών προϊόντων μιας χρήσης στη σουηδική αγορά</w:t>
      </w:r>
    </w:p>
    <w:p w14:paraId="0448F62E" w14:textId="118A0B85" w:rsidR="00646F34" w:rsidRDefault="00646F34" w:rsidP="00646F34">
      <w:pPr>
        <w:pStyle w:val="BodyText"/>
      </w:pPr>
      <w:r>
        <w:rPr>
          <w:b/>
        </w:rPr>
        <w:t>Άρθρο 12</w:t>
      </w:r>
      <w:r>
        <w:tab/>
        <w:t xml:space="preserve">Απαγορεύεται η διάθεση των ακόλουθων πλαστικών προϊόντων μιας χρήσης στη σουηδική αγορά: </w:t>
      </w:r>
    </w:p>
    <w:p w14:paraId="7E18E998" w14:textId="03D318CD" w:rsidR="00646F34" w:rsidRDefault="00646F34" w:rsidP="00646F34">
      <w:pPr>
        <w:pStyle w:val="BodyTextIndent"/>
      </w:pPr>
      <w:r>
        <w:t>1.  μπατονέτες,</w:t>
      </w:r>
    </w:p>
    <w:p w14:paraId="1CC676D7" w14:textId="1FF93E69" w:rsidR="00646F34" w:rsidRDefault="00646F34" w:rsidP="00646F34">
      <w:pPr>
        <w:pStyle w:val="BodyTextIndent"/>
      </w:pPr>
      <w:r>
        <w:t>2. περιέκτες ποτών που περιέχουν διογκωμένο πολυστυρένιο,</w:t>
      </w:r>
    </w:p>
    <w:p w14:paraId="04C9CB15" w14:textId="77777777" w:rsidR="00646F34" w:rsidRDefault="00646F34" w:rsidP="00646F34">
      <w:pPr>
        <w:pStyle w:val="BodyTextIndent"/>
      </w:pPr>
      <w:r>
        <w:t>3. κύπελλα μιας χρήσης και περιέκτες τροφίμων μιας χρήσης που περιέχουν διογκωμένο πολυστυρένιο,</w:t>
      </w:r>
    </w:p>
    <w:p w14:paraId="4C80A837" w14:textId="2ACA07CD" w:rsidR="00646F34" w:rsidRDefault="00646F34" w:rsidP="00646F34">
      <w:pPr>
        <w:pStyle w:val="BodyTextIndent"/>
      </w:pPr>
      <w:r>
        <w:t>4. πιρούνια, μαχαίρια, κουτάλια, ξυλάκια φαγητού (chopsticks) και άλλα μαχαιροπίρουνα,</w:t>
      </w:r>
    </w:p>
    <w:p w14:paraId="7EC219AC" w14:textId="77777777" w:rsidR="00646F34" w:rsidRDefault="00646F34" w:rsidP="00646F34">
      <w:pPr>
        <w:pStyle w:val="BodyTextIndent"/>
      </w:pPr>
      <w:r>
        <w:t>5. Φελλοί και καπάκια που περιέχουν διογκωμένο πολυστυρένιο και χρησιμοποιούνται για</w:t>
      </w:r>
    </w:p>
    <w:p w14:paraId="775FD790" w14:textId="26E40C73" w:rsidR="00646F34" w:rsidRDefault="00646F34" w:rsidP="00646F34">
      <w:pPr>
        <w:pStyle w:val="BodyTextIndent"/>
      </w:pPr>
      <w:r>
        <w:t>α) κουτιά τροφίμων μιας χρήσης,</w:t>
      </w:r>
    </w:p>
    <w:p w14:paraId="32DDA7B9" w14:textId="22F30CF6" w:rsidR="00646F34" w:rsidRDefault="00646F34" w:rsidP="00646F34">
      <w:pPr>
        <w:pStyle w:val="BodyTextIndent"/>
      </w:pPr>
      <w:r>
        <w:t xml:space="preserve">β) περιέκτες ποτών, ή </w:t>
      </w:r>
    </w:p>
    <w:p w14:paraId="7C783A25" w14:textId="03ED3D0F" w:rsidR="00646F34" w:rsidRDefault="00646F34" w:rsidP="00646F34">
      <w:pPr>
        <w:pStyle w:val="BodyTextIndent"/>
      </w:pPr>
      <w:r>
        <w:t>γ) φλυτζάνια μιας χρήσης,</w:t>
      </w:r>
    </w:p>
    <w:p w14:paraId="2B5BAAC2" w14:textId="09E2AD98" w:rsidR="00646F34" w:rsidRDefault="00646F34" w:rsidP="00646F34">
      <w:pPr>
        <w:pStyle w:val="BodyTextIndent"/>
      </w:pPr>
      <w:r>
        <w:t>6. αναδευτήρες για τα ποτά,</w:t>
      </w:r>
    </w:p>
    <w:p w14:paraId="76B29E21" w14:textId="70F8D689" w:rsidR="00646F34" w:rsidRDefault="00646F34" w:rsidP="00646F34">
      <w:pPr>
        <w:pStyle w:val="BodyTextIndent"/>
      </w:pPr>
      <w:r>
        <w:t>7. ραβδιά που συνδέονται και υποστηρίζουν τα μπαλόνια,</w:t>
      </w:r>
    </w:p>
    <w:p w14:paraId="3D694708" w14:textId="534C4101" w:rsidR="00646F34" w:rsidRDefault="00646F34" w:rsidP="00646F34">
      <w:pPr>
        <w:pStyle w:val="BodyTextIndent"/>
      </w:pPr>
      <w:r>
        <w:t>8. καλαμάκια, και</w:t>
      </w:r>
    </w:p>
    <w:p w14:paraId="0AD6DF3E" w14:textId="162E403C" w:rsidR="00646F34" w:rsidRDefault="00646F34" w:rsidP="00646F34">
      <w:pPr>
        <w:pStyle w:val="BodyTextIndent"/>
      </w:pPr>
      <w:r>
        <w:t>9. πιάτα.</w:t>
      </w:r>
    </w:p>
    <w:p w14:paraId="703EFF20" w14:textId="77777777" w:rsidR="00646F34" w:rsidRDefault="00646F34" w:rsidP="00646F34">
      <w:pPr>
        <w:pStyle w:val="BodyTextIndent"/>
      </w:pPr>
    </w:p>
    <w:p w14:paraId="3BCE51E8" w14:textId="228D1A90" w:rsidR="00646F34" w:rsidRDefault="00646F34" w:rsidP="00646F34">
      <w:pPr>
        <w:pStyle w:val="BodyText"/>
      </w:pPr>
      <w:r>
        <w:rPr>
          <w:b/>
        </w:rPr>
        <w:t>Άρθρο 13</w:t>
      </w:r>
      <w:r>
        <w:tab/>
        <w:t xml:space="preserve">Οι απαγορεύσεις του άρθρου 12 παράγραφοι 1 και 8 δεν ισχύουν για τις μπατονέτες και τα καλαμάκια που καλύπτονται από τις διατάξεις για τα ιατροτεχνολογικά προϊόντα του κανονισμού (ΕΕ) 2017/745 του Ευρωπαϊκού Κοινοβουλίου και του Συμβουλίου, της 5ης Απριλίου 2017, για τα ιατροτεχνολογικά προϊόντα, για την τροποποίηση της οδηγίας 2001/83/ΕΚ, του κανονισμού (ΕΚ) αριθ. 178/2002 και του κανονισμού </w:t>
      </w:r>
      <w:r>
        <w:lastRenderedPageBreak/>
        <w:t>(ΕΚ) αριθ. 1223/2009 και για την κατάργηση των οδηγιών 90/385/ΕΟΚ και 93/42/ΕΟΚ του Συμβουλίου.</w:t>
      </w:r>
    </w:p>
    <w:p w14:paraId="7528FEAE" w14:textId="326659CB" w:rsidR="00646F34" w:rsidRDefault="00646F34" w:rsidP="00646F34">
      <w:pPr>
        <w:pStyle w:val="BodyTextIndent"/>
      </w:pPr>
      <w:r>
        <w:t>Η απαγόρευση του άρθρου 12 παράγραφος 7 δεν ισχύει για τα ραβδιά που προορίζονται για βιομηχανική ή άλλη επαγγελματική χρήση και δεν διανέμονται στους καταναλωτές.</w:t>
      </w:r>
    </w:p>
    <w:p w14:paraId="40BF4B67" w14:textId="77777777" w:rsidR="00646F34" w:rsidRDefault="00646F34" w:rsidP="00646F34">
      <w:pPr>
        <w:pStyle w:val="BodyTextIndent"/>
      </w:pPr>
    </w:p>
    <w:p w14:paraId="2BBBA98C" w14:textId="1B8FA1B5" w:rsidR="00646F34" w:rsidRDefault="00646F34" w:rsidP="00646F34">
      <w:pPr>
        <w:pStyle w:val="BodyTextIndent"/>
        <w:ind w:firstLine="0"/>
      </w:pPr>
      <w:r>
        <w:rPr>
          <w:b/>
        </w:rPr>
        <w:t>Άρθρο 14</w:t>
      </w:r>
      <w:r>
        <w:tab/>
        <w:t>Η διάθεση στη σουηδική αγορά κυπέλλων μιας χρήσης που περιέχουν περισσότερο από 15 % πλαστικό απαγορεύεται.</w:t>
      </w:r>
    </w:p>
    <w:p w14:paraId="635C09F2" w14:textId="77777777" w:rsidR="00211C2C" w:rsidRDefault="00211C2C" w:rsidP="00646F34">
      <w:pPr>
        <w:pStyle w:val="BodyTextIndent"/>
        <w:ind w:firstLine="0"/>
      </w:pPr>
    </w:p>
    <w:p w14:paraId="596434C0" w14:textId="2EC0F643" w:rsidR="00646F34" w:rsidRDefault="00646F34" w:rsidP="00646F34">
      <w:pPr>
        <w:pStyle w:val="BodyTextIndent"/>
        <w:ind w:firstLine="0"/>
      </w:pPr>
      <w:r>
        <w:rPr>
          <w:b/>
        </w:rPr>
        <w:t>Άρθρο 15</w:t>
      </w:r>
      <w:r>
        <w:tab/>
        <w:t>Ο σουηδικός οργανισμός προστασίας του περιβάλλοντος μπορεί να εκδώσει κανονισμούς σχετικά με τις εξαιρέσεις από την απαγόρευση του άρθρου 14, εάν υπάρχουν ειδικοί λόγοι για τη διάθεση κυπέλλων μιας χρήσης στη σουηδική αγορά.</w:t>
      </w:r>
    </w:p>
    <w:p w14:paraId="7448A23B" w14:textId="77777777" w:rsidR="00646F34" w:rsidRPr="00BB14F4" w:rsidRDefault="00646F34" w:rsidP="009E6D43">
      <w:pPr>
        <w:pStyle w:val="Heading4"/>
      </w:pPr>
      <w:r>
        <w:t xml:space="preserve">Απαγόρευση της χρήσης κομφετί </w:t>
      </w:r>
    </w:p>
    <w:p w14:paraId="01083929" w14:textId="7D04A31D" w:rsidR="00211C2C" w:rsidRDefault="00211C2C" w:rsidP="00211C2C">
      <w:pPr>
        <w:pStyle w:val="BodyText"/>
      </w:pPr>
      <w:r>
        <w:rPr>
          <w:b/>
        </w:rPr>
        <w:t>Άρθρο 16</w:t>
      </w:r>
      <w:r>
        <w:tab/>
        <w:t>Κομφετί που περιέχει πλαστικό δεν επιτρέπεται να χρησιμοποιείται σε εξωτερικούς χώρους.</w:t>
      </w:r>
    </w:p>
    <w:p w14:paraId="32161E4B" w14:textId="77777777" w:rsidR="007A4814" w:rsidRDefault="00646F34" w:rsidP="009E6D43">
      <w:pPr>
        <w:pStyle w:val="Heading4"/>
      </w:pPr>
      <w:r>
        <w:t>Απαίτηση προσφοράς του προϊόντος που σερβίρεται σε επαναχρησιμοποιήσιμα φλυτζάνια και κουτιά τροφίμων</w:t>
      </w:r>
    </w:p>
    <w:p w14:paraId="67DAC9C3" w14:textId="35F297D5" w:rsidR="00211C2C" w:rsidRDefault="00646F34" w:rsidP="00211C2C">
      <w:pPr>
        <w:pStyle w:val="BodyText"/>
      </w:pPr>
      <w:bookmarkStart w:id="8" w:name="_Hlk57038341"/>
      <w:r>
        <w:rPr>
          <w:b/>
        </w:rPr>
        <w:t>Άρθρο 17</w:t>
      </w:r>
      <w:r>
        <w:tab/>
      </w:r>
      <w:bookmarkEnd w:id="8"/>
      <w:r>
        <w:t xml:space="preserve">Oποιαδήποτε πρόσωπα παρέχουν ποτά στη σουηδική αγορά κύπελλα μιας χρήσης πρέπει να </w:t>
      </w:r>
    </w:p>
    <w:p w14:paraId="4F7B1DE6" w14:textId="77777777" w:rsidR="00211C2C" w:rsidRDefault="00211C2C" w:rsidP="00211C2C">
      <w:pPr>
        <w:pStyle w:val="BodyTextIndent"/>
      </w:pPr>
      <w:r>
        <w:t>1. προσφέρουν τη δυνατότητα να σερβίρεται το ποτό σε επαναχρησιμοποιήσιμο κύπελλο, και</w:t>
      </w:r>
    </w:p>
    <w:p w14:paraId="4136D526" w14:textId="77777777" w:rsidR="00211C2C" w:rsidRDefault="00211C2C" w:rsidP="00211C2C">
      <w:pPr>
        <w:pStyle w:val="BodyTextIndent"/>
      </w:pPr>
      <w:r>
        <w:t>2. λαμβάνουν αποτελεσματικά μέτρα για να εξασφαλίσουν ότι τα επαναχρησιμοποιήσιμα φλυτζάνια και τα καλύμματά τους περνούν από διάφορους κύκλους επαναχρησιμοποίησης.</w:t>
      </w:r>
    </w:p>
    <w:p w14:paraId="6F9BEF6A" w14:textId="77777777" w:rsidR="00211C2C" w:rsidRDefault="00211C2C" w:rsidP="00211C2C">
      <w:pPr>
        <w:pStyle w:val="BodyTextIndent"/>
      </w:pPr>
      <w:r>
        <w:t>Το επαναχρησιμοποιήσιμο κύπελλο πρέπει να παρέχεται από τον πάροχο του ποτού, ανεξάρτητα από το αν το ποτό πρόκειται να ληφθεί ή να πιει στο σημείο πώλησης.</w:t>
      </w:r>
    </w:p>
    <w:p w14:paraId="7A08BAA7" w14:textId="4C3CA2D4" w:rsidR="00646F34" w:rsidRDefault="00646F34" w:rsidP="00211C2C">
      <w:pPr>
        <w:pStyle w:val="BodyText"/>
      </w:pPr>
    </w:p>
    <w:p w14:paraId="64304C20" w14:textId="4B1B33CF" w:rsidR="00211C2C" w:rsidRDefault="00646F34" w:rsidP="00211C2C">
      <w:pPr>
        <w:pStyle w:val="BodyText"/>
      </w:pPr>
      <w:r>
        <w:rPr>
          <w:b/>
        </w:rPr>
        <w:t>Άρθρο 18</w:t>
      </w:r>
      <w:r>
        <w:tab/>
        <w:t xml:space="preserve">Οποιαδήποτε πρόσωπα παρέχουν γρήγορο φαγητό στη σουηδική αγορά σε περιέκτες τροφίμων μιας χρήσης πρέπει να </w:t>
      </w:r>
    </w:p>
    <w:p w14:paraId="2BE54211" w14:textId="77777777" w:rsidR="00211C2C" w:rsidRDefault="00211C2C" w:rsidP="00211C2C">
      <w:pPr>
        <w:pStyle w:val="BodyTextIndent"/>
      </w:pPr>
      <w:r>
        <w:t>1. προσφέρουν τη δυνατότητα να έχουν το fast food σερβίρεται σε ένα επαναχρησιμοποιήσιμο κουτί τροφίμων, και</w:t>
      </w:r>
    </w:p>
    <w:p w14:paraId="152442DF" w14:textId="77777777" w:rsidR="00211C2C" w:rsidRDefault="00211C2C" w:rsidP="00211C2C">
      <w:pPr>
        <w:pStyle w:val="BodyTextIndent"/>
      </w:pPr>
      <w:r>
        <w:t xml:space="preserve">2. λαμβάνουν αποτελεσματικά μέτρα για να εξασφαλίσουν ότι τα επαναχρησιμοποιήσιμα κουτιά τροφίμων και τα καλύμματά τους περνούν από διάφορους κύκλους επαναχρησιμοποίησης. </w:t>
      </w:r>
    </w:p>
    <w:p w14:paraId="2B261D6F" w14:textId="4D167F28" w:rsidR="00211C2C" w:rsidRDefault="00211C2C" w:rsidP="00211C2C">
      <w:pPr>
        <w:pStyle w:val="BodyTextIndent"/>
      </w:pPr>
      <w:r>
        <w:t>Το επαναχρησιμοποιήσιμο κουτί τροφίμων πρέπει να παρέχεται από τον προμηθευτή του τροφίμου, ανεξάρτητα από το αν το τρόφιμο πρόκειται να ληφθεί ή να καταναλωθεί στο σημείο πώλησης.</w:t>
      </w:r>
    </w:p>
    <w:p w14:paraId="7318FBF8" w14:textId="20873C27" w:rsidR="00211C2C" w:rsidRDefault="00211C2C" w:rsidP="00211C2C">
      <w:pPr>
        <w:pStyle w:val="BodyTextIndent"/>
      </w:pPr>
    </w:p>
    <w:p w14:paraId="7F1B5CBC" w14:textId="467A0583" w:rsidR="00211C2C" w:rsidRPr="00870B91" w:rsidRDefault="00311E20" w:rsidP="00211C2C">
      <w:pPr>
        <w:pStyle w:val="BodyTextIndent"/>
        <w:ind w:firstLine="0"/>
      </w:pPr>
      <w:r>
        <w:rPr>
          <w:b/>
        </w:rPr>
        <w:t>Άρθρο 19</w:t>
      </w:r>
      <w:r>
        <w:tab/>
        <w:t xml:space="preserve">Οποιοδήποτε πρόσωπο παρέχει επαναχρησιμοποιήσιμο κύπελλο ή περιέκτη τροφίμων σύμφωνα με τα άρθρα 17 ή 18 επιλέγει κύπελλο ή περιέκτη τροφίμων που έχει όσο το δυνατόν λιγότερες αρνητικές επιπτώσεις στην ανθρώπινη υγεία και το περιβάλλον. </w:t>
      </w:r>
    </w:p>
    <w:p w14:paraId="38EB9268" w14:textId="7043FC8B" w:rsidR="00646F34" w:rsidRDefault="00646F34" w:rsidP="00211C2C">
      <w:pPr>
        <w:pStyle w:val="BodyText"/>
      </w:pPr>
    </w:p>
    <w:p w14:paraId="1E3411BA" w14:textId="1059416E" w:rsidR="00211C2C" w:rsidRDefault="00646F34" w:rsidP="00211C2C">
      <w:pPr>
        <w:pStyle w:val="BodyTextIndent"/>
        <w:ind w:firstLine="0"/>
      </w:pPr>
      <w:r>
        <w:rPr>
          <w:b/>
        </w:rPr>
        <w:t>Άρθρο 20</w:t>
      </w:r>
      <w:r>
        <w:tab/>
      </w:r>
      <w:bookmarkStart w:id="9" w:name="_Hlk50550710"/>
      <w:r>
        <w:t>Οποιοδήποτε πρόσωπο παρέχει στη σουηδική αγορά ποτά σε κύπελλα μιας χρήσης ή γρήγορο φαγητό σε περιέκτες τροφίμων μιας χρήσης πρέπει να ενημερώνει, στο σημείο πώλησης, τους καταναλωτές σχετικά με τα εξής</w:t>
      </w:r>
      <w:bookmarkEnd w:id="9"/>
    </w:p>
    <w:p w14:paraId="4E98CC42" w14:textId="77777777" w:rsidR="00211C2C" w:rsidRDefault="00211C2C" w:rsidP="00211C2C">
      <w:pPr>
        <w:pStyle w:val="BodyTextIndent"/>
      </w:pPr>
      <w:r>
        <w:lastRenderedPageBreak/>
        <w:t xml:space="preserve">1. η δυνατότητα να σερβίρεται το ποτό σε ένα επαναχρησιμοποιήσιμο φλυτζάνι ή το γρήγορο φαγητό που σερβίρεται σε ένα επαναχρησιμοποιήσιμο κουτί τροφίμων, </w:t>
      </w:r>
    </w:p>
    <w:p w14:paraId="56E0E8F3" w14:textId="77777777" w:rsidR="00211C2C" w:rsidRPr="00EE3CA1" w:rsidRDefault="00211C2C" w:rsidP="00211C2C">
      <w:pPr>
        <w:pStyle w:val="BodyTextIndent"/>
      </w:pPr>
      <w:r>
        <w:t>2. οι περιβαλλοντικές επιπτώσεις που προκαλούνται από τη χρήση φλυτζανιών μίας χρήσης και κουτιών τροφίμων μιας χρήσης, και</w:t>
      </w:r>
    </w:p>
    <w:p w14:paraId="0D559E7A" w14:textId="77777777" w:rsidR="00211C2C" w:rsidRPr="00EE3CA1" w:rsidRDefault="00211C2C" w:rsidP="00211C2C">
      <w:pPr>
        <w:pStyle w:val="BodyTextIndent"/>
      </w:pPr>
      <w:r>
        <w:t>3. τα οφέλη της μειωμένης κατανάλωσης φλυτζανιών μίας χρήσης και κουτιών τροφίμων μιας χρήσης.</w:t>
      </w:r>
    </w:p>
    <w:p w14:paraId="28AD6CE3" w14:textId="77777777" w:rsidR="00211C2C" w:rsidRDefault="00211C2C" w:rsidP="00211C2C">
      <w:pPr>
        <w:pStyle w:val="BodyTextIndent"/>
      </w:pPr>
      <w:r>
        <w:t xml:space="preserve">Οι πληροφορίες πρέπει να είναι ορατές στο σημείο πώλησης και να είναι εύκολα προσβάσιμες από τον καταναλωτή.  </w:t>
      </w:r>
    </w:p>
    <w:p w14:paraId="2D79D1CA" w14:textId="20370DA5" w:rsidR="00646F34" w:rsidRDefault="00646F34" w:rsidP="00211C2C">
      <w:pPr>
        <w:pStyle w:val="BodyTextIndent"/>
        <w:ind w:firstLine="0"/>
      </w:pPr>
    </w:p>
    <w:p w14:paraId="3571F6CB" w14:textId="07D257B5" w:rsidR="00646F34" w:rsidRDefault="00646F34" w:rsidP="00646F34">
      <w:pPr>
        <w:pStyle w:val="BodyTextIndent"/>
        <w:ind w:firstLine="0"/>
      </w:pPr>
      <w:r>
        <w:rPr>
          <w:b/>
        </w:rPr>
        <w:t>Άρθρο 21</w:t>
      </w:r>
      <w:r>
        <w:tab/>
        <w:t>Οι απαιτήσεις που ορίζονται στις παραγράφους 17-20 δεν ισχύουν για όσους παρέχουν στη σουηδική αγορά ποτά σε κύπελλα μιας χρήσης ή σε ταχυφαγεία σε περιέκτες τροφίμων μιας χρήσης, εάν το κύπελλο ή ο περιέκτης τροφίμων είναι κατασκευασμένος εξ ολοκλήρου από χαρτί ή χαρτόνι που δεν έχει υποστεί χημική τροποποίηση κατά τρόπο που να καθυστερεί την αποσύνθεση του.</w:t>
      </w:r>
    </w:p>
    <w:p w14:paraId="70159D5D" w14:textId="77777777" w:rsidR="00646F34" w:rsidRDefault="00646F34" w:rsidP="00646F34">
      <w:pPr>
        <w:pStyle w:val="BodyTextIndent"/>
        <w:ind w:firstLine="0"/>
      </w:pPr>
    </w:p>
    <w:p w14:paraId="6D765FBD" w14:textId="516EB1C2" w:rsidR="00211C2C" w:rsidRPr="004A5119" w:rsidRDefault="00646F34" w:rsidP="00211C2C">
      <w:pPr>
        <w:pStyle w:val="BodyTextIndent"/>
        <w:ind w:firstLine="0"/>
        <w:rPr>
          <w:b/>
        </w:rPr>
      </w:pPr>
      <w:r>
        <w:rPr>
          <w:b/>
        </w:rPr>
        <w:t>Άρθρο 22</w:t>
      </w:r>
      <w:r>
        <w:tab/>
        <w:t xml:space="preserve">Οι απαιτήσεις που ορίζονται στα άρθρα 14-17 δεν ισχύουν για όσους παρέχουν στη σουηδική αγορά ποτά ή γρήγορο φαγητό σε λιγότερα από 150 κύπελλα μιας χρήσης και περιέκτες τροφίμων μιας χρήσης ανά ημέρα </w:t>
      </w:r>
      <w:bookmarkStart w:id="10" w:name="_Hlk53479781"/>
      <w:r>
        <w:t>και όταν το σημείο πώλησης είναι σε ανοικτό χώρο</w:t>
      </w:r>
      <w:bookmarkEnd w:id="10"/>
      <w:r>
        <w:t xml:space="preserve">. </w:t>
      </w:r>
    </w:p>
    <w:p w14:paraId="4F9631E1" w14:textId="42F7C71B" w:rsidR="00211C2C" w:rsidRDefault="00BC1BFA" w:rsidP="00211C2C">
      <w:pPr>
        <w:pStyle w:val="BodyTextIndent"/>
      </w:pPr>
      <w:r>
        <w:t xml:space="preserve">Ο αριθμός των κυπέλλων μιας χρήσης και των περιεκτών τροφίμων μιας χρήσης πρέπει να υπολογίζεται ως ο μέσος όρος των κυπέλλων μιας χρήσης και των περιεκτών μιας χρήσης που παρέχονται τις ημέρες </w:t>
      </w:r>
      <w:bookmarkStart w:id="11" w:name="_Hlk54008522"/>
      <w:r>
        <w:t>κατά τις οποίες το σημείο πώλησης είναι ανοικτό καθόλη τη διάρκεια του ημερολογιακού έτους</w:t>
      </w:r>
      <w:bookmarkEnd w:id="11"/>
      <w:r>
        <w:t xml:space="preserve">. </w:t>
      </w:r>
    </w:p>
    <w:p w14:paraId="633C4935" w14:textId="6AAF4527" w:rsidR="009E6722" w:rsidRDefault="009E6722" w:rsidP="00211C2C">
      <w:pPr>
        <w:pStyle w:val="BodyTextIndent"/>
      </w:pPr>
      <w:r>
        <w:t>Όσοι καλύπτονται από την εξαίρεση και δεν παρέχουν επαναχρησιμοποιήσιμα κύπελλα και περιέκτες τροφίμων, πρέπει να διαθέτουν διαδικασίες που να διασφαλίζουν ότι δεν παρέχονται περισσότερα από 150 φλιτζάνια μιας χρήσης και περιέκτες τροφίμων μιας χρήσης ανά ημέρα κατά μέσο όρο.</w:t>
      </w:r>
    </w:p>
    <w:p w14:paraId="6CB0CC6C" w14:textId="5004701C" w:rsidR="00646F34" w:rsidRDefault="00646F34" w:rsidP="00211C2C">
      <w:pPr>
        <w:pStyle w:val="BodyTextIndent"/>
        <w:ind w:firstLine="0"/>
      </w:pPr>
    </w:p>
    <w:p w14:paraId="2305370B" w14:textId="61F183B4" w:rsidR="009D070E" w:rsidRPr="00156B40" w:rsidRDefault="00646F34" w:rsidP="009D070E">
      <w:pPr>
        <w:pStyle w:val="BodyTextIndent"/>
        <w:ind w:firstLine="0"/>
      </w:pPr>
      <w:r>
        <w:rPr>
          <w:b/>
        </w:rPr>
        <w:t>Άρθρο 23</w:t>
      </w:r>
      <w:r>
        <w:tab/>
      </w:r>
      <w:bookmarkStart w:id="12" w:name="_Hlk54008598"/>
      <w:r>
        <w:t>Ο σουηδικός οργανισμός προστασίας του περιβάλλοντος μπορεί να εκδίδει κανονισμούς σχετικά με εξαιρέσεις από τις απαιτήσεις που ορίζονται στα άρθρα 17-20 σε περιπτώσεις όπου είναι παράλογο να απαιτείται από το πρόσωπο που παρέχει ποτά σε κύπελλα μιας χρήσης ή σε ταχυφαγεία που παρέχουν σε περιέκτες τροφίμων μιας χρήσης να προσφέρουν επαναχρησιμοποιήσιμη εναλλακτική λύση.</w:t>
      </w:r>
    </w:p>
    <w:p w14:paraId="269C50B5" w14:textId="60FCCAF3" w:rsidR="009D070E" w:rsidRPr="0024586A" w:rsidRDefault="009D070E" w:rsidP="009D070E">
      <w:pPr>
        <w:pStyle w:val="BodyTextIndent"/>
      </w:pPr>
      <w:r>
        <w:t xml:space="preserve">Δεν επιτρέπεται η έκδοση κανονισμών σχετικά με τις εξαιρέσεις όσον αφορά τα κύπελλα μιας χρήσης ή τους περιέκτες τροφίμων μιας χρήσης, εάν η εξαίρεση μπορεί να θεωρηθεί ότι ενέχει κίνδυνο σημαντικής δημιουργίας απορριμμάτων ή έχει ως αποτέλεσμα να θεωρηθεί η Σουηδία ως κράτος που δεν τηρεί τον στόχο του άρθρου 24. </w:t>
      </w:r>
    </w:p>
    <w:bookmarkEnd w:id="12"/>
    <w:p w14:paraId="7C8314FF" w14:textId="77777777" w:rsidR="00646F34" w:rsidRPr="00F533B0" w:rsidRDefault="00646F34" w:rsidP="009E6D43">
      <w:pPr>
        <w:pStyle w:val="Heading4"/>
      </w:pPr>
      <w:r>
        <w:t xml:space="preserve">Στόχοι μείωσης της κατανάλωσης </w:t>
      </w:r>
    </w:p>
    <w:p w14:paraId="4BC974B2" w14:textId="2E34F32C" w:rsidR="00646F34" w:rsidRPr="00F533B0" w:rsidRDefault="00732438" w:rsidP="00646F34">
      <w:pPr>
        <w:pStyle w:val="BodyTextIndent"/>
        <w:ind w:firstLine="0"/>
      </w:pPr>
      <w:r>
        <w:rPr>
          <w:b/>
        </w:rPr>
        <w:t>Άρθρο 24</w:t>
      </w:r>
      <w:r>
        <w:tab/>
        <w:t xml:space="preserve">Στην περίπτωση πλαστικών κυπέλλων μιας χρήσης και περιεκτών τροφίμων, η κατανάλωση μειώνεται κατά 50 % από το 2026 σε σύγκριση με την κατανάλωση το 2022. </w:t>
      </w:r>
    </w:p>
    <w:p w14:paraId="0A8EA676" w14:textId="77777777" w:rsidR="00646F34" w:rsidRPr="00F533B0" w:rsidRDefault="00646F34" w:rsidP="00646F34">
      <w:pPr>
        <w:pStyle w:val="BodyTextIndent"/>
        <w:ind w:firstLine="0"/>
      </w:pPr>
    </w:p>
    <w:p w14:paraId="1D94AF85" w14:textId="42A20EAE" w:rsidR="00646F34" w:rsidRPr="0024586A" w:rsidRDefault="00732438" w:rsidP="00646F34">
      <w:pPr>
        <w:pStyle w:val="BodyTextIndent"/>
        <w:ind w:firstLine="0"/>
      </w:pPr>
      <w:r>
        <w:rPr>
          <w:b/>
        </w:rPr>
        <w:t>Άρθρο 25</w:t>
      </w:r>
      <w:r>
        <w:t xml:space="preserve"> </w:t>
      </w:r>
      <w:bookmarkStart w:id="13" w:name="_Hlk84256029"/>
      <w:bookmarkStart w:id="14" w:name="_Hlk54788938"/>
      <w:bookmarkStart w:id="15" w:name="_Hlk54692017"/>
      <w:r>
        <w:t>Η παροχή ή χρήση κυπέλλων και περιεκτών τροφίμων που είναι πλαστικά προϊόντα μιας χρήσης σε επαγγελματική δραστηριότητα συμβάλλει αποτελεσματικά στην επίτευξη του στόχου</w:t>
      </w:r>
      <w:bookmarkEnd w:id="13"/>
      <w:bookmarkEnd w:id="14"/>
      <w:bookmarkEnd w:id="15"/>
      <w:r>
        <w:t>.</w:t>
      </w:r>
    </w:p>
    <w:p w14:paraId="6C1E5310" w14:textId="77777777" w:rsidR="00646F34" w:rsidRDefault="00646F34" w:rsidP="009E6D43">
      <w:pPr>
        <w:pStyle w:val="Heading4"/>
      </w:pPr>
      <w:r>
        <w:lastRenderedPageBreak/>
        <w:t>Επισήμανση και άλλες πληροφορίες για τους καταναλωτές</w:t>
      </w:r>
    </w:p>
    <w:p w14:paraId="4D808795" w14:textId="7E8A6C22" w:rsidR="00DE4842" w:rsidRPr="00870B91" w:rsidRDefault="00B92EB6">
      <w:pPr>
        <w:pStyle w:val="BodyText"/>
      </w:pPr>
      <w:r>
        <w:rPr>
          <w:b/>
        </w:rPr>
        <w:t>Άρθρο 26</w:t>
      </w:r>
      <w:r>
        <w:tab/>
        <w:t>Σερβιέτες, ταμπόν και εφαρμογείς ταμπόν, που είναι πλαστικά προϊόντα μιας χρήσης, επιτρέπεται να διατίθενται στη σουηδική αγορά μόνον εάν έχουν επισημανθεί σύμφωνα με τον εκτελεστικό κανονισμό (ΕΕ) 2020/2151 της Επιτροπής, της 17ης Δεκεμβρίου 2020, για τη θέσπιση κανόνων σχετικά με εναρμονισμένες προδιαγραφές σήμανσης για τα πλαστικά προϊόντα μίας χρήσης που απαριθμούνται στο μέρος Δ του παραρτήματος της οδηγίας (ΕΕ) 2019/904 του Ευρωπαϊκού Κοινοβουλίου και του Συμβουλίου σχετικά με τη μείωση των επιπτώσεων ορισμένων πλαστικών προϊόντων στο περιβάλλον.</w:t>
      </w:r>
    </w:p>
    <w:p w14:paraId="41230D35" w14:textId="4E63DF75" w:rsidR="00646F34" w:rsidRDefault="0078709D">
      <w:pPr>
        <w:pStyle w:val="BodyTextIndent"/>
      </w:pPr>
      <w:r>
        <w:t xml:space="preserve">Η ετικέτα πρέπει να είναι ευδιάκριτη, ευανάγνωστη και ανεξίτηλη. </w:t>
      </w:r>
    </w:p>
    <w:p w14:paraId="252DADC9" w14:textId="77777777" w:rsidR="00646F34" w:rsidRDefault="00646F34" w:rsidP="00646F34">
      <w:pPr>
        <w:pStyle w:val="BodyTextIndent"/>
        <w:ind w:firstLine="0"/>
      </w:pPr>
    </w:p>
    <w:p w14:paraId="6470C50B" w14:textId="2B1C6519" w:rsidR="00646F34" w:rsidRDefault="00646F34" w:rsidP="00646F34">
      <w:pPr>
        <w:pStyle w:val="BodyTextIndent"/>
        <w:ind w:firstLine="0"/>
      </w:pPr>
      <w:bookmarkStart w:id="16" w:name="_Hlk39499720"/>
      <w:r>
        <w:rPr>
          <w:b/>
        </w:rPr>
        <w:t>Άρθρο 27</w:t>
      </w:r>
      <w:r>
        <w:tab/>
        <w:t xml:space="preserve">Εκείνοι που διαθέτουν στη σουηδική αγορά τσίχλες, καπνό που λαμβάνεται από το στόμα, σερβιέτες, ταμπόν ή συσκευές εφαρμογής ταμπόν, που είναι πλαστικά προϊόντα μιας χρήσης, ενημερώνουν τους καταναλωτές σχετικά με: </w:t>
      </w:r>
    </w:p>
    <w:p w14:paraId="55442CB5" w14:textId="7BD389D1" w:rsidR="00646F34" w:rsidRDefault="00646F34" w:rsidP="00646F34">
      <w:pPr>
        <w:pStyle w:val="BodyTextIndent"/>
      </w:pPr>
      <w:r>
        <w:t xml:space="preserve">1. τον τρόπο χειρισμού του προϊόντος όταν γίνεται απόβλητο, </w:t>
      </w:r>
    </w:p>
    <w:p w14:paraId="3374034E" w14:textId="77777777" w:rsidR="00646F34" w:rsidRDefault="00646F34" w:rsidP="00646F34">
      <w:pPr>
        <w:pStyle w:val="BodyTextIndent"/>
      </w:pPr>
      <w:r>
        <w:t>2. τις δυσμενείς περιβαλλοντικές επιπτώσεις της δημιουργίας απορριμμάτων ή λόγω άλλης ακατάλληλης διάθεσης του προϊόντος, και</w:t>
      </w:r>
    </w:p>
    <w:p w14:paraId="04AFA23A" w14:textId="77777777" w:rsidR="00646F34" w:rsidRDefault="00646F34" w:rsidP="00646F34">
      <w:pPr>
        <w:pStyle w:val="BodyTextIndent"/>
      </w:pPr>
      <w:r>
        <w:t>3. τις αρνητικές επιπτώσεις στο δίκτυο αποχέτευσης της έκπλυσης του προϊόντος κάτω από τον αγωγό.</w:t>
      </w:r>
    </w:p>
    <w:p w14:paraId="60EF4B35" w14:textId="2026A723" w:rsidR="00646F34" w:rsidRDefault="00646F34" w:rsidP="00646F34">
      <w:pPr>
        <w:pStyle w:val="BodyTextIndent"/>
      </w:pPr>
      <w:r>
        <w:t xml:space="preserve">Οι πληροφορίες συμβάλλουν στη διασφάλιση του κατάλληλου χειρισμού των αποβλήτων από πλαστικά προϊόντα μιας χρήσης και στη μείωση της δημιουργίας απορριμμάτων. </w:t>
      </w:r>
    </w:p>
    <w:p w14:paraId="28D3751E" w14:textId="4061BA52" w:rsidR="00A943CA" w:rsidRDefault="00646F34" w:rsidP="00646F34">
      <w:pPr>
        <w:pStyle w:val="BodyTextIndent"/>
        <w:rPr>
          <w:b/>
        </w:rPr>
      </w:pPr>
      <w:r>
        <w:t xml:space="preserve">Οι πληροφορίες πρέπει να είναι εύκολα προσβάσιμες, να ενθαρρύνουν την υπεύθυνη συμπεριφορά των καταναλωτών και να παρέχονται τακτικά. </w:t>
      </w:r>
      <w:bookmarkEnd w:id="16"/>
    </w:p>
    <w:p w14:paraId="45C9EC51" w14:textId="77777777" w:rsidR="00646F34" w:rsidRDefault="00646F34" w:rsidP="00646F34">
      <w:pPr>
        <w:pStyle w:val="BodyTextIndent"/>
        <w:rPr>
          <w:shd w:val="clear" w:color="auto" w:fill="FFFFFF"/>
        </w:rPr>
      </w:pPr>
    </w:p>
    <w:p w14:paraId="6E7BC699" w14:textId="74873BAA" w:rsidR="00646F34" w:rsidRDefault="00333168" w:rsidP="00646F34">
      <w:pPr>
        <w:pStyle w:val="BodyTextIndent"/>
        <w:ind w:firstLine="0"/>
      </w:pPr>
      <w:bookmarkStart w:id="17" w:name="_Hlk50113133"/>
      <w:r>
        <w:rPr>
          <w:b/>
        </w:rPr>
        <w:t>Άρθρο 28</w:t>
      </w:r>
      <w:r>
        <w:tab/>
        <w:t xml:space="preserve">Όσοι, στο πλαίσιο επαγγελματικής δραστηριότητας, προμηθεύουν πλαστικές σακούλες μεταφοράς στους καταναλωτές παρέχουν πληροφορίες σχετικά με: </w:t>
      </w:r>
    </w:p>
    <w:p w14:paraId="1D7EE05B" w14:textId="77777777" w:rsidR="00646F34" w:rsidRDefault="00646F34" w:rsidP="00646F34">
      <w:pPr>
        <w:pStyle w:val="BodyTextIndent"/>
      </w:pPr>
      <w:r>
        <w:t xml:space="preserve">1. τις περιβαλλοντικές επιπτώσεις των πλαστικών σακουλών μεταφοράς και τα οφέλη της μειωμένης κατανάλωσης πλαστικών σακουλών μεταφοράς, και </w:t>
      </w:r>
    </w:p>
    <w:p w14:paraId="2771D7CE" w14:textId="05603BF4" w:rsidR="00646F34" w:rsidRDefault="00646F34" w:rsidP="00646F34">
      <w:pPr>
        <w:pStyle w:val="BodyTextIndent"/>
      </w:pPr>
      <w:r>
        <w:t>2. μέτρα που μπορούν να ληφθούν από τον καταναλωτή για τη μείωση της κατανάλωσης.</w:t>
      </w:r>
    </w:p>
    <w:p w14:paraId="5570BE05" w14:textId="14D7A4AB" w:rsidR="00646F34" w:rsidRDefault="00646F34" w:rsidP="00646F34">
      <w:pPr>
        <w:pStyle w:val="BodyTextIndent"/>
      </w:pPr>
      <w:r>
        <w:t xml:space="preserve">Η υποχρέωση παροχής πληροφοριών δεν ισχύει για τις πλαστικές σακούλες μεταφοράς: </w:t>
      </w:r>
    </w:p>
    <w:p w14:paraId="6136AAE5" w14:textId="21971FCC" w:rsidR="00646F34" w:rsidRDefault="00646F34" w:rsidP="00646F34">
      <w:pPr>
        <w:pStyle w:val="BodyTextIndent"/>
      </w:pPr>
      <w:r>
        <w:t>1. που παρέχονται από απόσταση· ή</w:t>
      </w:r>
    </w:p>
    <w:p w14:paraId="0946EE4F" w14:textId="77777777" w:rsidR="00646F34" w:rsidRPr="00F37459" w:rsidDel="00A4255D" w:rsidRDefault="00646F34" w:rsidP="00646F34">
      <w:pPr>
        <w:pStyle w:val="BodyTextIndent"/>
      </w:pPr>
      <w:r>
        <w:t>2. </w:t>
      </w:r>
      <w:bookmarkStart w:id="18" w:name="_Hlk52885097"/>
      <w:r>
        <w:t xml:space="preserve"> με τοίχωμα λεπτότερο από 15 microns που απαιτούνται για λόγους υγιεινής ή παρέχονται ως πρωτογενής συσκευασία για τρόφιμα που πωλούνται χύμα.</w:t>
      </w:r>
    </w:p>
    <w:bookmarkEnd w:id="17"/>
    <w:bookmarkEnd w:id="18"/>
    <w:p w14:paraId="0130FB62" w14:textId="77F6F09F" w:rsidR="00646F34" w:rsidRDefault="00646F34" w:rsidP="00646F34">
      <w:pPr>
        <w:pStyle w:val="BodyTextIndent"/>
      </w:pPr>
      <w:r>
        <w:t xml:space="preserve">Οι πληροφορίες πρέπει να είναι εύκολα προσβάσιμες, να ενθαρρύνουν την υπεύθυνη συμπεριφορά των καταναλωτών και να παρέχονται τακτικά. </w:t>
      </w:r>
    </w:p>
    <w:p w14:paraId="5779F367" w14:textId="77777777" w:rsidR="00D810C9" w:rsidRDefault="00D810C9" w:rsidP="00646F34">
      <w:pPr>
        <w:pStyle w:val="BodyTextIndent"/>
      </w:pPr>
    </w:p>
    <w:p w14:paraId="3A1F25D9" w14:textId="190F79FF" w:rsidR="00333168" w:rsidRDefault="00311E20" w:rsidP="00333168">
      <w:pPr>
        <w:pStyle w:val="BodyTextIndent"/>
        <w:ind w:firstLine="0"/>
      </w:pPr>
      <w:r>
        <w:rPr>
          <w:b/>
        </w:rPr>
        <w:t>Άρθρο 29</w:t>
      </w:r>
      <w:r>
        <w:tab/>
        <w:t xml:space="preserve">Στην περίπτωση των πλαστικών προϊόντων μιας χρήσης που αναφέρονται στο άρθρο 8 του διατάγματος (2021:000) σχετικά με τα τέλη δημιουργίας απορριμμάτων, η σουηδική υπηρεσία προστασίας του περιβάλλοντος ενημερώνει τους καταναλωτές σχετικά με: </w:t>
      </w:r>
    </w:p>
    <w:p w14:paraId="57FBCC86" w14:textId="7D329365" w:rsidR="00333168" w:rsidRDefault="00333168" w:rsidP="00333168">
      <w:pPr>
        <w:pStyle w:val="BodyTextIndent"/>
      </w:pPr>
      <w:r>
        <w:t xml:space="preserve">1. το πώς να αντιμετωπίζουν τα πλαστικά προϊόντα μιας χρήσης όταν γίνονται απόβλητα, </w:t>
      </w:r>
    </w:p>
    <w:p w14:paraId="71E21096" w14:textId="0E200B1D" w:rsidR="00333168" w:rsidRDefault="00333168" w:rsidP="00333168">
      <w:pPr>
        <w:pStyle w:val="BodyTextIndent"/>
      </w:pPr>
      <w:r>
        <w:t>2. τις δυσμενείς περιβαλλοντικές επιπτώσεις της δημιουργίας απορριμμάτων ή άλλης ακατάλληλης διάθεσης πλαστικών προϊόντων μιας χρήσης, και</w:t>
      </w:r>
    </w:p>
    <w:p w14:paraId="08A33784" w14:textId="28409F05" w:rsidR="00333168" w:rsidRDefault="00333168" w:rsidP="00333168">
      <w:pPr>
        <w:pStyle w:val="BodyTextIndent"/>
      </w:pPr>
      <w:r>
        <w:lastRenderedPageBreak/>
        <w:t>3. τις αρνητικές επιπτώσεις στο αποχετευτικό δίκτυο της έκπλυσης του πλαστικού προϊόντος μιας χρήσης στην αποχέτευση.</w:t>
      </w:r>
    </w:p>
    <w:p w14:paraId="78958184" w14:textId="0761D282" w:rsidR="00333168" w:rsidRDefault="00333168" w:rsidP="00333168">
      <w:pPr>
        <w:pStyle w:val="BodyTextIndent"/>
      </w:pPr>
      <w:bookmarkStart w:id="19" w:name="_Hlk85729959"/>
      <w:r>
        <w:t xml:space="preserve">Οι πληροφορίες συμβάλλουν στη διασφάλιση του κατάλληλου χειρισμού των αποβλήτων από πλαστικά προϊόντα μίας χρήσης και στη μείωση της δημιουργίας απορριμμάτων. </w:t>
      </w:r>
    </w:p>
    <w:bookmarkEnd w:id="19"/>
    <w:p w14:paraId="2FDE9192" w14:textId="05D60899" w:rsidR="00333168" w:rsidRPr="00F37459" w:rsidRDefault="00333168" w:rsidP="00646F34">
      <w:pPr>
        <w:pStyle w:val="BodyTextIndent"/>
      </w:pPr>
      <w:r>
        <w:t xml:space="preserve">Οι πληροφορίες πρέπει να είναι εύκολα προσβάσιμες, να ενθαρρύνουν την υπεύθυνη συμπεριφορά των καταναλωτών και να παρέχονται τακτικά. </w:t>
      </w:r>
    </w:p>
    <w:p w14:paraId="4F28984C" w14:textId="77777777" w:rsidR="00646F34" w:rsidRPr="004A5FA3" w:rsidRDefault="00646F34" w:rsidP="009E6D43">
      <w:pPr>
        <w:pStyle w:val="Heading4"/>
      </w:pPr>
      <w:r>
        <w:t>Παρακολούθηση της μείωσης της κατανάλωσης</w:t>
      </w:r>
    </w:p>
    <w:p w14:paraId="63677034" w14:textId="3A394BD8" w:rsidR="00646F34" w:rsidRDefault="00333168" w:rsidP="00646F34">
      <w:pPr>
        <w:pStyle w:val="BodyText"/>
      </w:pPr>
      <w:r>
        <w:rPr>
          <w:b/>
        </w:rPr>
        <w:t>Άρθρο 30</w:t>
      </w:r>
      <w:r>
        <w:t xml:space="preserve"> </w:t>
      </w:r>
      <w:bookmarkStart w:id="20" w:name="_Hlk39566463"/>
      <w:r>
        <w:t xml:space="preserve">Βάσει των πληροφοριών που παρέχονται βάσει του άρθρου 73 στοιχείο α) του διατάγματος (2018:1462) σχετικά με την ευθύνη του παραγωγού για τη συσκευασία, η σουηδική υπηρεσία προστασίας του περιβάλλοντος παρακολουθεί την κατανάλωση των εξής: </w:t>
      </w:r>
    </w:p>
    <w:p w14:paraId="124862F8" w14:textId="77777777" w:rsidR="00646F34" w:rsidRDefault="00646F34" w:rsidP="00646F34">
      <w:pPr>
        <w:pStyle w:val="BodyTextIndent"/>
      </w:pPr>
      <w:r>
        <w:t xml:space="preserve">1. ότι οι πλαστικές σακούλες μεταφοράς μειώνονται και η κατανάλωση λεπτών πλαστικών σακουλών μεταφοράς δεν υπερβαίνει τις 90 σακούλες ανά άτομο ετησίως από τις 31 Δεκεμβρίου 2019 και τις 40 σακούλες ανά άτομο ετησίως από τις 31 Δεκεμβρίου 2025, και </w:t>
      </w:r>
    </w:p>
    <w:p w14:paraId="7E098308" w14:textId="77777777" w:rsidR="00646F34" w:rsidRDefault="00646F34" w:rsidP="00646F34">
      <w:pPr>
        <w:pStyle w:val="BodyTextIndent"/>
      </w:pPr>
      <w:r>
        <w:t>2. Ότι τα κύπελλα και περιέκτες τροφίμων που είναι πλαστικά προϊόντα μιας χρήσης θα έχουν μειωθεί κατά 50 % κατά το ημερολογιακό έτος 2026 σε σύγκριση με την κατανάλωση κατά το ημερολογιακό έτος 2022.</w:t>
      </w:r>
    </w:p>
    <w:p w14:paraId="4DF4B9EC" w14:textId="77777777" w:rsidR="00646F34" w:rsidRDefault="00646F34" w:rsidP="00646F34">
      <w:pPr>
        <w:pStyle w:val="BodyTextIndent"/>
      </w:pPr>
      <w:r>
        <w:t xml:space="preserve">Ο υπολογισμός της κατανάλωσης λεπτών πλαστικών σακουλών μεταφοράς δεν περιλαμβάνει σακούλες μεταφοράς με πάχος λεπτότερο από 15 microns και: </w:t>
      </w:r>
    </w:p>
    <w:p w14:paraId="408D81DA" w14:textId="22F58FD7" w:rsidR="00646F34" w:rsidRDefault="00646F34" w:rsidP="00646F34">
      <w:pPr>
        <w:pStyle w:val="BodyTextIndent"/>
      </w:pPr>
      <w:r>
        <w:t xml:space="preserve">1. οι οποίες είναι απαραίτητες για λόγους υγιεινής, ή </w:t>
      </w:r>
    </w:p>
    <w:p w14:paraId="0FBB7059" w14:textId="77777777" w:rsidR="00646F34" w:rsidRPr="00E975B9" w:rsidRDefault="00646F34" w:rsidP="00646F34">
      <w:pPr>
        <w:pStyle w:val="BodyTextIndent"/>
      </w:pPr>
      <w:r>
        <w:t xml:space="preserve">2. παρέχονται ως πρωτογενής συσκευασία για τα τρόφιμα που πωλούνται χύμα. </w:t>
      </w:r>
    </w:p>
    <w:p w14:paraId="24D1CC3E" w14:textId="1A8EC138" w:rsidR="00646F34" w:rsidRDefault="00646F34" w:rsidP="00646F34">
      <w:pPr>
        <w:pStyle w:val="BodyTextIndent"/>
      </w:pPr>
      <w:r>
        <w:t>Εάν ο σουηδικός οργανισμός προστασίας του περιβάλλοντος κρίνει ότι η κατανάλωση πλαστικών σακουλών μεταφοράς και κυπέλλων και περιεκτών τροφίμων που είναι πλαστικά προϊόντα μιας χρήσης δεν μειώνεται ή ότι η κατανάλωση λεπτών πλαστικών σακουλών μεταφοράς θα υπερβεί τα επίπεδα που ορίζονται στην πρώτη παράγραφο, η σουηδική υπηρεσία προστασίας του περιβάλλοντος υποβάλλει προτάσεις στην κυβέρνηση για τη λήψη κατάλληλων μέτρων.</w:t>
      </w:r>
      <w:bookmarkEnd w:id="20"/>
    </w:p>
    <w:p w14:paraId="1F952C0F" w14:textId="77777777" w:rsidR="00646F34" w:rsidRPr="006047FF" w:rsidRDefault="00646F34" w:rsidP="009E6D43">
      <w:pPr>
        <w:pStyle w:val="Heading4"/>
      </w:pPr>
      <w:r>
        <w:t>Υποβολή εκθέσεων</w:t>
      </w:r>
    </w:p>
    <w:p w14:paraId="38C80481" w14:textId="725E6848" w:rsidR="00646F34" w:rsidRDefault="00333168" w:rsidP="00646F34">
      <w:pPr>
        <w:pStyle w:val="BodyText"/>
      </w:pPr>
      <w:r>
        <w:rPr>
          <w:b/>
        </w:rPr>
        <w:t>Άρθρο 31</w:t>
      </w:r>
      <w:r>
        <w:tab/>
        <w:t xml:space="preserve">Ο Οργανισμός Προστασίας του Περιβάλλοντος υποβάλλει έκθεση στην Ευρωπαϊκή Επιτροπή σύμφωνα με την οδηγία (ΕΕ) 2019/904 του Ευρωπαϊκού Κοινοβουλίου και του Συμβουλίου, της 5ης Ιουνίου 2019, σχετικά με τη μείωση των επιπτώσεων ορισμένων πλαστικών προϊόντων στο περιβάλλον, στην αρχική της διατύπωση. </w:t>
      </w:r>
    </w:p>
    <w:p w14:paraId="6C61A685" w14:textId="77777777" w:rsidR="00646F34" w:rsidRDefault="00646F34" w:rsidP="009E6D43">
      <w:pPr>
        <w:pStyle w:val="Heading4"/>
      </w:pPr>
      <w:r>
        <w:t>Εποπτεία</w:t>
      </w:r>
    </w:p>
    <w:p w14:paraId="793E3E77" w14:textId="37D380AB" w:rsidR="00646F34" w:rsidRDefault="00646F34" w:rsidP="00646F34">
      <w:pPr>
        <w:pStyle w:val="BodyTextIndent"/>
        <w:ind w:firstLine="0"/>
      </w:pPr>
      <w:bookmarkStart w:id="21" w:name="_Hlk49157704"/>
      <w:r>
        <w:rPr>
          <w:b/>
        </w:rPr>
        <w:t>Άρθρο 32</w:t>
      </w:r>
      <w:r>
        <w:tab/>
        <w:t xml:space="preserve">Το κεφάλαιο 2, και τα άρθρα 24 και 31 του διατάγματος (2011:13) σχετικά με την επιβολή της περιβαλλοντικής νομοθεσίας περιέχουν διατάξεις σχετικά με την εποπτεία. </w:t>
      </w:r>
    </w:p>
    <w:p w14:paraId="63EF48B3" w14:textId="77777777" w:rsidR="00646F34" w:rsidRDefault="00646F34" w:rsidP="009E6D43">
      <w:pPr>
        <w:pStyle w:val="Heading4"/>
      </w:pPr>
      <w:r>
        <w:t>Κυρώσεις</w:t>
      </w:r>
    </w:p>
    <w:p w14:paraId="6DC4E366" w14:textId="58C77F3B" w:rsidR="00646F34" w:rsidRDefault="00646F34" w:rsidP="00646F34">
      <w:pPr>
        <w:pStyle w:val="BodyText"/>
      </w:pPr>
      <w:r>
        <w:rPr>
          <w:b/>
        </w:rPr>
        <w:t>Άρθρο 33</w:t>
      </w:r>
      <w:r>
        <w:tab/>
        <w:t>Το διάταγμα (2012: 259) σχετικά με τα τέλη περιβαλλοντικών κυρώσεων περιέχει διατάξεις σχετικά με τα τέλη περιβαλλοντικών κυρώσεων.</w:t>
      </w:r>
      <w:bookmarkEnd w:id="21"/>
    </w:p>
    <w:p w14:paraId="3554C13B" w14:textId="79257F9C" w:rsidR="00646F34" w:rsidRDefault="00C6508D" w:rsidP="00C6508D">
      <w:pPr>
        <w:pStyle w:val="Heading4"/>
      </w:pPr>
      <w:r>
        <w:lastRenderedPageBreak/>
        <w:t>Εξουσιοδότηση για την έκδοση κανονισμών σχετικά με την επιβολή της νομοθεσίας</w:t>
      </w:r>
    </w:p>
    <w:p w14:paraId="0F85D3F8" w14:textId="4FB63265" w:rsidR="00646F34" w:rsidRDefault="00646F34" w:rsidP="00646F34">
      <w:pPr>
        <w:pStyle w:val="BodyText"/>
      </w:pPr>
      <w:r>
        <w:rPr>
          <w:b/>
        </w:rPr>
        <w:t xml:space="preserve"> Άρθρο 34</w:t>
      </w:r>
      <w:r>
        <w:tab/>
        <w:t>Ο σουηδικός οργανισμός προστασίας του περιβάλλοντος μπορεί να εκδίδει κανονισμούς σχετικά με την εφαρμογή του παρόντος διατάγματος.</w:t>
      </w:r>
    </w:p>
    <w:p w14:paraId="1C219B46" w14:textId="77777777" w:rsidR="00646F34" w:rsidRPr="00811E52" w:rsidRDefault="00646F34" w:rsidP="00646F34">
      <w:pPr>
        <w:pStyle w:val="Slutstreck"/>
      </w:pPr>
      <w:r>
        <w:t>                      </w:t>
      </w:r>
    </w:p>
    <w:p w14:paraId="504E9F86" w14:textId="64A3F615" w:rsidR="00646F34" w:rsidRDefault="00646F34" w:rsidP="00646F34">
      <w:pPr>
        <w:pStyle w:val="BodyTextIndent"/>
      </w:pPr>
      <w:r>
        <w:t>1. Το παρόν διάταγμα τίθεται σε ισχύ στις 30 Απριλίου 2022 όσον αφορά το άρθρο 13, την 1η Ιανουαρίου 2024 όσον αφορά τα άρθρα 14 και 17-22 και κατά τα λοιπά την 1η Ιανουαρίου 2022.</w:t>
      </w:r>
    </w:p>
    <w:p w14:paraId="734AC260" w14:textId="6E9AF961" w:rsidR="00646F34" w:rsidRPr="00830602" w:rsidRDefault="00646F34" w:rsidP="00646F34">
      <w:pPr>
        <w:pStyle w:val="BodyTextIndent"/>
      </w:pPr>
      <w:r>
        <w:t>2. Το διάταγμα καταργεί το διάταγμα (2016:1041) σχετικά με τις πλαστικές σακούλες μεταφοράς.</w:t>
      </w:r>
    </w:p>
    <w:p w14:paraId="605E44B0" w14:textId="77777777" w:rsidR="0084605D" w:rsidRDefault="0084605D" w:rsidP="00C24693">
      <w:pPr>
        <w:pStyle w:val="BodyText"/>
        <w:keepNext/>
        <w:keepLines/>
      </w:pPr>
    </w:p>
    <w:p w14:paraId="41459E47" w14:textId="0F44E051" w:rsidR="00E95ADF" w:rsidRDefault="00E95ADF" w:rsidP="00C24693">
      <w:pPr>
        <w:pStyle w:val="BodyText"/>
        <w:keepNext/>
        <w:keepLines/>
      </w:pPr>
      <w:r>
        <w:t>Για την κυβέρνηση</w:t>
      </w:r>
    </w:p>
    <w:p w14:paraId="26D5D373" w14:textId="77777777" w:rsidR="00E95ADF" w:rsidRDefault="00E95ADF" w:rsidP="00C24693">
      <w:pPr>
        <w:pStyle w:val="BodyText"/>
        <w:keepNext/>
        <w:keepLines/>
      </w:pPr>
    </w:p>
    <w:p w14:paraId="741DAB74" w14:textId="39EAF410" w:rsidR="00E95ADF" w:rsidRPr="003037A4" w:rsidRDefault="0084605D" w:rsidP="00C24693">
      <w:pPr>
        <w:pStyle w:val="BodyText"/>
        <w:keepNext/>
        <w:keepLines/>
        <w:rPr>
          <w:caps/>
        </w:rPr>
      </w:pPr>
      <w:r>
        <w:rPr>
          <w:caps/>
        </w:rPr>
        <w:t>PER BOLUND</w:t>
      </w:r>
    </w:p>
    <w:p w14:paraId="314788B0" w14:textId="490808DB" w:rsidR="00E95ADF" w:rsidRDefault="00E95ADF" w:rsidP="00C24693">
      <w:pPr>
        <w:pStyle w:val="BodyText"/>
        <w:keepNext/>
        <w:keepLines/>
        <w:tabs>
          <w:tab w:val="left" w:pos="3827"/>
        </w:tabs>
        <w:ind w:left="3827" w:hanging="3827"/>
        <w:jc w:val="left"/>
      </w:pPr>
      <w:r>
        <w:tab/>
        <w:t>Maria Jonsson</w:t>
      </w:r>
    </w:p>
    <w:p w14:paraId="2053920B" w14:textId="63A1370F" w:rsidR="00E95ADF" w:rsidRDefault="00E95ADF" w:rsidP="00C24693">
      <w:pPr>
        <w:pStyle w:val="BodyText"/>
        <w:keepLines/>
        <w:tabs>
          <w:tab w:val="left" w:pos="3827"/>
        </w:tabs>
        <w:ind w:left="3827" w:hanging="3827"/>
        <w:jc w:val="left"/>
      </w:pPr>
      <w:r>
        <w:tab/>
        <w:t>(Υπουργείο Περιβάλλοντος)</w:t>
      </w:r>
    </w:p>
    <w:p w14:paraId="5ED46A6A" w14:textId="77777777" w:rsidR="00FE7D41" w:rsidRPr="00FE7D41" w:rsidRDefault="00FE7D41" w:rsidP="00FE7D41">
      <w:pPr>
        <w:pStyle w:val="BodyTextIndent"/>
      </w:pPr>
    </w:p>
    <w:sectPr w:rsidR="00FE7D41" w:rsidRPr="00FE7D41" w:rsidSect="00B045CC">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DFB82" w14:textId="77777777" w:rsidR="008D0E57" w:rsidRDefault="008D0E57" w:rsidP="00680442">
      <w:r>
        <w:separator/>
      </w:r>
    </w:p>
  </w:endnote>
  <w:endnote w:type="continuationSeparator" w:id="0">
    <w:p w14:paraId="3C88486D" w14:textId="77777777" w:rsidR="008D0E57" w:rsidRDefault="008D0E57" w:rsidP="00680442">
      <w:r>
        <w:continuationSeparator/>
      </w:r>
    </w:p>
  </w:endnote>
  <w:endnote w:type="continuationNotice" w:id="1">
    <w:p w14:paraId="24191196" w14:textId="77777777" w:rsidR="008D0E57" w:rsidRDefault="008D0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4DED" w14:textId="77777777" w:rsidR="00CE5660" w:rsidRDefault="00CE5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AEBF" w14:textId="77777777" w:rsidR="00CE5660" w:rsidRDefault="00CE5660" w:rsidP="00CE05BB">
    <w:pPr>
      <w:pStyle w:val="Footer"/>
    </w:pPr>
    <w:r>
      <w:rPr>
        <w:noProof/>
      </w:rPr>
      <mc:AlternateContent>
        <mc:Choice Requires="wps">
          <w:drawing>
            <wp:anchor distT="0" distB="0" distL="114300" distR="114300" simplePos="0" relativeHeight="251657216" behindDoc="0" locked="0" layoutInCell="1" allowOverlap="1" wp14:anchorId="2FECE3E4" wp14:editId="2DEF5DB2">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492BE" w14:textId="77777777" w:rsidR="00CE5660" w:rsidRDefault="00CE5660" w:rsidP="004043E4">
                          <w:pPr>
                            <w:pStyle w:val="BodyText"/>
                            <w:jc w:val="right"/>
                          </w:pPr>
                          <w:r>
                            <w:fldChar w:fldCharType="begin"/>
                          </w:r>
                          <w:r>
                            <w:instrText>PAGE   \* MERGEFORMAT</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CE3E4"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1C5492BE" w14:textId="77777777" w:rsidR="00CE5660" w:rsidRDefault="00CE5660" w:rsidP="004043E4">
                    <w:pPr>
                      <w:pStyle w:val="BodyText"/>
                      <w:jc w:val="right"/>
                    </w:pPr>
                    <w:r>
                      <w:fldChar w:fldCharType="begin"/>
                    </w:r>
                    <w:r>
                      <w:instrText>PAGE   \* MERGEFORMAT</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BFE7" w14:textId="77777777" w:rsidR="00CE5660" w:rsidRDefault="00CE5660" w:rsidP="00CE05BB">
    <w:pPr>
      <w:pStyle w:val="Footer"/>
    </w:pPr>
    <w:r>
      <w:rPr>
        <w:noProof/>
      </w:rPr>
      <mc:AlternateContent>
        <mc:Choice Requires="wps">
          <w:drawing>
            <wp:anchor distT="0" distB="0" distL="114300" distR="114300" simplePos="0" relativeHeight="251656192" behindDoc="0" locked="0" layoutInCell="1" allowOverlap="1" wp14:anchorId="52EA5486" wp14:editId="02B970E0">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4C27F" w14:textId="77777777" w:rsidR="00CE5660" w:rsidRDefault="00CE5660" w:rsidP="005B2C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A548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P7dw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" fillcolor="white [3201]" stroked="f" strokeweight=".5pt">
              <v:textbox>
                <w:txbxContent>
                  <w:p w14:paraId="3434C27F" w14:textId="77777777" w:rsidR="00CE5660" w:rsidRDefault="00CE5660" w:rsidP="005B2C6E">
                    <w:pPr>
                      <w:pStyle w:val="Body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02BA5" w14:textId="77777777" w:rsidR="008D0E57" w:rsidRDefault="008D0E57" w:rsidP="00680442"/>
  </w:footnote>
  <w:footnote w:type="continuationSeparator" w:id="0">
    <w:p w14:paraId="07BC898B" w14:textId="77777777" w:rsidR="008D0E57" w:rsidRPr="00C26807" w:rsidRDefault="008D0E57" w:rsidP="00C26807">
      <w:pPr>
        <w:pStyle w:val="Footer"/>
      </w:pPr>
    </w:p>
  </w:footnote>
  <w:footnote w:type="continuationNotice" w:id="1">
    <w:p w14:paraId="69521840" w14:textId="77777777" w:rsidR="008D0E57" w:rsidRDefault="008D0E57"/>
  </w:footnote>
  <w:footnote w:id="2">
    <w:p w14:paraId="4FE7E27D" w14:textId="77777777" w:rsidR="00CE5660" w:rsidRDefault="00CE5660" w:rsidP="00211C2C">
      <w:pPr>
        <w:pStyle w:val="FootnoteText"/>
      </w:pPr>
      <w:r>
        <w:rPr>
          <w:rStyle w:val="FootnoteReference"/>
        </w:rPr>
        <w:footnoteRef/>
      </w:r>
      <w:r>
        <w:t xml:space="preserve"> Βλ. οδηγία (ΕΕ) 2019/904 του Ευρωπαϊκού Κοινοβουλίου και του Συμβουλίου, της 5ης Ιουνίου 2019, σχετικά με τη μείωση των επιπτώσεων ορισμένων πλαστικών προϊόντων στο περιβάλλον, στην αρχική διατύπωση. Βλέπε επίσης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p w14:paraId="6A98EB38" w14:textId="0DE8A2D1" w:rsidR="00CE5660" w:rsidRDefault="00CE56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10D4" w14:textId="77777777" w:rsidR="00CE5660" w:rsidRDefault="008D0E57">
    <w:pPr>
      <w:pStyle w:val="Header"/>
    </w:pPr>
    <w:r>
      <w:pict w14:anchorId="24E92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ΔΟΚΙΜΑΣΤΙΚΟ ΕΓΓΡΑΦΟ, ΜΗ ΕΓΚΥΡΟ ΕΓΓΡΑΦ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2C90" w14:textId="77777777" w:rsidR="00CE5660" w:rsidRDefault="00CE5660" w:rsidP="00F77ABC">
    <w:pPr>
      <w:pStyle w:val="Header"/>
      <w:jc w:val="right"/>
    </w:pPr>
    <w:r>
      <w:rPr>
        <w:noProof/>
      </w:rPr>
      <mc:AlternateContent>
        <mc:Choice Requires="wps">
          <w:drawing>
            <wp:anchor distT="0" distB="0" distL="114300" distR="114300" simplePos="0" relativeHeight="251658240" behindDoc="0" locked="0" layoutInCell="1" allowOverlap="1" wp14:anchorId="20DA6EBC" wp14:editId="76D6F7C9">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BECD6" w14:textId="77777777" w:rsidR="00CE5660" w:rsidRPr="001974BD" w:rsidRDefault="00CE5660"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A6EBC"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1F2BECD6" w14:textId="77777777" w:rsidR="00CE5660" w:rsidRPr="001974BD" w:rsidRDefault="00CE5660" w:rsidP="00B90519">
                    <w:pPr>
                      <w:rPr>
                        <w:b/>
                        <w:sz w:val="22"/>
                        <w:szCs w:val="22"/>
                      </w:rPr>
                    </w:pPr>
                    <w:r>
                      <w:rPr>
                        <w:b/>
                        <w:sz w:val="22"/>
                      </w:rPr>
                      <w:t>SFS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51EC" w14:textId="77777777" w:rsidR="00CE5660" w:rsidRDefault="00CE5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641D6"/>
    <w:multiLevelType w:val="hybridMultilevel"/>
    <w:tmpl w:val="CDE461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80441405">
    <w:abstractNumId w:val="8"/>
  </w:num>
  <w:num w:numId="2" w16cid:durableId="2010524961">
    <w:abstractNumId w:val="8"/>
  </w:num>
  <w:num w:numId="3" w16cid:durableId="982394482">
    <w:abstractNumId w:val="3"/>
  </w:num>
  <w:num w:numId="4" w16cid:durableId="1190795848">
    <w:abstractNumId w:val="2"/>
  </w:num>
  <w:num w:numId="5" w16cid:durableId="1913470592">
    <w:abstractNumId w:val="1"/>
  </w:num>
  <w:num w:numId="6" w16cid:durableId="833640625">
    <w:abstractNumId w:val="0"/>
  </w:num>
  <w:num w:numId="7" w16cid:durableId="624120107">
    <w:abstractNumId w:val="9"/>
  </w:num>
  <w:num w:numId="8" w16cid:durableId="669529714">
    <w:abstractNumId w:val="7"/>
  </w:num>
  <w:num w:numId="9" w16cid:durableId="2043823853">
    <w:abstractNumId w:val="6"/>
  </w:num>
  <w:num w:numId="10" w16cid:durableId="869538185">
    <w:abstractNumId w:val="5"/>
  </w:num>
  <w:num w:numId="11" w16cid:durableId="960038782">
    <w:abstractNumId w:val="4"/>
  </w:num>
  <w:num w:numId="12" w16cid:durableId="958948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hideGrammaticalErrors/>
  <w:proofState w:spelling="clean" w:grammar="clean"/>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34"/>
    <w:rsid w:val="00014844"/>
    <w:rsid w:val="000217E0"/>
    <w:rsid w:val="000309B4"/>
    <w:rsid w:val="00054B0D"/>
    <w:rsid w:val="00060726"/>
    <w:rsid w:val="00062643"/>
    <w:rsid w:val="00065778"/>
    <w:rsid w:val="000776E6"/>
    <w:rsid w:val="00087E73"/>
    <w:rsid w:val="00091696"/>
    <w:rsid w:val="0009400A"/>
    <w:rsid w:val="000963A0"/>
    <w:rsid w:val="000A1BCC"/>
    <w:rsid w:val="000A437D"/>
    <w:rsid w:val="000A6C2B"/>
    <w:rsid w:val="000B072E"/>
    <w:rsid w:val="000B36C7"/>
    <w:rsid w:val="000B7FEB"/>
    <w:rsid w:val="000C42B0"/>
    <w:rsid w:val="000D3E9A"/>
    <w:rsid w:val="000D56FC"/>
    <w:rsid w:val="000D5E85"/>
    <w:rsid w:val="000F3D5F"/>
    <w:rsid w:val="000F7435"/>
    <w:rsid w:val="00100E2C"/>
    <w:rsid w:val="00122CF5"/>
    <w:rsid w:val="00131A73"/>
    <w:rsid w:val="00132BD5"/>
    <w:rsid w:val="00135F8C"/>
    <w:rsid w:val="001409E8"/>
    <w:rsid w:val="001563DC"/>
    <w:rsid w:val="00162B76"/>
    <w:rsid w:val="00165B5E"/>
    <w:rsid w:val="00167E63"/>
    <w:rsid w:val="00175988"/>
    <w:rsid w:val="00181BC1"/>
    <w:rsid w:val="001974BD"/>
    <w:rsid w:val="001A716D"/>
    <w:rsid w:val="001B4DB6"/>
    <w:rsid w:val="001D2D45"/>
    <w:rsid w:val="001D7E3D"/>
    <w:rsid w:val="001E43C6"/>
    <w:rsid w:val="001F4FE9"/>
    <w:rsid w:val="00201C96"/>
    <w:rsid w:val="00205B38"/>
    <w:rsid w:val="00211C2C"/>
    <w:rsid w:val="002124E1"/>
    <w:rsid w:val="00215412"/>
    <w:rsid w:val="00224C44"/>
    <w:rsid w:val="00232439"/>
    <w:rsid w:val="0023447C"/>
    <w:rsid w:val="00236E12"/>
    <w:rsid w:val="002576A9"/>
    <w:rsid w:val="00264764"/>
    <w:rsid w:val="00267351"/>
    <w:rsid w:val="002767C4"/>
    <w:rsid w:val="00276BA7"/>
    <w:rsid w:val="002804CB"/>
    <w:rsid w:val="0029295C"/>
    <w:rsid w:val="002949DD"/>
    <w:rsid w:val="002A76C1"/>
    <w:rsid w:val="002B3871"/>
    <w:rsid w:val="002B452D"/>
    <w:rsid w:val="002C0BBF"/>
    <w:rsid w:val="002D247A"/>
    <w:rsid w:val="002D3D78"/>
    <w:rsid w:val="002F68D4"/>
    <w:rsid w:val="00301819"/>
    <w:rsid w:val="00311E20"/>
    <w:rsid w:val="003216FD"/>
    <w:rsid w:val="00323010"/>
    <w:rsid w:val="00330A7B"/>
    <w:rsid w:val="00332533"/>
    <w:rsid w:val="00333168"/>
    <w:rsid w:val="00333E47"/>
    <w:rsid w:val="00335129"/>
    <w:rsid w:val="00343A99"/>
    <w:rsid w:val="00344B4A"/>
    <w:rsid w:val="00350B0F"/>
    <w:rsid w:val="0035181A"/>
    <w:rsid w:val="00353EE4"/>
    <w:rsid w:val="00355D64"/>
    <w:rsid w:val="003627A1"/>
    <w:rsid w:val="003642F1"/>
    <w:rsid w:val="00364629"/>
    <w:rsid w:val="003661D1"/>
    <w:rsid w:val="00367C3F"/>
    <w:rsid w:val="0037085F"/>
    <w:rsid w:val="003A300E"/>
    <w:rsid w:val="003B4B65"/>
    <w:rsid w:val="003C1B39"/>
    <w:rsid w:val="003C5D66"/>
    <w:rsid w:val="003E4858"/>
    <w:rsid w:val="003E7C57"/>
    <w:rsid w:val="004043E4"/>
    <w:rsid w:val="00420647"/>
    <w:rsid w:val="0042754D"/>
    <w:rsid w:val="0044098C"/>
    <w:rsid w:val="00440A07"/>
    <w:rsid w:val="0044715B"/>
    <w:rsid w:val="00460C4D"/>
    <w:rsid w:val="00461C46"/>
    <w:rsid w:val="00461D7A"/>
    <w:rsid w:val="004630CE"/>
    <w:rsid w:val="00465E8F"/>
    <w:rsid w:val="00467E22"/>
    <w:rsid w:val="00467F48"/>
    <w:rsid w:val="0047191E"/>
    <w:rsid w:val="00475117"/>
    <w:rsid w:val="00475F84"/>
    <w:rsid w:val="00482DD1"/>
    <w:rsid w:val="00487A84"/>
    <w:rsid w:val="00496903"/>
    <w:rsid w:val="00496B57"/>
    <w:rsid w:val="004A3C1C"/>
    <w:rsid w:val="004A728C"/>
    <w:rsid w:val="004B6A07"/>
    <w:rsid w:val="004B7FD3"/>
    <w:rsid w:val="004C2E93"/>
    <w:rsid w:val="004E0106"/>
    <w:rsid w:val="004E0DAA"/>
    <w:rsid w:val="004E1ACE"/>
    <w:rsid w:val="004E4DE2"/>
    <w:rsid w:val="004F0BBC"/>
    <w:rsid w:val="004F112E"/>
    <w:rsid w:val="00506527"/>
    <w:rsid w:val="00527561"/>
    <w:rsid w:val="005373FC"/>
    <w:rsid w:val="0055154B"/>
    <w:rsid w:val="00561BFC"/>
    <w:rsid w:val="00562B95"/>
    <w:rsid w:val="00564C23"/>
    <w:rsid w:val="00565A67"/>
    <w:rsid w:val="00580393"/>
    <w:rsid w:val="00585B17"/>
    <w:rsid w:val="005B0C13"/>
    <w:rsid w:val="005B2C6E"/>
    <w:rsid w:val="005B3A26"/>
    <w:rsid w:val="005B7784"/>
    <w:rsid w:val="005C210E"/>
    <w:rsid w:val="005C6B0C"/>
    <w:rsid w:val="005E410F"/>
    <w:rsid w:val="005E781A"/>
    <w:rsid w:val="005F3664"/>
    <w:rsid w:val="005F5448"/>
    <w:rsid w:val="005F75D2"/>
    <w:rsid w:val="005F7A7D"/>
    <w:rsid w:val="006017CA"/>
    <w:rsid w:val="00601CF4"/>
    <w:rsid w:val="00615D62"/>
    <w:rsid w:val="006178BF"/>
    <w:rsid w:val="00624653"/>
    <w:rsid w:val="006413A7"/>
    <w:rsid w:val="0064475F"/>
    <w:rsid w:val="00646F34"/>
    <w:rsid w:val="006734C6"/>
    <w:rsid w:val="0067379D"/>
    <w:rsid w:val="00674A58"/>
    <w:rsid w:val="00680442"/>
    <w:rsid w:val="0068520B"/>
    <w:rsid w:val="006856DB"/>
    <w:rsid w:val="00685BA1"/>
    <w:rsid w:val="00691E87"/>
    <w:rsid w:val="006972B7"/>
    <w:rsid w:val="006A189D"/>
    <w:rsid w:val="006A31EA"/>
    <w:rsid w:val="006A5C76"/>
    <w:rsid w:val="006A6EF2"/>
    <w:rsid w:val="006B1487"/>
    <w:rsid w:val="006B54FB"/>
    <w:rsid w:val="006C2353"/>
    <w:rsid w:val="006C3DF6"/>
    <w:rsid w:val="006C4712"/>
    <w:rsid w:val="006D0B9D"/>
    <w:rsid w:val="006E7380"/>
    <w:rsid w:val="006F3EF0"/>
    <w:rsid w:val="00701597"/>
    <w:rsid w:val="00705CF7"/>
    <w:rsid w:val="00711FBF"/>
    <w:rsid w:val="007141EE"/>
    <w:rsid w:val="00715836"/>
    <w:rsid w:val="00731454"/>
    <w:rsid w:val="00732438"/>
    <w:rsid w:val="00732889"/>
    <w:rsid w:val="00732900"/>
    <w:rsid w:val="00736FD8"/>
    <w:rsid w:val="00753F80"/>
    <w:rsid w:val="007623A9"/>
    <w:rsid w:val="007708C2"/>
    <w:rsid w:val="0078709D"/>
    <w:rsid w:val="0078756A"/>
    <w:rsid w:val="007878C2"/>
    <w:rsid w:val="00790DED"/>
    <w:rsid w:val="007A10EE"/>
    <w:rsid w:val="007A4814"/>
    <w:rsid w:val="007A5642"/>
    <w:rsid w:val="007A61CF"/>
    <w:rsid w:val="007B32A1"/>
    <w:rsid w:val="007B5968"/>
    <w:rsid w:val="007C0C0F"/>
    <w:rsid w:val="007E6B31"/>
    <w:rsid w:val="007E75A3"/>
    <w:rsid w:val="007F7FC2"/>
    <w:rsid w:val="00805987"/>
    <w:rsid w:val="00831B5C"/>
    <w:rsid w:val="0083514C"/>
    <w:rsid w:val="00835AE2"/>
    <w:rsid w:val="00836C52"/>
    <w:rsid w:val="00836E0C"/>
    <w:rsid w:val="00837A93"/>
    <w:rsid w:val="0084384D"/>
    <w:rsid w:val="0084605D"/>
    <w:rsid w:val="008579BD"/>
    <w:rsid w:val="00865506"/>
    <w:rsid w:val="00870B91"/>
    <w:rsid w:val="00871B1E"/>
    <w:rsid w:val="0088045A"/>
    <w:rsid w:val="00887A99"/>
    <w:rsid w:val="008938FE"/>
    <w:rsid w:val="008A4F77"/>
    <w:rsid w:val="008A56A3"/>
    <w:rsid w:val="008B4876"/>
    <w:rsid w:val="008C6DE9"/>
    <w:rsid w:val="008D0E57"/>
    <w:rsid w:val="008D7DFB"/>
    <w:rsid w:val="008E3B11"/>
    <w:rsid w:val="008E6436"/>
    <w:rsid w:val="008E7A90"/>
    <w:rsid w:val="008F6E7A"/>
    <w:rsid w:val="008F6EEA"/>
    <w:rsid w:val="009105CE"/>
    <w:rsid w:val="00917859"/>
    <w:rsid w:val="009201AC"/>
    <w:rsid w:val="009331C6"/>
    <w:rsid w:val="00933D9C"/>
    <w:rsid w:val="00944A0C"/>
    <w:rsid w:val="009553B2"/>
    <w:rsid w:val="00984BC8"/>
    <w:rsid w:val="0098565F"/>
    <w:rsid w:val="0099266E"/>
    <w:rsid w:val="00993A25"/>
    <w:rsid w:val="009A32BD"/>
    <w:rsid w:val="009A51AC"/>
    <w:rsid w:val="009B701B"/>
    <w:rsid w:val="009C4782"/>
    <w:rsid w:val="009C5A21"/>
    <w:rsid w:val="009D070E"/>
    <w:rsid w:val="009D46CD"/>
    <w:rsid w:val="009D6C25"/>
    <w:rsid w:val="009D7413"/>
    <w:rsid w:val="009D7436"/>
    <w:rsid w:val="009E0463"/>
    <w:rsid w:val="009E6722"/>
    <w:rsid w:val="009E6D43"/>
    <w:rsid w:val="009F3E51"/>
    <w:rsid w:val="009F4194"/>
    <w:rsid w:val="009F4B8F"/>
    <w:rsid w:val="009F60E3"/>
    <w:rsid w:val="009F63BA"/>
    <w:rsid w:val="00A10981"/>
    <w:rsid w:val="00A11BA4"/>
    <w:rsid w:val="00A33D04"/>
    <w:rsid w:val="00A53593"/>
    <w:rsid w:val="00A619D9"/>
    <w:rsid w:val="00A71376"/>
    <w:rsid w:val="00A8757F"/>
    <w:rsid w:val="00A943CA"/>
    <w:rsid w:val="00A94B58"/>
    <w:rsid w:val="00A953B2"/>
    <w:rsid w:val="00AA35F7"/>
    <w:rsid w:val="00AA4011"/>
    <w:rsid w:val="00AC565C"/>
    <w:rsid w:val="00AE1FEB"/>
    <w:rsid w:val="00AF246E"/>
    <w:rsid w:val="00B045CC"/>
    <w:rsid w:val="00B13367"/>
    <w:rsid w:val="00B13451"/>
    <w:rsid w:val="00B178AA"/>
    <w:rsid w:val="00B316D7"/>
    <w:rsid w:val="00B32DD6"/>
    <w:rsid w:val="00B346FF"/>
    <w:rsid w:val="00B412A6"/>
    <w:rsid w:val="00B47C04"/>
    <w:rsid w:val="00B53E93"/>
    <w:rsid w:val="00B54292"/>
    <w:rsid w:val="00B60D5E"/>
    <w:rsid w:val="00B65511"/>
    <w:rsid w:val="00B7501B"/>
    <w:rsid w:val="00B90519"/>
    <w:rsid w:val="00B92773"/>
    <w:rsid w:val="00B92D7E"/>
    <w:rsid w:val="00B92EB6"/>
    <w:rsid w:val="00BA0591"/>
    <w:rsid w:val="00BA397F"/>
    <w:rsid w:val="00BA7AC5"/>
    <w:rsid w:val="00BC1B38"/>
    <w:rsid w:val="00BC1BFA"/>
    <w:rsid w:val="00BC3E60"/>
    <w:rsid w:val="00BC4608"/>
    <w:rsid w:val="00BC60E8"/>
    <w:rsid w:val="00BC6DC4"/>
    <w:rsid w:val="00BC7154"/>
    <w:rsid w:val="00BC79BB"/>
    <w:rsid w:val="00BD3925"/>
    <w:rsid w:val="00BE1774"/>
    <w:rsid w:val="00BF022A"/>
    <w:rsid w:val="00BF16AF"/>
    <w:rsid w:val="00C126DB"/>
    <w:rsid w:val="00C21A7B"/>
    <w:rsid w:val="00C221CE"/>
    <w:rsid w:val="00C24693"/>
    <w:rsid w:val="00C25750"/>
    <w:rsid w:val="00C25CB0"/>
    <w:rsid w:val="00C26807"/>
    <w:rsid w:val="00C47474"/>
    <w:rsid w:val="00C64668"/>
    <w:rsid w:val="00C6508D"/>
    <w:rsid w:val="00C71C42"/>
    <w:rsid w:val="00C728AE"/>
    <w:rsid w:val="00C73C3C"/>
    <w:rsid w:val="00C747CC"/>
    <w:rsid w:val="00C8494D"/>
    <w:rsid w:val="00C96BEF"/>
    <w:rsid w:val="00CB0127"/>
    <w:rsid w:val="00CB0950"/>
    <w:rsid w:val="00CE05BB"/>
    <w:rsid w:val="00CE5660"/>
    <w:rsid w:val="00CE5EC6"/>
    <w:rsid w:val="00CF03E7"/>
    <w:rsid w:val="00CF5001"/>
    <w:rsid w:val="00CF79ED"/>
    <w:rsid w:val="00D001EA"/>
    <w:rsid w:val="00D107EB"/>
    <w:rsid w:val="00D20572"/>
    <w:rsid w:val="00D25FEB"/>
    <w:rsid w:val="00D318CA"/>
    <w:rsid w:val="00D34DA7"/>
    <w:rsid w:val="00D3638D"/>
    <w:rsid w:val="00D4217D"/>
    <w:rsid w:val="00D42A87"/>
    <w:rsid w:val="00D441D7"/>
    <w:rsid w:val="00D44AC9"/>
    <w:rsid w:val="00D45C8D"/>
    <w:rsid w:val="00D50A6F"/>
    <w:rsid w:val="00D526A3"/>
    <w:rsid w:val="00D54E0F"/>
    <w:rsid w:val="00D65A6A"/>
    <w:rsid w:val="00D70F12"/>
    <w:rsid w:val="00D71BB8"/>
    <w:rsid w:val="00D72FA5"/>
    <w:rsid w:val="00D74117"/>
    <w:rsid w:val="00D810C9"/>
    <w:rsid w:val="00DB779F"/>
    <w:rsid w:val="00DD0175"/>
    <w:rsid w:val="00DD0E37"/>
    <w:rsid w:val="00DD64FA"/>
    <w:rsid w:val="00DE0B69"/>
    <w:rsid w:val="00DE4842"/>
    <w:rsid w:val="00DE5075"/>
    <w:rsid w:val="00DE5B23"/>
    <w:rsid w:val="00DF2B87"/>
    <w:rsid w:val="00DF648E"/>
    <w:rsid w:val="00DF68E0"/>
    <w:rsid w:val="00DF7898"/>
    <w:rsid w:val="00E1310A"/>
    <w:rsid w:val="00E20D3E"/>
    <w:rsid w:val="00E21E6F"/>
    <w:rsid w:val="00E373D5"/>
    <w:rsid w:val="00E37BB1"/>
    <w:rsid w:val="00E52CB7"/>
    <w:rsid w:val="00E65F76"/>
    <w:rsid w:val="00E80832"/>
    <w:rsid w:val="00E850EC"/>
    <w:rsid w:val="00E95ADF"/>
    <w:rsid w:val="00E967A2"/>
    <w:rsid w:val="00EA0AB8"/>
    <w:rsid w:val="00EA1496"/>
    <w:rsid w:val="00EA2933"/>
    <w:rsid w:val="00EA30FD"/>
    <w:rsid w:val="00EA76D7"/>
    <w:rsid w:val="00EB47C6"/>
    <w:rsid w:val="00ED763F"/>
    <w:rsid w:val="00EE6222"/>
    <w:rsid w:val="00EE684D"/>
    <w:rsid w:val="00EF16E1"/>
    <w:rsid w:val="00EF521D"/>
    <w:rsid w:val="00EF57BC"/>
    <w:rsid w:val="00EF6220"/>
    <w:rsid w:val="00F04DDD"/>
    <w:rsid w:val="00F1229F"/>
    <w:rsid w:val="00F177EF"/>
    <w:rsid w:val="00F24B78"/>
    <w:rsid w:val="00F277AA"/>
    <w:rsid w:val="00F32750"/>
    <w:rsid w:val="00F549CD"/>
    <w:rsid w:val="00F608ED"/>
    <w:rsid w:val="00F70F1F"/>
    <w:rsid w:val="00F76190"/>
    <w:rsid w:val="00F77ABC"/>
    <w:rsid w:val="00F8416E"/>
    <w:rsid w:val="00F94D97"/>
    <w:rsid w:val="00FA1C3B"/>
    <w:rsid w:val="00FA3FC2"/>
    <w:rsid w:val="00FA4314"/>
    <w:rsid w:val="00FB1396"/>
    <w:rsid w:val="00FB2CB0"/>
    <w:rsid w:val="00FD162D"/>
    <w:rsid w:val="00FD3A99"/>
    <w:rsid w:val="00FD5F95"/>
    <w:rsid w:val="00FD635B"/>
    <w:rsid w:val="00FD67E3"/>
    <w:rsid w:val="00FD71AE"/>
    <w:rsid w:val="00FD759F"/>
    <w:rsid w:val="00FE1F7B"/>
    <w:rsid w:val="00FE3076"/>
    <w:rsid w:val="00FE7D41"/>
    <w:rsid w:val="00FF11B7"/>
    <w:rsid w:val="00FF2358"/>
    <w:rsid w:val="00FF6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577B"/>
  <w15:docId w15:val="{1B6604E8-44A5-4D1E-9006-C01F1909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1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14"/>
    <w:qFormat/>
    <w:rsid w:val="008B4876"/>
  </w:style>
  <w:style w:type="character" w:customStyle="1" w:styleId="Rubrik4utannumreringChar">
    <w:name w:val="Rubrik 4 utan numrering Char"/>
    <w:basedOn w:val="Heading4Char"/>
    <w:link w:val="Rubrik4utannumrering"/>
    <w:uiPriority w:val="14"/>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qFormat/>
    <w:rsid w:val="008B4876"/>
    <w:pPr>
      <w:spacing w:after="60"/>
    </w:pPr>
    <w:rPr>
      <w:u w:val="single"/>
    </w:rPr>
  </w:style>
  <w:style w:type="character" w:customStyle="1" w:styleId="SlutstreckChar">
    <w:name w:val="Slutstreck Char"/>
    <w:basedOn w:val="BodyTextIndentChar"/>
    <w:link w:val="Slutstreck"/>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
    <w:name w:val="Hashtag"/>
    <w:basedOn w:val="DefaultParagraphFont"/>
    <w:uiPriority w:val="99"/>
    <w:semiHidden/>
    <w:rsid w:val="00646F34"/>
    <w:rPr>
      <w:color w:val="2B579A"/>
      <w:shd w:val="clear" w:color="auto" w:fill="E1DFDD"/>
    </w:rPr>
  </w:style>
  <w:style w:type="character" w:styleId="Mention">
    <w:name w:val="Mention"/>
    <w:basedOn w:val="DefaultParagraphFont"/>
    <w:uiPriority w:val="99"/>
    <w:semiHidden/>
    <w:rsid w:val="00646F34"/>
    <w:rPr>
      <w:color w:val="2B579A"/>
      <w:shd w:val="clear" w:color="auto" w:fill="E1DFDD"/>
    </w:rPr>
  </w:style>
  <w:style w:type="character" w:styleId="UnresolvedMention">
    <w:name w:val="Unresolved Mention"/>
    <w:basedOn w:val="DefaultParagraphFont"/>
    <w:uiPriority w:val="99"/>
    <w:semiHidden/>
    <w:rsid w:val="00646F34"/>
    <w:rPr>
      <w:color w:val="605E5C"/>
      <w:shd w:val="clear" w:color="auto" w:fill="E1DFDD"/>
    </w:rPr>
  </w:style>
  <w:style w:type="character" w:styleId="SmartHyperlink">
    <w:name w:val="Smart Hyperlink"/>
    <w:basedOn w:val="DefaultParagraphFont"/>
    <w:uiPriority w:val="99"/>
    <w:semiHidden/>
    <w:rsid w:val="00646F34"/>
    <w:rPr>
      <w:u w:val="dotted"/>
    </w:rPr>
  </w:style>
  <w:style w:type="character" w:styleId="SmartLink">
    <w:name w:val="Smart Link"/>
    <w:basedOn w:val="DefaultParagraphFont"/>
    <w:uiPriority w:val="99"/>
    <w:semiHidden/>
    <w:rsid w:val="00646F3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31D46B8C324B76B3CEC46700909471"/>
        <w:category>
          <w:name w:val="Allmänt"/>
          <w:gallery w:val="placeholder"/>
        </w:category>
        <w:types>
          <w:type w:val="bbPlcHdr"/>
        </w:types>
        <w:behaviors>
          <w:behavior w:val="content"/>
        </w:behaviors>
        <w:guid w:val="{99041850-4ADF-4F02-8010-C2C358BF3FE5}"/>
      </w:docPartPr>
      <w:docPartBody>
        <w:p w:rsidR="0083405B" w:rsidRDefault="00116015" w:rsidP="00116015">
          <w:r>
            <w:rPr>
              <w:rStyle w:val="PlaceholderText"/>
            </w:rPr>
            <w:t>Κάντε κλικ εδώ για να εισαγάγετε την ημερομηνία.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15"/>
    <w:rsid w:val="00116015"/>
    <w:rsid w:val="006613C3"/>
    <w:rsid w:val="0083405B"/>
    <w:rsid w:val="00B878EB"/>
    <w:rsid w:val="00C203FE"/>
    <w:rsid w:val="00CC7F5C"/>
    <w:rsid w:val="00D12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F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2021-03-26</HeaderDate>
    <Office/>
    <Dnr>M2021/</Dnr>
    <ParagrafNr/>
    <DocumentTitle/>
    <VisitingAddress/>
    <Extra1>extrainfo för denna mallm</Extra1>
    <Extra2>mer extrainfo</Extra2>
    <Extra3/>
    <Number/>
    <Recipient/>
    <SenderText/>
    <DocNumber/>
    <Doclanguage>1053</Doclanguage>
    <Appendix/>
    <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TSDR5AECP2XP-1839530900-53935</_dlc_DocId>
    <_dlc_DocIdUrl xmlns="6a372189-8514-43a9-a668-4622024340fc">
      <Url>https://dhs.sp.regeringskansliet.se/yta/m-r/_layouts/15/DocIdRedir.aspx?ID=TSDR5AECP2XP-1839530900-53935</Url>
      <Description>TSDR5AECP2XP-1839530900-53935</Description>
    </_dlc_DocIdUrl>
    <RKOrdnaClass xmlns="d4acd662-17ce-4a3b-8e84-c7c9f280a23c" xsi:nil="true"/>
    <RKOrdnaCheckInComment xmlns="d4acd662-17ce-4a3b-8e84-c7c9f280a23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C5FA5B09-8678-40D5-A305-364511F55171}">
  <ds:schemaRefs>
    <ds:schemaRef ds:uri="http://lp/documentinfo/RK"/>
  </ds:schemaRefs>
</ds:datastoreItem>
</file>

<file path=customXml/itemProps3.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6a372189-8514-43a9-a668-4622024340fc"/>
    <ds:schemaRef ds:uri="d4acd662-17ce-4a3b-8e84-c7c9f280a23c"/>
  </ds:schemaRefs>
</ds:datastoreItem>
</file>

<file path=customXml/itemProps4.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5.xml><?xml version="1.0" encoding="utf-8"?>
<ds:datastoreItem xmlns:ds="http://schemas.openxmlformats.org/officeDocument/2006/customXml" ds:itemID="{F040F898-B3FB-4EB0-8C1F-F030ABB2D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39FB88-DAC8-4639-8EC7-CDA9CB424C97}">
  <ds:schemaRefs>
    <ds:schemaRef ds:uri="http://schemas.microsoft.com/sharepoint/events"/>
  </ds:schemaRefs>
</ds:datastoreItem>
</file>

<file path=customXml/itemProps7.xml><?xml version="1.0" encoding="utf-8"?>
<ds:datastoreItem xmlns:ds="http://schemas.openxmlformats.org/officeDocument/2006/customXml" ds:itemID="{DE41085F-F65A-4FFB-8541-203F539B31D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SFS</Template>
  <TotalTime>4</TotalTime>
  <Pages>8</Pages>
  <Words>2544</Words>
  <Characters>14785</Characters>
  <Application>Microsoft Office Word</Application>
  <DocSecurity>0</DocSecurity>
  <Lines>369</Lines>
  <Paragraphs>165</Paragraphs>
  <ScaleCrop>false</ScaleCrop>
  <HeadingPairs>
    <vt:vector size="2" baseType="variant">
      <vt:variant>
        <vt:lpstr>Rubrik</vt:lpstr>
      </vt:variant>
      <vt:variant>
        <vt:i4>1</vt:i4>
      </vt:variant>
    </vt:vector>
  </HeadingPairs>
  <TitlesOfParts>
    <vt:vector size="1" baseType="lpstr">
      <vt:lpstr>Förordning om engångsprodukter</vt:lpstr>
    </vt:vector>
  </TitlesOfParts>
  <Company>Regeringskansliet</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engångsprodukter</dc:title>
  <dc:creator>Anna Cedrum</dc:creator>
  <cp:keywords>class='Internal'</cp:keywords>
  <cp:lastModifiedBy>Ines Varvodic</cp:lastModifiedBy>
  <cp:revision>2</cp:revision>
  <cp:lastPrinted>2016-10-14T09:17:00Z</cp:lastPrinted>
  <dcterms:created xsi:type="dcterms:W3CDTF">2022-05-31T09:35:00Z</dcterms:created>
  <dcterms:modified xsi:type="dcterms:W3CDTF">2022-05-31T09:35:00Z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6f5561cd-0e8a-4334-820a-626a8f3e949f</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SFS1</vt:lpwstr>
  </property>
  <property fmtid="{D5CDD505-2E9C-101B-9397-08002B2CF9AE}" pid="8" name="Organisation">
    <vt:lpwstr/>
  </property>
  <property fmtid="{D5CDD505-2E9C-101B-9397-08002B2CF9AE}" pid="9" name="TaxKeyword">
    <vt:lpwstr/>
  </property>
  <property fmtid="{D5CDD505-2E9C-101B-9397-08002B2CF9AE}" pid="10" name="ActivityCategory">
    <vt:lpwstr/>
  </property>
  <property fmtid="{D5CDD505-2E9C-101B-9397-08002B2CF9AE}" pid="11" name="TaxKeywordTaxHTField">
    <vt:lpwstr/>
  </property>
</Properties>
</file>