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68E08DCF"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5687A3DB">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Código de Leyes de Suecia</w:t>
      </w:r>
    </w:p>
    <w:p w14:paraId="6CC2C3FA" w14:textId="0EB39E7D" w:rsidR="00646F34" w:rsidRPr="005F75D2" w:rsidRDefault="00646F34" w:rsidP="005F75D2">
      <w:pPr>
        <w:pStyle w:val="BodyText"/>
        <w:pBdr>
          <w:top w:val="single" w:sz="6" w:space="1" w:color="auto"/>
        </w:pBdr>
        <w:ind w:right="-2411"/>
        <w:rPr>
          <w:sz w:val="4"/>
          <w:szCs w:val="4"/>
        </w:rPr>
      </w:pPr>
    </w:p>
    <w:p w14:paraId="06E55153" w14:textId="1BD3DBEF" w:rsidR="00646F34" w:rsidRDefault="000C3E33" w:rsidP="005F75D2">
      <w:pPr>
        <w:pStyle w:val="Heading2"/>
        <w:spacing w:before="200"/>
      </w:pPr>
      <w:bookmarkStart w:id="1" w:name="Titel"/>
      <w:r>
        <w:rPr>
          <w:noProof/>
        </w:rPr>
        <mc:AlternateContent>
          <mc:Choice Requires="wps">
            <w:drawing>
              <wp:anchor distT="0" distB="0" distL="114300" distR="114300" simplePos="0" relativeHeight="251662336" behindDoc="0" locked="0" layoutInCell="1" allowOverlap="1" wp14:anchorId="5E9FED69" wp14:editId="262333C9">
                <wp:simplePos x="0" y="0"/>
                <wp:positionH relativeFrom="page">
                  <wp:posOffset>5400675</wp:posOffset>
                </wp:positionH>
                <wp:positionV relativeFrom="page">
                  <wp:posOffset>2001337</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MSF</w:t>
                            </w:r>
                          </w:p>
                          <w:p w14:paraId="4144185B" w14:textId="77777777" w:rsidR="00CE5660" w:rsidRPr="00AE1FEB" w:rsidRDefault="00CE5660" w:rsidP="009C4782">
                            <w:pPr>
                              <w:pStyle w:val="BodyText"/>
                              <w:jc w:val="left"/>
                              <w:rPr>
                                <w:sz w:val="20"/>
                                <w:szCs w:val="20"/>
                              </w:rPr>
                            </w:pPr>
                            <w:r>
                              <w:rPr>
                                <w:sz w:val="20"/>
                              </w:rPr>
                              <w:t>Publicado</w:t>
                            </w:r>
                            <w:r>
                              <w:rPr>
                                <w:sz w:val="20"/>
                              </w:rPr>
                              <w:br/>
                              <w: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margin-left:425.25pt;margin-top:157.6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AVeaz+4wAAAAwB&#10;AAAPAAAAZHJzL2Rvd25yZXYueG1sTI/LTsMwEEX3SPyDNUhsUGs3D1pCJhVCPCR2NAXEzo1NEhGP&#10;o9hNwt/jrmA5mqN7z823s+nYqAfXWkJYLQUwTZVVLdUI+/JxsQHmvCQlO0sa4Uc72BbnZ7nMlJ3o&#10;VY87X7MQQi6TCI33fca5qxptpFvaXlP4fdnBSB/OoeZqkFMINx2PhLjmRrYUGhrZ6/tGV9+7o0H4&#10;vKo/Xtz89DbFadw/PI/l+l2ViJcX890tMK9n/wfDST+oQxGcDvZIyrEOYZOKNKAI8SqNgJ0IcZOE&#10;NQeEJFonwIuc/x9R/AIAAP//AwBQSwECLQAUAAYACAAAACEAtoM4kv4AAADhAQAAEwAAAAAAAAAA&#10;AAAAAAAAAAAAW0NvbnRlbnRfVHlwZXNdLnhtbFBLAQItABQABgAIAAAAIQA4/SH/1gAAAJQBAAAL&#10;AAAAAAAAAAAAAAAAAC8BAABfcmVscy8ucmVsc1BLAQItABQABgAIAAAAIQB2V9OLdAIAAGUFAAAO&#10;AAAAAAAAAAAAAAAAAC4CAABkcnMvZTJvRG9jLnhtbFBLAQItABQABgAIAAAAIQAVeaz+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MSF</w:t>
                      </w:r>
                    </w:p>
                    <w:p w14:paraId="4144185B" w14:textId="77777777" w:rsidR="00CE5660" w:rsidRPr="00AE1FEB" w:rsidRDefault="00CE5660" w:rsidP="009C4782">
                      <w:pPr>
                        <w:pStyle w:val="BodyText"/>
                        <w:jc w:val="left"/>
                        <w:rPr>
                          <w:sz w:val="20"/>
                          <w:szCs w:val="20"/>
                        </w:rPr>
                      </w:pPr>
                      <w:r>
                        <w:rPr>
                          <w:sz w:val="20"/>
                        </w:rPr>
                        <w:t>Publicado</w:t>
                      </w:r>
                      <w:r>
                        <w:rPr>
                          <w:sz w:val="20"/>
                        </w:rPr>
                        <w:br/>
                        <w:t>el</w:t>
                      </w:r>
                    </w:p>
                  </w:txbxContent>
                </v:textbox>
                <w10:wrap anchorx="page" anchory="page"/>
              </v:shape>
            </w:pict>
          </mc:Fallback>
        </mc:AlternateContent>
      </w:r>
      <w:r w:rsidR="00646F34">
        <w:t>Ordenanza sobre productos de un solo uso</w:t>
      </w:r>
    </w:p>
    <w:bookmarkEnd w:id="1"/>
    <w:p w14:paraId="266D883D" w14:textId="77777777" w:rsidR="00646F34" w:rsidRPr="00496B57" w:rsidRDefault="00646F34" w:rsidP="009C4782">
      <w:pPr>
        <w:pStyle w:val="BodyText"/>
      </w:pPr>
      <w:r>
        <w:t xml:space="preserve">Emitida el </w:t>
      </w:r>
      <w:sdt>
        <w:sdtPr>
          <w:alias w:val="Fecha de emisión"/>
          <w:tag w:val="UtfärdadDatum"/>
          <w:id w:val="-627399020"/>
          <w:placeholder>
            <w:docPart w:val="BA31D46B8C324B76B3CEC46700909471"/>
          </w:placeholder>
          <w:showingPlcHdr/>
          <w:date>
            <w:dateFormat w:val="'den' d MMMM yyyy"/>
            <w:lid w:val="es-ES"/>
            <w:storeMappedDataAs w:val="dateTime"/>
            <w:calendar w:val="gregorian"/>
          </w:date>
        </w:sdtPr>
        <w:sdtEndPr/>
        <w:sdtContent>
          <w:r>
            <w:rPr>
              <w:rStyle w:val="PlaceholderText"/>
            </w:rPr>
            <w:t>Hacer clic aquí para indicar la fecha.</w:t>
          </w:r>
        </w:sdtContent>
      </w:sdt>
    </w:p>
    <w:p w14:paraId="531050A5" w14:textId="77777777" w:rsidR="00646F34" w:rsidRDefault="00646F34" w:rsidP="009C4782">
      <w:pPr>
        <w:pStyle w:val="BodyText"/>
      </w:pPr>
    </w:p>
    <w:p w14:paraId="33F2A488" w14:textId="1ECAF154" w:rsidR="00646F34" w:rsidRDefault="00646F34" w:rsidP="009C4782">
      <w:pPr>
        <w:pStyle w:val="BodyText"/>
      </w:pPr>
      <w:r>
        <w:t>El Gobierno de Suecia, por la presente, establece</w:t>
      </w:r>
      <w:r w:rsidR="00211C2C">
        <w:rPr>
          <w:rStyle w:val="FootnoteReference"/>
        </w:rPr>
        <w:footnoteReference w:id="2"/>
      </w:r>
      <w:r>
        <w:t xml:space="preserve"> lo siguiente:</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Artículo 1</w:t>
      </w:r>
      <w:r>
        <w:t xml:space="preserve"> El objetivo de esta Ordenanza es reducir la basura y promover una economía circular. </w:t>
      </w:r>
    </w:p>
    <w:p w14:paraId="40BFA1F6" w14:textId="0E004591" w:rsidR="00211C2C" w:rsidRDefault="00333E47" w:rsidP="004F112E">
      <w:pPr>
        <w:pStyle w:val="BodyTextIndent"/>
      </w:pPr>
      <w:r>
        <w:t xml:space="preserve">La presente Ordenanza se emite en virtud de </w:t>
      </w:r>
    </w:p>
    <w:p w14:paraId="12B53A34" w14:textId="68D2448E" w:rsidR="00211C2C" w:rsidRPr="001E4FCB" w:rsidRDefault="00211C2C" w:rsidP="00211C2C">
      <w:pPr>
        <w:pStyle w:val="BodyTextIndent"/>
      </w:pPr>
      <w:bookmarkStart w:id="2" w:name="_Hlk83046616"/>
      <w:r>
        <w:t>– Capítulo 15, artículo 40 del Código de Medio Ambiente con respecto a los artículos 12 a 23 y 25 a 28,</w:t>
      </w:r>
    </w:p>
    <w:p w14:paraId="4D869C94" w14:textId="315A9AF4" w:rsidR="00211C2C" w:rsidRDefault="00211C2C" w:rsidP="00211C2C">
      <w:pPr>
        <w:pStyle w:val="BodyTextIndent"/>
      </w:pPr>
      <w:r>
        <w:t>– Capítulo 8, artículo 11 del Instrumento de Gobierno con respecto al artículo 34, y</w:t>
      </w:r>
    </w:p>
    <w:p w14:paraId="4031C2BE" w14:textId="565CD061" w:rsidR="00211C2C" w:rsidRDefault="00211C2C" w:rsidP="00211C2C">
      <w:pPr>
        <w:pStyle w:val="BodyTextIndent"/>
      </w:pPr>
      <w:r>
        <w:t>– Capítulo 8, artículo 7 del Instrumento de Gobierno con respecto a otras disposiciones.</w:t>
      </w:r>
    </w:p>
    <w:p w14:paraId="4266EBCF" w14:textId="77777777" w:rsidR="00646F34" w:rsidRDefault="00646F34" w:rsidP="009E6D43">
      <w:pPr>
        <w:pStyle w:val="Heading4"/>
      </w:pPr>
      <w:bookmarkStart w:id="3" w:name="_Hlk48222959"/>
      <w:bookmarkEnd w:id="2"/>
      <w:r>
        <w:t>Disposiciones adicionales en otras ordenanzas</w:t>
      </w:r>
      <w:bookmarkEnd w:id="3"/>
    </w:p>
    <w:p w14:paraId="01712DC8" w14:textId="4271D0B8" w:rsidR="00646F34" w:rsidRDefault="00311E20" w:rsidP="00646F34">
      <w:pPr>
        <w:pStyle w:val="BodyTextIndent"/>
        <w:ind w:firstLine="0"/>
      </w:pPr>
      <w:r>
        <w:rPr>
          <w:b/>
        </w:rPr>
        <w:t>Artículo 2</w:t>
      </w:r>
      <w:r>
        <w:t xml:space="preserve"> Se pueden encontrar más disposiciones sobre los dispositivos de un solo uso en: </w:t>
      </w:r>
    </w:p>
    <w:p w14:paraId="154B105E" w14:textId="60FF01F1" w:rsidR="003C1B39" w:rsidRDefault="003C1B39" w:rsidP="003C1B39">
      <w:pPr>
        <w:pStyle w:val="BodyTextIndent"/>
      </w:pPr>
      <w:r>
        <w:t xml:space="preserve">– Ordenanza sobre productos químicos (prohibiciones de manipulación, importación y exportación) (1998:944); </w:t>
      </w:r>
    </w:p>
    <w:p w14:paraId="059C6EE1" w14:textId="1A797C64" w:rsidR="003C1B39" w:rsidRDefault="003C1B39" w:rsidP="003C1B39">
      <w:pPr>
        <w:pStyle w:val="BodyTextIndent"/>
      </w:pPr>
      <w:r>
        <w:t xml:space="preserve">– Ordenanza (2005:220) sobre los sistemas de devolución de botellas de plástico y latas de metal; </w:t>
      </w:r>
    </w:p>
    <w:p w14:paraId="2360F5CB" w14:textId="5EE3CD3D" w:rsidR="003C1B39" w:rsidRDefault="003C1B39" w:rsidP="009E6D43">
      <w:pPr>
        <w:pStyle w:val="BodyTextIndent"/>
      </w:pPr>
      <w:r>
        <w:t xml:space="preserve">– Ordenanza (2018:1462) sobre la responsabilidad del productor en relación con los envases; </w:t>
      </w:r>
    </w:p>
    <w:p w14:paraId="6B638499" w14:textId="18241521" w:rsidR="00615D62" w:rsidRDefault="00646F34" w:rsidP="00646F34">
      <w:pPr>
        <w:pStyle w:val="BodyTextIndent"/>
      </w:pPr>
      <w:r>
        <w:t xml:space="preserve">– Reglamento (2021:000) sobre la responsabilidad del productor en relación con determinados productos de tabaco </w:t>
      </w:r>
    </w:p>
    <w:p w14:paraId="6DF6135E" w14:textId="39B4E289" w:rsidR="00646F34" w:rsidRDefault="00646F34" w:rsidP="00646F34">
      <w:pPr>
        <w:pStyle w:val="BodyTextIndent"/>
      </w:pPr>
      <w:r>
        <w:t xml:space="preserve">y filtros; </w:t>
      </w:r>
    </w:p>
    <w:p w14:paraId="1451E275" w14:textId="1C1843A6" w:rsidR="00646F34" w:rsidRDefault="00646F34" w:rsidP="00646F34">
      <w:pPr>
        <w:pStyle w:val="BodyTextIndent"/>
      </w:pPr>
      <w:r>
        <w:t xml:space="preserve">– Ordenanza (2021:000) sobre la responsabilidad del productor en relación con los globos; </w:t>
      </w:r>
    </w:p>
    <w:p w14:paraId="24695156" w14:textId="0A203132" w:rsidR="00646F34" w:rsidRDefault="00646F34" w:rsidP="00646F34">
      <w:pPr>
        <w:pStyle w:val="BodyTextIndent"/>
      </w:pPr>
      <w:r>
        <w:t>– Ordenanza (2021:000) sobre la responsabilidad del productor en relación con las toallitas húmedas, y</w:t>
      </w:r>
    </w:p>
    <w:p w14:paraId="776217DF" w14:textId="427A9E98" w:rsidR="00646F34" w:rsidRDefault="00646F34" w:rsidP="00646F34">
      <w:pPr>
        <w:pStyle w:val="BodyTextIndent"/>
      </w:pPr>
      <w:r>
        <w:t xml:space="preserve">– </w:t>
      </w:r>
      <w:r>
        <w:rPr>
          <w:shd w:val="clear" w:color="auto" w:fill="FFFFFF"/>
        </w:rPr>
        <w:t>Ordenanza (2021:000) sobre tarifas de basura</w:t>
      </w:r>
      <w:r>
        <w:t>.</w:t>
      </w:r>
    </w:p>
    <w:p w14:paraId="7F211810" w14:textId="77777777" w:rsidR="00646F34" w:rsidRPr="008F79D1" w:rsidRDefault="00646F34" w:rsidP="009E6D43">
      <w:pPr>
        <w:pStyle w:val="Heading4"/>
      </w:pPr>
      <w:r>
        <w:t>Definiciones</w:t>
      </w:r>
    </w:p>
    <w:p w14:paraId="772F6552" w14:textId="71C770DF" w:rsidR="00211C2C" w:rsidRDefault="00311E20" w:rsidP="00211C2C">
      <w:pPr>
        <w:pStyle w:val="BodyText"/>
        <w:keepNext/>
      </w:pPr>
      <w:r>
        <w:rPr>
          <w:b/>
        </w:rPr>
        <w:t>Artículo 3</w:t>
      </w:r>
      <w:r>
        <w:t xml:space="preserve"> En la presente Ordenanza, </w:t>
      </w:r>
      <w:r>
        <w:rPr>
          <w:i/>
        </w:rPr>
        <w:t>polímero</w:t>
      </w:r>
      <w:r>
        <w:t xml:space="preserve"> tiene el significado definido en el artículo 3.5 del Reglamento (CE) n.º 1907/2006 del Parlamento </w:t>
      </w:r>
      <w:r>
        <w:lastRenderedPageBreak/>
        <w:t>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Artículo 4</w:t>
      </w:r>
      <w:r>
        <w:t xml:space="preserve"> En la presente Ordenanza, </w:t>
      </w:r>
      <w:r>
        <w:rPr>
          <w:i/>
        </w:rPr>
        <w:t>plástico</w:t>
      </w:r>
      <w:r>
        <w:t xml:space="preserve"> hace referencia a un polímero que puede funcionar como principal componente estructural de los productos finales, </w:t>
      </w:r>
      <w:bookmarkStart w:id="4" w:name="_Hlk49851962"/>
      <w:r>
        <w:t>independientemente de si se han añadido aditivos u otras sustancias al polímero.</w:t>
      </w:r>
    </w:p>
    <w:bookmarkEnd w:id="4"/>
    <w:p w14:paraId="2F9F098E" w14:textId="77777777" w:rsidR="00211C2C" w:rsidRDefault="00211C2C" w:rsidP="00211C2C">
      <w:pPr>
        <w:pStyle w:val="BodyTextIndent"/>
      </w:pPr>
      <w:r>
        <w:t xml:space="preserve">Plástico no significa un polímero que se presente naturalmente en el medio ambiente y que no haya sido modificado químicamente.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Artículo 5</w:t>
      </w:r>
      <w:r>
        <w:t xml:space="preserve"> En la presente Ordenanza</w:t>
      </w:r>
    </w:p>
    <w:p w14:paraId="71E1411A" w14:textId="77777777" w:rsidR="00211C2C" w:rsidRPr="00B440B8" w:rsidRDefault="00211C2C" w:rsidP="00211C2C">
      <w:pPr>
        <w:pStyle w:val="BodyTextIndent"/>
        <w:rPr>
          <w:iCs/>
        </w:rPr>
      </w:pPr>
      <w:r>
        <w:rPr>
          <w:i/>
        </w:rPr>
        <w:t>comercializar en el mercado sueco</w:t>
      </w:r>
      <w:r>
        <w:t>: suministrar un producto para su distribución, consumo o utilización en el mercado sueco ya sea previo pago o a título gratuito, e</w:t>
      </w:r>
    </w:p>
    <w:p w14:paraId="698B7BE7" w14:textId="77777777" w:rsidR="00211C2C" w:rsidRDefault="00211C2C" w:rsidP="00211C2C">
      <w:pPr>
        <w:pStyle w:val="BodyTextIndent"/>
        <w:rPr>
          <w:iCs/>
        </w:rPr>
      </w:pPr>
      <w:r>
        <w:rPr>
          <w:i/>
        </w:rPr>
        <w:t>introducir en el mercado sueco</w:t>
      </w:r>
      <w:r>
        <w:t>: primera comercialización de un producto en el mercado sueco.</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Artículo 6</w:t>
      </w:r>
      <w:r>
        <w:t xml:space="preserve"> En la presente Ordenanza</w:t>
      </w:r>
      <w:r>
        <w:rPr>
          <w:i/>
        </w:rPr>
        <w:t xml:space="preserve"> </w:t>
      </w:r>
    </w:p>
    <w:p w14:paraId="32959034" w14:textId="77777777" w:rsidR="00211C2C" w:rsidRDefault="00211C2C" w:rsidP="00211C2C">
      <w:pPr>
        <w:pStyle w:val="BodyTextIndent"/>
      </w:pPr>
      <w:r>
        <w:rPr>
          <w:i/>
        </w:rPr>
        <w:t>producto de un solo uso</w:t>
      </w:r>
      <w:r>
        <w:t>: un producto que no está concebido, diseñado e introducido en el mercado sueco para completar en su período de vida múltiples circuitos o rotaciones al ser reutilizados con el mismo fin para el que fue concebido o devuelto a un productor para rellenarlo, y</w:t>
      </w:r>
    </w:p>
    <w:p w14:paraId="2EC9DEC7" w14:textId="77777777" w:rsidR="00211C2C" w:rsidRDefault="00211C2C" w:rsidP="00211C2C">
      <w:pPr>
        <w:pStyle w:val="BodyTextIndent"/>
      </w:pPr>
      <w:r>
        <w:rPr>
          <w:i/>
        </w:rPr>
        <w:t>producto de plástico de un solo uso</w:t>
      </w:r>
      <w:r>
        <w:t>: un producto de un solo uso fabricado total o parcialmente con plástico.</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Artículo 7</w:t>
      </w:r>
      <w:r>
        <w:t xml:space="preserve"> En la presente Ordenanza </w:t>
      </w:r>
    </w:p>
    <w:p w14:paraId="7911FBA8" w14:textId="35F7F761" w:rsidR="00211C2C" w:rsidRDefault="00211C2C" w:rsidP="00211C2C">
      <w:pPr>
        <w:pStyle w:val="BodyTextIndent"/>
      </w:pPr>
      <w:r>
        <w:rPr>
          <w:i/>
        </w:rPr>
        <w:t>vaso</w:t>
      </w:r>
      <w:r>
        <w:t xml:space="preserve">: un vaso, taza o </w:t>
      </w:r>
      <w:proofErr w:type="spellStart"/>
      <w:r>
        <w:t>mug</w:t>
      </w:r>
      <w:proofErr w:type="spellEnd"/>
      <w:r>
        <w:t xml:space="preserve">, con o sin tapa, destinado al consumo de bebidas frías o calientes que normalmente se beben directamente del recipiente, </w:t>
      </w:r>
    </w:p>
    <w:p w14:paraId="41F0496D" w14:textId="77777777" w:rsidR="00211C2C" w:rsidRPr="00FB2596" w:rsidRDefault="00211C2C" w:rsidP="00211C2C">
      <w:pPr>
        <w:pStyle w:val="BodyTextIndent"/>
      </w:pPr>
      <w:r>
        <w:rPr>
          <w:i/>
        </w:rPr>
        <w:t>vaso de un solo uso</w:t>
      </w:r>
      <w:r>
        <w:t>: un vaso que es un producto de un solo uso, y</w:t>
      </w:r>
    </w:p>
    <w:p w14:paraId="3A3DBBEE" w14:textId="77777777" w:rsidR="00211C2C" w:rsidRDefault="00211C2C" w:rsidP="00211C2C">
      <w:pPr>
        <w:pStyle w:val="BodyTextIndent"/>
      </w:pPr>
      <w:r>
        <w:rPr>
          <w:i/>
        </w:rPr>
        <w:t>recipiente para bebida</w:t>
      </w:r>
      <w:r>
        <w:t xml:space="preserve">: botella de plástico, envase compuesto u otro recipiente que: </w:t>
      </w:r>
    </w:p>
    <w:p w14:paraId="6D5F716D" w14:textId="04F70FD1" w:rsidR="00211C2C" w:rsidRDefault="00211C2C" w:rsidP="00211C2C">
      <w:pPr>
        <w:pStyle w:val="BodyTextIndent"/>
      </w:pPr>
      <w:r>
        <w:t>1. sea un producto de plástico de un solo uso,</w:t>
      </w:r>
    </w:p>
    <w:p w14:paraId="018F45E2" w14:textId="0CE437CB" w:rsidR="00211C2C" w:rsidRDefault="00211C2C" w:rsidP="00211C2C">
      <w:pPr>
        <w:pStyle w:val="BodyTextIndent"/>
      </w:pPr>
      <w:r>
        <w:t xml:space="preserve">2. tenga una capacidad de hasta tres litros, </w:t>
      </w:r>
    </w:p>
    <w:p w14:paraId="70789623" w14:textId="1900851D" w:rsidR="00211C2C" w:rsidRDefault="00211C2C" w:rsidP="00211C2C">
      <w:pPr>
        <w:pStyle w:val="BodyTextIndent"/>
      </w:pPr>
      <w:r>
        <w:t>3. se destine al consumo de bebidas, y</w:t>
      </w:r>
    </w:p>
    <w:p w14:paraId="5D24AEE8" w14:textId="3AE3E09F" w:rsidR="00211C2C" w:rsidRDefault="00211C2C" w:rsidP="00211C2C">
      <w:pPr>
        <w:pStyle w:val="BodyTextIndent"/>
      </w:pPr>
      <w:r>
        <w:t>4. no sea un vaso.</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Artículo 8</w:t>
      </w:r>
      <w:r>
        <w:t xml:space="preserve"> </w:t>
      </w:r>
      <w:bookmarkStart w:id="5" w:name="_Hlk39491428"/>
      <w:r>
        <w:t>En la presente Ordenanza</w:t>
      </w:r>
      <w:r>
        <w:rPr>
          <w:i/>
        </w:rPr>
        <w:t xml:space="preserve"> </w:t>
      </w:r>
    </w:p>
    <w:p w14:paraId="00F25C91" w14:textId="77777777" w:rsidR="00211C2C" w:rsidRDefault="00211C2C" w:rsidP="00211C2C">
      <w:pPr>
        <w:pStyle w:val="BodyTextIndent"/>
        <w:rPr>
          <w:iCs/>
        </w:rPr>
      </w:pPr>
      <w:bookmarkStart w:id="6" w:name="_Hlk37753820"/>
      <w:r>
        <w:rPr>
          <w:i/>
        </w:rPr>
        <w:t xml:space="preserve">alimentos: </w:t>
      </w:r>
      <w:r>
        <w:t>alimentos que no son bebidas,</w:t>
      </w:r>
    </w:p>
    <w:p w14:paraId="6CD5D5E1" w14:textId="77777777" w:rsidR="00211C2C" w:rsidRPr="00154A99" w:rsidRDefault="00211C2C" w:rsidP="00211C2C">
      <w:pPr>
        <w:pStyle w:val="BodyTextIndent"/>
      </w:pPr>
      <w:r>
        <w:rPr>
          <w:i/>
        </w:rPr>
        <w:t>comida rápida</w:t>
      </w:r>
      <w:r>
        <w:t xml:space="preserve">: </w:t>
      </w:r>
      <w:bookmarkStart w:id="7" w:name="_Hlk23153179"/>
      <w:r>
        <w:t xml:space="preserve">se refiere a los alimentos que: </w:t>
      </w:r>
    </w:p>
    <w:p w14:paraId="24371858" w14:textId="04B3961E" w:rsidR="00211C2C" w:rsidRDefault="00211C2C" w:rsidP="00527561">
      <w:pPr>
        <w:pStyle w:val="BodyTextIndent"/>
      </w:pPr>
      <w:r>
        <w:t xml:space="preserve">1. están destinados a ser consumidos directamente en el punto de venta o a ser llevados para ser consumidos poco después en otro lugar; </w:t>
      </w:r>
    </w:p>
    <w:p w14:paraId="70ADA6C2" w14:textId="16A3AB60" w:rsidR="00211C2C" w:rsidRDefault="00527561" w:rsidP="00211C2C">
      <w:pPr>
        <w:pStyle w:val="BodyTextIndent"/>
      </w:pPr>
      <w:r>
        <w:t xml:space="preserve">2. están destinados al consumo fuera del envase, y </w:t>
      </w:r>
    </w:p>
    <w:p w14:paraId="50E3428F" w14:textId="4B93E499" w:rsidR="00211C2C" w:rsidRDefault="00527561" w:rsidP="00211C2C">
      <w:pPr>
        <w:pStyle w:val="BodyTextIndent"/>
      </w:pPr>
      <w:r>
        <w:t>3. están listos para comer sin ninguna otra preparación posterior</w:t>
      </w:r>
      <w:bookmarkEnd w:id="7"/>
      <w:r>
        <w:t xml:space="preserve">, como cocinar o calentar por parte del consumidor, </w:t>
      </w:r>
    </w:p>
    <w:p w14:paraId="397D38F3" w14:textId="77777777" w:rsidR="00211C2C" w:rsidRPr="00635A03" w:rsidRDefault="00211C2C" w:rsidP="00211C2C">
      <w:pPr>
        <w:pStyle w:val="BodyTextIndent"/>
      </w:pPr>
      <w:r>
        <w:rPr>
          <w:i/>
        </w:rPr>
        <w:t>caja para alimentos:</w:t>
      </w:r>
      <w:r>
        <w:t xml:space="preserve"> tales como envases, con o sin tapa, que: </w:t>
      </w:r>
    </w:p>
    <w:p w14:paraId="13FE8351" w14:textId="77777777" w:rsidR="00211C2C" w:rsidRPr="00635A03" w:rsidRDefault="00211C2C" w:rsidP="00211C2C">
      <w:pPr>
        <w:pStyle w:val="BodyTextIndent"/>
      </w:pPr>
      <w:r>
        <w:t xml:space="preserve">1. se moldean o se mantienen esencialmente sin cambios en la forma después de añadir o eliminar el contenido, y </w:t>
      </w:r>
    </w:p>
    <w:p w14:paraId="26008761" w14:textId="69B2DDBB" w:rsidR="00211C2C" w:rsidRDefault="00211C2C" w:rsidP="00211C2C">
      <w:pPr>
        <w:pStyle w:val="BodyTextIndent"/>
      </w:pPr>
      <w:r>
        <w:t>2. se utilizan para la comida rápida, y</w:t>
      </w:r>
    </w:p>
    <w:p w14:paraId="7D565C9E" w14:textId="77777777" w:rsidR="00211C2C" w:rsidRDefault="00211C2C" w:rsidP="00211C2C">
      <w:pPr>
        <w:pStyle w:val="BodyTextIndent"/>
        <w:rPr>
          <w:i/>
        </w:rPr>
      </w:pPr>
      <w:r>
        <w:rPr>
          <w:i/>
        </w:rPr>
        <w:lastRenderedPageBreak/>
        <w:t>caja de un solo uso para alimentos</w:t>
      </w:r>
      <w:r>
        <w:t>: tales como una caja para alimentos considerado un producto de un solo uso</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Artículo 9</w:t>
      </w:r>
      <w:r>
        <w:t xml:space="preserve"> En la presente Ordenanza, </w:t>
      </w:r>
      <w:r>
        <w:rPr>
          <w:i/>
        </w:rPr>
        <w:t>ciclo de reutilización</w:t>
      </w:r>
      <w:r>
        <w:t xml:space="preserve"> hace referencia al proceso por el que pasa un vaso o una caja reutilizable para alimentos desde que se comercializa en el mercado sueco junto con la bebida o el alimento para el que está destinado a contener, proteger, entregar o presentar, hasta que se somete a un sistema de reutilización de vasos o cajas para alimentos utilizados para comida rápida con el fin de volver a comercializarse en el mercado sueco, junto con la bebida o alimento para el que está destinado.</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Artículo 10</w:t>
      </w:r>
      <w:r>
        <w:t xml:space="preserve"> En la presente Ordenanza </w:t>
      </w:r>
    </w:p>
    <w:p w14:paraId="0763F124" w14:textId="05B0CE3A" w:rsidR="00646F34" w:rsidRDefault="00646F34" w:rsidP="00646F34">
      <w:pPr>
        <w:pStyle w:val="BodyTextIndent"/>
      </w:pPr>
      <w:r>
        <w:rPr>
          <w:i/>
        </w:rPr>
        <w:t>bolsa de transporte</w:t>
      </w:r>
      <w:r>
        <w:t>: una bolsa que permita a los consumidores embalar y transportar mercancías desde el lugar donde se suministran los bienes y que no están destinadas a un uso permanente,</w:t>
      </w:r>
    </w:p>
    <w:p w14:paraId="08368CE8" w14:textId="2EF23F87" w:rsidR="00646F34" w:rsidRDefault="00646F34" w:rsidP="00646F34">
      <w:pPr>
        <w:pStyle w:val="BodyTextIndent"/>
      </w:pPr>
      <w:r>
        <w:rPr>
          <w:i/>
        </w:rPr>
        <w:t>bolsa de plástico</w:t>
      </w:r>
      <w:r>
        <w:t>: una bolsa de plástico, y</w:t>
      </w:r>
    </w:p>
    <w:p w14:paraId="2FC8448C" w14:textId="340B87C5" w:rsidR="00646F34" w:rsidRDefault="00646F34" w:rsidP="00646F34">
      <w:pPr>
        <w:pStyle w:val="BodyTextIndent"/>
      </w:pPr>
      <w:r>
        <w:rPr>
          <w:i/>
        </w:rPr>
        <w:t>bolsa de plástico ligera</w:t>
      </w:r>
      <w:r>
        <w:t>: una bolsa de plástico con una pared más delgada de 50 micras.</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Artículo 11</w:t>
      </w:r>
      <w:r>
        <w:t xml:space="preserve"> Las palabras y expresiones de la presente Ordenanza tienen el mismo significado que en el capítulo 15 del Código del Medio Ambiente.</w:t>
      </w:r>
    </w:p>
    <w:p w14:paraId="49E8D53A" w14:textId="77777777" w:rsidR="00646F34" w:rsidRPr="006047FF" w:rsidRDefault="00646F34" w:rsidP="009E6D43">
      <w:pPr>
        <w:pStyle w:val="Heading4"/>
      </w:pPr>
      <w:r>
        <w:t>Prohibición de la comercialización de determinados productos de plástico de un solo uso en el mercado sueco</w:t>
      </w:r>
    </w:p>
    <w:p w14:paraId="0448F62E" w14:textId="118A0B85" w:rsidR="00646F34" w:rsidRDefault="00646F34" w:rsidP="00646F34">
      <w:pPr>
        <w:pStyle w:val="BodyText"/>
      </w:pPr>
      <w:r>
        <w:rPr>
          <w:b/>
        </w:rPr>
        <w:t>Artículo 12</w:t>
      </w:r>
      <w:r>
        <w:t xml:space="preserve"> Se prohíbe la comercialización de los siguientes productos de plástico de un solo uso en el mercado sueco: </w:t>
      </w:r>
    </w:p>
    <w:p w14:paraId="7E18E998" w14:textId="03D318CD" w:rsidR="00646F34" w:rsidRDefault="00646F34" w:rsidP="00646F34">
      <w:pPr>
        <w:pStyle w:val="BodyTextIndent"/>
      </w:pPr>
      <w:r>
        <w:t>1. bastoncillos de algodón;</w:t>
      </w:r>
    </w:p>
    <w:p w14:paraId="1CC676D7" w14:textId="1FF93E69" w:rsidR="00646F34" w:rsidRDefault="00646F34" w:rsidP="00646F34">
      <w:pPr>
        <w:pStyle w:val="BodyTextIndent"/>
      </w:pPr>
      <w:r>
        <w:t>2. envases de bebidas que contengan poliestireno expandido;</w:t>
      </w:r>
    </w:p>
    <w:p w14:paraId="04C9CB15" w14:textId="77777777" w:rsidR="00646F34" w:rsidRDefault="00646F34" w:rsidP="00646F34">
      <w:pPr>
        <w:pStyle w:val="BodyTextIndent"/>
      </w:pPr>
      <w:r>
        <w:t>3. tazas de un solo uso y cajas de alimentos de un solo uso que contengan poliestireno expandido;</w:t>
      </w:r>
    </w:p>
    <w:p w14:paraId="4C80A837" w14:textId="2ACA07CD" w:rsidR="00646F34" w:rsidRDefault="00646F34" w:rsidP="00646F34">
      <w:pPr>
        <w:pStyle w:val="BodyTextIndent"/>
      </w:pPr>
      <w:r>
        <w:t>4. tenedores, cuchillos, cucharas, palillos y otros cubiertos;</w:t>
      </w:r>
    </w:p>
    <w:p w14:paraId="7EC219AC" w14:textId="77777777" w:rsidR="00646F34" w:rsidRDefault="00646F34" w:rsidP="00646F34">
      <w:pPr>
        <w:pStyle w:val="BodyTextIndent"/>
      </w:pPr>
      <w:r>
        <w:t>5. corchos y tapas que contengan poliestireno expandido usados para:</w:t>
      </w:r>
    </w:p>
    <w:p w14:paraId="775FD790" w14:textId="26E40C73" w:rsidR="00646F34" w:rsidRDefault="00646F34" w:rsidP="00646F34">
      <w:pPr>
        <w:pStyle w:val="BodyTextIndent"/>
      </w:pPr>
      <w:r>
        <w:t>a) cajas de alimentos de un solo uso,</w:t>
      </w:r>
    </w:p>
    <w:p w14:paraId="32DDA7B9" w14:textId="22F30CF6" w:rsidR="00646F34" w:rsidRDefault="00646F34" w:rsidP="00646F34">
      <w:pPr>
        <w:pStyle w:val="BodyTextIndent"/>
      </w:pPr>
      <w:r>
        <w:t xml:space="preserve">b) recipientes para bebidas, o </w:t>
      </w:r>
    </w:p>
    <w:p w14:paraId="7C783A25" w14:textId="03ED3D0F" w:rsidR="00646F34" w:rsidRDefault="00646F34" w:rsidP="00646F34">
      <w:pPr>
        <w:pStyle w:val="BodyTextIndent"/>
      </w:pPr>
      <w:r>
        <w:t>c) vasos de un solo uso;</w:t>
      </w:r>
    </w:p>
    <w:p w14:paraId="2B5BAAC2" w14:textId="09E2AD98" w:rsidR="00646F34" w:rsidRDefault="00646F34" w:rsidP="00646F34">
      <w:pPr>
        <w:pStyle w:val="BodyTextIndent"/>
      </w:pPr>
      <w:r>
        <w:t>6. agitadores para bebidas;</w:t>
      </w:r>
    </w:p>
    <w:p w14:paraId="76B29E21" w14:textId="70F8D689" w:rsidR="00646F34" w:rsidRDefault="00646F34" w:rsidP="00646F34">
      <w:pPr>
        <w:pStyle w:val="BodyTextIndent"/>
      </w:pPr>
      <w:r>
        <w:t>7. palos para sujetar y sostener los globos;</w:t>
      </w:r>
    </w:p>
    <w:p w14:paraId="3D694708" w14:textId="534C4101" w:rsidR="00646F34" w:rsidRDefault="00646F34" w:rsidP="00646F34">
      <w:pPr>
        <w:pStyle w:val="BodyTextIndent"/>
      </w:pPr>
      <w:r>
        <w:t>8. pajitas, y</w:t>
      </w:r>
    </w:p>
    <w:p w14:paraId="0AD6DF3E" w14:textId="162E403C" w:rsidR="00646F34" w:rsidRDefault="00646F34" w:rsidP="00646F34">
      <w:pPr>
        <w:pStyle w:val="BodyTextIndent"/>
      </w:pPr>
      <w:r>
        <w:t>9. platos.</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Artículo 13</w:t>
      </w:r>
      <w:r>
        <w:t xml:space="preserve"> Las prohibiciones </w:t>
      </w:r>
      <w:proofErr w:type="gramStart"/>
      <w:r>
        <w:t>de la artículo</w:t>
      </w:r>
      <w:proofErr w:type="gramEnd"/>
      <w:r>
        <w:t> 12, apartados 1 y 8, no se aplicarán a los hisopos de algodón y las pajitas cubiertas por las disposiciones sobre productos sanitarios del Reglamento (UE) 2017/745 del Parlamento Europeo y del Consejo, de 5 de abril de 2017, sobre productos sanitarios, por el que se modifican la Directiva 2001/83/CE, el Reglamento (CE) n.º 178/2002 y el Reglamento (CE) n.º 1223/2009 y se derogan las Directivas 90/385/CEE y 93/42/CEE del Consejo.</w:t>
      </w:r>
    </w:p>
    <w:p w14:paraId="7528FEAE" w14:textId="326659CB" w:rsidR="00646F34" w:rsidRDefault="00646F34" w:rsidP="00646F34">
      <w:pPr>
        <w:pStyle w:val="BodyTextIndent"/>
      </w:pPr>
      <w:r>
        <w:t>Las prohibiciones establecidas en el artículo 12, apartado 7, no se aplicarán a los palos destinados a usos industriales u otros usos profesionales y que no se distribuyan a los consumidores.</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lastRenderedPageBreak/>
        <w:t>Artículo 14</w:t>
      </w:r>
      <w:r>
        <w:t xml:space="preserve"> Se prohíbe la introducción en el mercado sueco de vasos de un solo uso que contengan más del 15 % de plástico.</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Artículo 15</w:t>
      </w:r>
      <w:r>
        <w:t xml:space="preserve"> La Agencia Sueca de Protección del Medio Ambiente puede promulgar reglamentos sobre exenciones de la prohibición en el artículo 14 si hay razones especiales para introducir vasos de un solo uso en el mercado sueco.</w:t>
      </w:r>
    </w:p>
    <w:p w14:paraId="7448A23B" w14:textId="77777777" w:rsidR="00646F34" w:rsidRPr="00BB14F4" w:rsidRDefault="00646F34" w:rsidP="009E6D43">
      <w:pPr>
        <w:pStyle w:val="Heading4"/>
      </w:pPr>
      <w:r>
        <w:t xml:space="preserve">Prohibición del uso de confeti </w:t>
      </w:r>
    </w:p>
    <w:p w14:paraId="01083929" w14:textId="7D04A31D" w:rsidR="00211C2C" w:rsidRDefault="00211C2C" w:rsidP="00211C2C">
      <w:pPr>
        <w:pStyle w:val="BodyText"/>
      </w:pPr>
      <w:r>
        <w:rPr>
          <w:b/>
        </w:rPr>
        <w:t>Artículo 16</w:t>
      </w:r>
      <w:r>
        <w:t xml:space="preserve"> El confeti que contenga plástico no podrá utilizarse al aire libre.</w:t>
      </w:r>
    </w:p>
    <w:p w14:paraId="32161E4B" w14:textId="77777777" w:rsidR="007A4814" w:rsidRDefault="00646F34" w:rsidP="009E6D43">
      <w:pPr>
        <w:pStyle w:val="Heading4"/>
      </w:pPr>
      <w:r>
        <w:t>Requisito para ofrecer el producto que se sirve en vasos y cajas reutilizables para alimentos</w:t>
      </w:r>
    </w:p>
    <w:p w14:paraId="67DAC9C3" w14:textId="35F297D5" w:rsidR="00211C2C" w:rsidRDefault="00646F34" w:rsidP="00211C2C">
      <w:pPr>
        <w:pStyle w:val="BodyText"/>
      </w:pPr>
      <w:bookmarkStart w:id="8" w:name="_Hlk57038341"/>
      <w:r>
        <w:rPr>
          <w:b/>
        </w:rPr>
        <w:t>Artículo 17</w:t>
      </w:r>
      <w:r>
        <w:t>    </w:t>
      </w:r>
      <w:bookmarkEnd w:id="8"/>
      <w:r>
        <w:t xml:space="preserve">Cualquiera que comercialice bebidas en el mercado sueco en vasos de un solo uso deberá: </w:t>
      </w:r>
    </w:p>
    <w:p w14:paraId="4F7B1DE6" w14:textId="77777777" w:rsidR="00211C2C" w:rsidRDefault="00211C2C" w:rsidP="00211C2C">
      <w:pPr>
        <w:pStyle w:val="BodyTextIndent"/>
      </w:pPr>
      <w:r>
        <w:t>1. ofrecer la posibilidad de servir la bebida en un vaso reutilizable, y</w:t>
      </w:r>
    </w:p>
    <w:p w14:paraId="4136D526" w14:textId="77777777" w:rsidR="00211C2C" w:rsidRDefault="00211C2C" w:rsidP="00211C2C">
      <w:pPr>
        <w:pStyle w:val="BodyTextIndent"/>
      </w:pPr>
      <w:r>
        <w:t>2. adoptar medidas eficaces para garantizar que los vasos reutilizables y sus tapas pasen por varios ciclos de reutilización.</w:t>
      </w:r>
    </w:p>
    <w:p w14:paraId="6F9BEF6A" w14:textId="77777777" w:rsidR="00211C2C" w:rsidRDefault="00211C2C" w:rsidP="00211C2C">
      <w:pPr>
        <w:pStyle w:val="BodyTextIndent"/>
      </w:pPr>
      <w:r>
        <w:t>El vaso reutilizable debe ser suministrado por el proveedor de la bebida, independientemente de si la bebida está destinada al consumo in situ o para llevar.</w:t>
      </w:r>
    </w:p>
    <w:p w14:paraId="7A08BAA7" w14:textId="4C3CA2D4" w:rsidR="00646F34" w:rsidRDefault="00646F34" w:rsidP="00211C2C">
      <w:pPr>
        <w:pStyle w:val="BodyText"/>
      </w:pPr>
    </w:p>
    <w:p w14:paraId="64304C20" w14:textId="4B1B33CF" w:rsidR="00211C2C" w:rsidRDefault="00646F34" w:rsidP="00211C2C">
      <w:pPr>
        <w:pStyle w:val="BodyText"/>
      </w:pPr>
      <w:r>
        <w:rPr>
          <w:b/>
        </w:rPr>
        <w:t>Artículo 18</w:t>
      </w:r>
      <w:r>
        <w:t xml:space="preserve"> Cualquiera que comercialice comida rápida en el mercado sueco en cajas de un solo uso para alimentos deberá: </w:t>
      </w:r>
    </w:p>
    <w:p w14:paraId="2BE54211" w14:textId="77777777" w:rsidR="00211C2C" w:rsidRDefault="00211C2C" w:rsidP="00211C2C">
      <w:pPr>
        <w:pStyle w:val="BodyTextIndent"/>
      </w:pPr>
      <w:r>
        <w:t>1. ofrecer la posibilidad de servir la comida rápida en una caja reutilizable para alimentos, y</w:t>
      </w:r>
    </w:p>
    <w:p w14:paraId="152442DF" w14:textId="77777777" w:rsidR="00211C2C" w:rsidRDefault="00211C2C" w:rsidP="00211C2C">
      <w:pPr>
        <w:pStyle w:val="BodyTextIndent"/>
      </w:pPr>
      <w:r>
        <w:t xml:space="preserve">2. adoptar medidas eficaces para garantizar que las cajas reutilizables para alimentos y sus tapas pasen por varios ciclos de reutilización. </w:t>
      </w:r>
    </w:p>
    <w:p w14:paraId="2B261D6F" w14:textId="4D167F28" w:rsidR="00211C2C" w:rsidRDefault="00211C2C" w:rsidP="00211C2C">
      <w:pPr>
        <w:pStyle w:val="BodyTextIndent"/>
      </w:pPr>
      <w:r>
        <w:t>La caja reutilizable para alimentos debe ser suministrada por el proveedor del alimento, independientemente de si el alimento está destinado al consumo in situ o para llevar.</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Artículo 19</w:t>
      </w:r>
      <w:r>
        <w:t xml:space="preserve"> Toda persona que comercialice un vaso o una caja reutilizable para alimentos de conformidad con los artículos 17 o 18 deberá elegir un vaso o una caja para alimentos que tenga el menor efecto negativo posible sobre la salud humana y el medio ambiente.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Artículo 20</w:t>
      </w:r>
      <w:r>
        <w:t>    </w:t>
      </w:r>
      <w:bookmarkStart w:id="9" w:name="_Hlk50550710"/>
      <w:r>
        <w:t>Cualquiera que comercialice en el mercado sueco bebidas en vasos de un solo uso o comida rápida en cajas de alimentos de un solo uso deberán informar a los consumidores en el lugar de venta sobre:</w:t>
      </w:r>
      <w:bookmarkEnd w:id="9"/>
    </w:p>
    <w:p w14:paraId="4E98CC42" w14:textId="77777777" w:rsidR="00211C2C" w:rsidRDefault="00211C2C" w:rsidP="00211C2C">
      <w:pPr>
        <w:pStyle w:val="BodyTextIndent"/>
      </w:pPr>
      <w:r>
        <w:t xml:space="preserve">1. la posibilidad de que la bebida se sirva en un vaso reutilizable o la comida rápida en una caja reutilizable para alimentos, </w:t>
      </w:r>
    </w:p>
    <w:p w14:paraId="56E0E8F3" w14:textId="77777777" w:rsidR="00211C2C" w:rsidRPr="00EE3CA1" w:rsidRDefault="00211C2C" w:rsidP="00211C2C">
      <w:pPr>
        <w:pStyle w:val="BodyTextIndent"/>
      </w:pPr>
      <w:r>
        <w:t>2. el impacto sobre el medio ambiente causado por el uso de vasos de un solo uso y cajas de un solo uso para alimentos, y</w:t>
      </w:r>
    </w:p>
    <w:p w14:paraId="0D559E7A" w14:textId="77777777" w:rsidR="00211C2C" w:rsidRPr="00EE3CA1" w:rsidRDefault="00211C2C" w:rsidP="00211C2C">
      <w:pPr>
        <w:pStyle w:val="BodyTextIndent"/>
      </w:pPr>
      <w:r>
        <w:t>3. los beneficios de la reducción del consumo de vasos de un solo uso y cajas de un solo uso para alimentos.</w:t>
      </w:r>
    </w:p>
    <w:p w14:paraId="28AD6CE3" w14:textId="77777777" w:rsidR="00211C2C" w:rsidRDefault="00211C2C" w:rsidP="00211C2C">
      <w:pPr>
        <w:pStyle w:val="BodyTextIndent"/>
      </w:pPr>
      <w:r>
        <w:t xml:space="preserve">La información debe hacerse visible en el punto de venta y ser fácilmente accesible para el consumidor.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Artículo 21</w:t>
      </w:r>
      <w:r>
        <w:t xml:space="preserve"> Los requisitos establecidos en los artículos 17 a 20 no se aplican a aquellos que comercializan en el mercado sueco bebidas en vasos de un solo uso o comida rápida en cajas de un solo uso para alimentos si el vaso o la caja para alimentos están fabricados completamente de papel o cartón que </w:t>
      </w:r>
      <w:r>
        <w:lastRenderedPageBreak/>
        <w:t>no haya sido modificado químicamente de manera que se retrasa la descomposición.</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Artículo 22</w:t>
      </w:r>
      <w:r>
        <w:t xml:space="preserve"> Los requisitos establecidos en los artículos 14 a 17 no se aplican a aquellos que comercializan en el mercado sueco bebidas o comida rápida en menos de 150 vasos de un solo uso y cajas de un solo uso para alimentos por día </w:t>
      </w:r>
      <w:bookmarkStart w:id="10" w:name="_Hlk53479781"/>
      <w:r>
        <w:t>que esté abierto el punto de venta</w:t>
      </w:r>
      <w:bookmarkEnd w:id="10"/>
      <w:r>
        <w:t xml:space="preserve">. </w:t>
      </w:r>
    </w:p>
    <w:p w14:paraId="4F9631E1" w14:textId="42F7C71B" w:rsidR="00211C2C" w:rsidRDefault="00BC1BFA" w:rsidP="00211C2C">
      <w:pPr>
        <w:pStyle w:val="BodyTextIndent"/>
      </w:pPr>
      <w:r>
        <w:t xml:space="preserve">El número de vasos de un solo uso y cajas de un solo uso para alimentos deberá calcularse como una media de los vasos de un solo uso y las cajas de alimento de un solo uso utilizados en los días </w:t>
      </w:r>
      <w:bookmarkStart w:id="11" w:name="_Hlk54008522"/>
      <w:r>
        <w:t>en los que el punto de venta esté abierto durante un año civil</w:t>
      </w:r>
      <w:bookmarkEnd w:id="11"/>
      <w:r>
        <w:t xml:space="preserve">. </w:t>
      </w:r>
    </w:p>
    <w:p w14:paraId="633C4935" w14:textId="6AAF4527" w:rsidR="009E6722" w:rsidRDefault="009E6722" w:rsidP="00211C2C">
      <w:pPr>
        <w:pStyle w:val="BodyTextIndent"/>
      </w:pPr>
      <w:r>
        <w:t>Las personas cubiertas por la exención que decidan no proporcionar vasos y cajas reutilizables para alimentos deberán disponer de procedimientos para garantizar que en promedio no se proporcionen más de 150 vasos de un solo uso y cajas de un solo uso para alimentos al día.</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Artículo 23</w:t>
      </w:r>
      <w:r>
        <w:t xml:space="preserve"> </w:t>
      </w:r>
      <w:bookmarkStart w:id="12" w:name="_Hlk54008598"/>
      <w:r>
        <w:t>La Agencia Sueca de Protección del Medio Ambiente podrá promulgar reglamentos adicionales sobre exenciones de los requisitos establecidos en los artículos 17 a 20 en los casos en que no sea razonable exigir a la persona que proporcione bebidas en vasos de un solo uso o comida rápida en cajas de un solo uso para alimentos que ofrezca una alternativa reutilizable.</w:t>
      </w:r>
    </w:p>
    <w:p w14:paraId="269C50B5" w14:textId="60FCCAF3" w:rsidR="009D070E" w:rsidRPr="0024586A" w:rsidRDefault="009D070E" w:rsidP="009D070E">
      <w:pPr>
        <w:pStyle w:val="BodyTextIndent"/>
      </w:pPr>
      <w:r>
        <w:t xml:space="preserve">No se podrán promulgar reglamentos sobre exenciones en relación con los vasos de un solo uso o las cajas de un solo uso para alimentos si se puede suponer que una exención plantea un riesgo significativo de vertidos de basura dispersa o tener como resultado que Suecia no cumpla el objetivo del artículo 24. </w:t>
      </w:r>
    </w:p>
    <w:bookmarkEnd w:id="12"/>
    <w:p w14:paraId="7C8314FF" w14:textId="77777777" w:rsidR="00646F34" w:rsidRPr="00F533B0" w:rsidRDefault="00646F34" w:rsidP="009E6D43">
      <w:pPr>
        <w:pStyle w:val="Heading4"/>
      </w:pPr>
      <w:r>
        <w:t xml:space="preserve">Objetivos de reducción del consumo </w:t>
      </w:r>
    </w:p>
    <w:p w14:paraId="4BC974B2" w14:textId="2E34F32C" w:rsidR="00646F34" w:rsidRPr="00F533B0" w:rsidRDefault="00732438" w:rsidP="00646F34">
      <w:pPr>
        <w:pStyle w:val="BodyTextIndent"/>
        <w:ind w:firstLine="0"/>
      </w:pPr>
      <w:r>
        <w:rPr>
          <w:b/>
        </w:rPr>
        <w:t>Artículo 24</w:t>
      </w:r>
      <w:r>
        <w:t xml:space="preserve"> En el caso de vasos de plástico y cajas de alimentos de un solo uso, el consumo se reducirá en un 50 % a partir del 2026 en comparación con el consumo en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Artículo 25</w:t>
      </w:r>
      <w:r>
        <w:t xml:space="preserve"> </w:t>
      </w:r>
      <w:bookmarkStart w:id="13" w:name="_Hlk84256029"/>
      <w:bookmarkStart w:id="14" w:name="_Hlk54788938"/>
      <w:bookmarkStart w:id="15" w:name="_Hlk54692017"/>
      <w:r>
        <w:t>Proporcionar o utilizar vasos y cajas de alimentos que sean productos de plástico de un solo uso en una actividad profesional contribuirá eficazmente a alcanzar el objetivo</w:t>
      </w:r>
      <w:bookmarkEnd w:id="13"/>
      <w:bookmarkEnd w:id="14"/>
      <w:bookmarkEnd w:id="15"/>
      <w:r>
        <w:t>.</w:t>
      </w:r>
    </w:p>
    <w:p w14:paraId="6C1E5310" w14:textId="77777777" w:rsidR="00646F34" w:rsidRDefault="00646F34" w:rsidP="009E6D43">
      <w:pPr>
        <w:pStyle w:val="Heading4"/>
      </w:pPr>
      <w:r>
        <w:t>Etiquetado y otra información para los consumidores</w:t>
      </w:r>
    </w:p>
    <w:p w14:paraId="4D808795" w14:textId="7E8A6C22" w:rsidR="00DE4842" w:rsidRPr="00870B91" w:rsidRDefault="00B92EB6">
      <w:pPr>
        <w:pStyle w:val="BodyText"/>
      </w:pPr>
      <w:r>
        <w:rPr>
          <w:b/>
        </w:rPr>
        <w:t>Artículo 26</w:t>
      </w:r>
      <w:r>
        <w:t xml:space="preserve"> Toallas sanitarias, tampones y aplicadores de tampones, los cuales son productos de plástico de un solo uso, solo podrán comercializarse en el mercado sueco si están etiquetados de conformidad con el Reglamento de Ejecución (UE) 2020/2151 de la Comisión, de 17 de diciembre de 2020, por el que se establecen normas sobre las especificaciones armonizadas de marcado de los productos de plástico de un solo uso enumerados en la parte D del anexo de la Directiva (UE) 2019/904 del Parlamento Europeo y del Consejo, relativa a la reducción del impacto de determinados productos de plástico en el medio ambiente.</w:t>
      </w:r>
    </w:p>
    <w:p w14:paraId="41230D35" w14:textId="4E63DF75" w:rsidR="00646F34" w:rsidRDefault="0078709D">
      <w:pPr>
        <w:pStyle w:val="BodyTextIndent"/>
      </w:pPr>
      <w:r>
        <w:t xml:space="preserve">La etiqueta deberá ser prominente, fácilmente legible e indeleble.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Artículo 27</w:t>
      </w:r>
      <w:r>
        <w:t xml:space="preserve"> Quienes comercialicen en el mercado sueco goma de mascar, </w:t>
      </w:r>
      <w:proofErr w:type="spellStart"/>
      <w:r>
        <w:t>snus</w:t>
      </w:r>
      <w:proofErr w:type="spellEnd"/>
      <w:r>
        <w:t xml:space="preserve"> en porciones, compresas, tampones o aplicadores de tampones, los cuales son productos de plástico de un solo uso, informarán a los consumidores de: </w:t>
      </w:r>
    </w:p>
    <w:p w14:paraId="55442CB5" w14:textId="7BD389D1" w:rsidR="00646F34" w:rsidRDefault="00646F34" w:rsidP="00646F34">
      <w:pPr>
        <w:pStyle w:val="BodyTextIndent"/>
      </w:pPr>
      <w:r>
        <w:lastRenderedPageBreak/>
        <w:t xml:space="preserve">1. cómo debe ser manejado el producto cuando se convierte en residuo, </w:t>
      </w:r>
    </w:p>
    <w:p w14:paraId="3374034E" w14:textId="77777777" w:rsidR="00646F34" w:rsidRDefault="00646F34" w:rsidP="00646F34">
      <w:pPr>
        <w:pStyle w:val="BodyTextIndent"/>
      </w:pPr>
      <w:r>
        <w:t>2. los efectos perjudiciales para el medio ambiente de la basura o derivados de otra eliminación inadecuada del producto, y</w:t>
      </w:r>
    </w:p>
    <w:p w14:paraId="04AFA23A" w14:textId="77777777" w:rsidR="00646F34" w:rsidRDefault="00646F34" w:rsidP="00646F34">
      <w:pPr>
        <w:pStyle w:val="BodyTextIndent"/>
      </w:pPr>
      <w:r>
        <w:t>3. los efectos negativos en la red de alcantarillado de tirar el producto por el desagüe.</w:t>
      </w:r>
    </w:p>
    <w:p w14:paraId="60EF4B35" w14:textId="2026A723" w:rsidR="00646F34" w:rsidRDefault="00646F34" w:rsidP="00646F34">
      <w:pPr>
        <w:pStyle w:val="BodyTextIndent"/>
      </w:pPr>
      <w:r>
        <w:t xml:space="preserve">La información contribuirá a garantizar que los residuos de los productos de plástico de un solo uso se gestionen adecuadamente y a reducir el vertido de basura. </w:t>
      </w:r>
    </w:p>
    <w:p w14:paraId="28D3751E" w14:textId="4061BA52" w:rsidR="00A943CA" w:rsidRDefault="00646F34" w:rsidP="00646F34">
      <w:pPr>
        <w:pStyle w:val="BodyTextIndent"/>
        <w:rPr>
          <w:b/>
        </w:rPr>
      </w:pPr>
      <w:r>
        <w:t xml:space="preserve">La información será de fácil acceso, fomentará un comportamiento responsable de los consumidores y se facilitará periódicamente.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Artículo 28</w:t>
      </w:r>
      <w:r>
        <w:t xml:space="preserve"> Quienes, en el ejercicio de una actividad profesional, suministren bolsas de plástico a los consumidores deberán facilitar información sobre: </w:t>
      </w:r>
    </w:p>
    <w:p w14:paraId="1D7EE05B" w14:textId="77777777" w:rsidR="00646F34" w:rsidRDefault="00646F34" w:rsidP="00646F34">
      <w:pPr>
        <w:pStyle w:val="BodyTextIndent"/>
      </w:pPr>
      <w:r>
        <w:t xml:space="preserve">1. el impacto ambiental de las bolsas de plástico y los beneficios de la reducción del consumo de bolsas de plástico, y </w:t>
      </w:r>
    </w:p>
    <w:p w14:paraId="2771D7CE" w14:textId="05603BF4" w:rsidR="00646F34" w:rsidRDefault="00646F34" w:rsidP="00646F34">
      <w:pPr>
        <w:pStyle w:val="BodyTextIndent"/>
      </w:pPr>
      <w:r>
        <w:t>2. las medidas que el consumidor puede adoptar para reducir el consumo.</w:t>
      </w:r>
    </w:p>
    <w:p w14:paraId="5570BE05" w14:textId="14D7A4AB" w:rsidR="00646F34" w:rsidRDefault="00646F34" w:rsidP="00646F34">
      <w:pPr>
        <w:pStyle w:val="BodyTextIndent"/>
      </w:pPr>
      <w:r>
        <w:t xml:space="preserve">La obligación de facilitar información no se aplica a las bolsas de plástico: </w:t>
      </w:r>
    </w:p>
    <w:p w14:paraId="6136AAE5" w14:textId="21971FCC" w:rsidR="00646F34" w:rsidRDefault="00646F34" w:rsidP="00646F34">
      <w:pPr>
        <w:pStyle w:val="BodyTextIndent"/>
      </w:pPr>
      <w:r>
        <w:t>1. que se proporcionen a distancia, o</w:t>
      </w:r>
    </w:p>
    <w:p w14:paraId="0946EE4F" w14:textId="77777777" w:rsidR="00646F34" w:rsidRPr="00F37459" w:rsidDel="00A4255D" w:rsidRDefault="00646F34" w:rsidP="00646F34">
      <w:pPr>
        <w:pStyle w:val="BodyTextIndent"/>
      </w:pPr>
      <w:r>
        <w:t>2. </w:t>
      </w:r>
      <w:bookmarkStart w:id="18" w:name="_Hlk52885097"/>
      <w:r>
        <w:t>con paredes más finas de 15 micras que son necesarias por razones de higiene o se proporcionan como el embalaje primario de los alimentos vendidos a granel.</w:t>
      </w:r>
    </w:p>
    <w:bookmarkEnd w:id="17"/>
    <w:bookmarkEnd w:id="18"/>
    <w:p w14:paraId="0130FB62" w14:textId="77F6F09F" w:rsidR="00646F34" w:rsidRDefault="00646F34" w:rsidP="00646F34">
      <w:pPr>
        <w:pStyle w:val="BodyTextIndent"/>
      </w:pPr>
      <w:r>
        <w:t xml:space="preserve">La información será de fácil acceso, fomentará un comportamiento responsable de los consumidores y se facilitará periódicamente.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Artículo 29</w:t>
      </w:r>
      <w:r>
        <w:t xml:space="preserve"> En el caso de los productos de plástico de un solo uso contemplados en el artículo 8 de la Orden (2021:000) sobre las tarifas de vertido de basura, la Agencia Sueca de Protección del Medio Ambiente informará a los consumidores de: </w:t>
      </w:r>
    </w:p>
    <w:p w14:paraId="57FBCC86" w14:textId="7D329365" w:rsidR="00333168" w:rsidRDefault="00333168" w:rsidP="00333168">
      <w:pPr>
        <w:pStyle w:val="BodyTextIndent"/>
      </w:pPr>
      <w:r>
        <w:t xml:space="preserve">1. cómo hacer frente a los productos de plástico de un solo uso cuando se convierten en residuos; </w:t>
      </w:r>
    </w:p>
    <w:p w14:paraId="71E21096" w14:textId="0E200B1D" w:rsidR="00333168" w:rsidRDefault="00333168" w:rsidP="00333168">
      <w:pPr>
        <w:pStyle w:val="BodyTextIndent"/>
      </w:pPr>
      <w:r>
        <w:t>2. los efectos adversos para el medio ambiente de la basura o derivados de otra eliminación inadecuada de productos de plástico de un solo uso, y</w:t>
      </w:r>
    </w:p>
    <w:p w14:paraId="08A33784" w14:textId="28409F05" w:rsidR="00333168" w:rsidRDefault="00333168" w:rsidP="00333168">
      <w:pPr>
        <w:pStyle w:val="BodyTextIndent"/>
      </w:pPr>
      <w:r>
        <w:t>3. los efectos negativos en la red de alcantarillado de tirar el producto de plástico de un solo uso por el desagüe.</w:t>
      </w:r>
    </w:p>
    <w:p w14:paraId="78958184" w14:textId="0761D282" w:rsidR="00333168" w:rsidRDefault="00333168" w:rsidP="00333168">
      <w:pPr>
        <w:pStyle w:val="BodyTextIndent"/>
      </w:pPr>
      <w:bookmarkStart w:id="19" w:name="_Hlk85729959"/>
      <w:r>
        <w:t xml:space="preserve">La información contribuirá a garantizar que los residuos procedentes de productos de plástico de un solo uso se manipulen adecuadamente y a reducir la basura. </w:t>
      </w:r>
    </w:p>
    <w:bookmarkEnd w:id="19"/>
    <w:p w14:paraId="2FDE9192" w14:textId="05D60899" w:rsidR="00333168" w:rsidRPr="00F37459" w:rsidRDefault="00333168" w:rsidP="00646F34">
      <w:pPr>
        <w:pStyle w:val="BodyTextIndent"/>
      </w:pPr>
      <w:r>
        <w:t xml:space="preserve">La información será de fácil acceso, fomentará un comportamiento responsable de los consumidores y se facilitará periódicamente. </w:t>
      </w:r>
    </w:p>
    <w:p w14:paraId="4F28984C" w14:textId="77777777" w:rsidR="00646F34" w:rsidRPr="004A5FA3" w:rsidRDefault="00646F34" w:rsidP="009E6D43">
      <w:pPr>
        <w:pStyle w:val="Heading4"/>
      </w:pPr>
      <w:r>
        <w:t>Seguimiento de la disminución del consumo</w:t>
      </w:r>
    </w:p>
    <w:p w14:paraId="63677034" w14:textId="3A394BD8" w:rsidR="00646F34" w:rsidRDefault="00333168" w:rsidP="00646F34">
      <w:pPr>
        <w:pStyle w:val="BodyText"/>
      </w:pPr>
      <w:r>
        <w:rPr>
          <w:b/>
        </w:rPr>
        <w:t>Artículo </w:t>
      </w:r>
      <w:proofErr w:type="gramStart"/>
      <w:r>
        <w:rPr>
          <w:b/>
        </w:rPr>
        <w:t>30</w:t>
      </w:r>
      <w:r>
        <w:t xml:space="preserve"> </w:t>
      </w:r>
      <w:bookmarkStart w:id="20" w:name="_Hlk39566463"/>
      <w:r>
        <w:t xml:space="preserve"> Sobre</w:t>
      </w:r>
      <w:proofErr w:type="gramEnd"/>
      <w:r>
        <w:t xml:space="preserve"> la base de la información facilitada en virtud de la artículo 73, letra a), de la Orden (2018:1462) sobre la responsabilidad del productor en los envases, la Agencia Sueca de Protección del Medio Ambiente supervisará que el consumo de: </w:t>
      </w:r>
    </w:p>
    <w:p w14:paraId="124862F8" w14:textId="77777777" w:rsidR="00646F34" w:rsidRDefault="00646F34" w:rsidP="00646F34">
      <w:pPr>
        <w:pStyle w:val="BodyTextIndent"/>
      </w:pPr>
      <w:r>
        <w:t xml:space="preserve">1. las bolsas de plástico esté disminuyendo y el consumo de bolsas de plástico ligeras no exceda de 90 bolsas por persona y año a partir del 31 de diciembre de 2019 y de 40 bolsas por persona y año a partir del 31 de diciembre de 2025, y </w:t>
      </w:r>
    </w:p>
    <w:p w14:paraId="7E098308" w14:textId="77777777" w:rsidR="00646F34" w:rsidRDefault="00646F34" w:rsidP="00646F34">
      <w:pPr>
        <w:pStyle w:val="BodyTextIndent"/>
      </w:pPr>
      <w:r>
        <w:t>2. los vasos y cajas de alimentos que sean productos de plástico de un solo uso hayan disminuido en un 50 % en el año civil 2026 en comparación con el consumo en el año civil 2022.</w:t>
      </w:r>
    </w:p>
    <w:p w14:paraId="4DF4B9EC" w14:textId="77777777" w:rsidR="00646F34" w:rsidRDefault="00646F34" w:rsidP="00646F34">
      <w:pPr>
        <w:pStyle w:val="BodyTextIndent"/>
      </w:pPr>
      <w:r>
        <w:lastRenderedPageBreak/>
        <w:t xml:space="preserve">El cálculo del consumo de bolsas de plástico ligeras no incluirá las bolsas con una pared más fina de 15 micras y: </w:t>
      </w:r>
    </w:p>
    <w:p w14:paraId="408D81DA" w14:textId="22F58FD7" w:rsidR="00646F34" w:rsidRDefault="00646F34" w:rsidP="00646F34">
      <w:pPr>
        <w:pStyle w:val="BodyTextIndent"/>
      </w:pPr>
      <w:r>
        <w:t xml:space="preserve">1. sea necesario por razones de higiene, o </w:t>
      </w:r>
    </w:p>
    <w:p w14:paraId="0FBB7059" w14:textId="77777777" w:rsidR="00646F34" w:rsidRPr="00E975B9" w:rsidRDefault="00646F34" w:rsidP="00646F34">
      <w:pPr>
        <w:pStyle w:val="BodyTextIndent"/>
      </w:pPr>
      <w:r>
        <w:t xml:space="preserve">2. se proporcionan como embalaje primario para los alimentos vendidos a granel. </w:t>
      </w:r>
    </w:p>
    <w:p w14:paraId="24D1CC3E" w14:textId="1006B9A1" w:rsidR="00646F34" w:rsidRDefault="00646F34" w:rsidP="00646F34">
      <w:pPr>
        <w:pStyle w:val="BodyTextIndent"/>
      </w:pPr>
      <w:r>
        <w:t>Si el Organismo Sueco de Protección del Medio Ambiente considera que el consumo de bolsas</w:t>
      </w:r>
      <w:r w:rsidR="00962AF7">
        <w:t xml:space="preserve"> </w:t>
      </w:r>
      <w:r>
        <w:t>de plástico y vasos y cajas de alimentos que sean productos de plástico de un solo uso no está disminuyendo o que el consumo de bolsas de plástico ligeras supera los niveles establecidos en el apartado primero, el Organismo Sueco de Protección del Medio Ambiente presentará al Gobierno propuestas para las medidas apropiadas.</w:t>
      </w:r>
      <w:bookmarkEnd w:id="20"/>
    </w:p>
    <w:p w14:paraId="1F952C0F" w14:textId="77777777" w:rsidR="00646F34" w:rsidRPr="006047FF" w:rsidRDefault="00646F34" w:rsidP="009E6D43">
      <w:pPr>
        <w:pStyle w:val="Heading4"/>
      </w:pPr>
      <w:r>
        <w:t>Notificación</w:t>
      </w:r>
    </w:p>
    <w:p w14:paraId="38C80481" w14:textId="725E6848" w:rsidR="00646F34" w:rsidRDefault="00333168" w:rsidP="00646F34">
      <w:pPr>
        <w:pStyle w:val="BodyText"/>
      </w:pPr>
      <w:r>
        <w:rPr>
          <w:b/>
        </w:rPr>
        <w:t>Artículo 31</w:t>
      </w:r>
      <w:r>
        <w:t xml:space="preserve"> La Agencia de Protección del Medio Ambiente informará a la Comisión Europea de conformidad con la Directiva (UE) 2019/904 del Parlamento Europeo y del Consejo, de 5 de junio de 2019, relativa a la reducción del impacto de determinados productos de plástico en el medio ambiente, en su redacción original. </w:t>
      </w:r>
    </w:p>
    <w:p w14:paraId="6C61A685" w14:textId="77777777" w:rsidR="00646F34" w:rsidRDefault="00646F34" w:rsidP="009E6D43">
      <w:pPr>
        <w:pStyle w:val="Heading4"/>
      </w:pPr>
      <w:r>
        <w:t>Supervisión</w:t>
      </w:r>
    </w:p>
    <w:p w14:paraId="793E3E77" w14:textId="37D380AB" w:rsidR="00646F34" w:rsidRDefault="00646F34" w:rsidP="00646F34">
      <w:pPr>
        <w:pStyle w:val="BodyTextIndent"/>
        <w:ind w:firstLine="0"/>
      </w:pPr>
      <w:bookmarkStart w:id="21" w:name="_Hlk49157704"/>
      <w:r>
        <w:rPr>
          <w:b/>
        </w:rPr>
        <w:t>Artículo 32</w:t>
      </w:r>
      <w:r>
        <w:t xml:space="preserve"> El capítulo 2, artículos 24 y 31 de la Ordenanza (2011:13) sobre la aplicación del medio ambiente contiene disposiciones sobre supervisión. </w:t>
      </w:r>
    </w:p>
    <w:p w14:paraId="63EF48B3" w14:textId="77777777" w:rsidR="00646F34" w:rsidRDefault="00646F34" w:rsidP="009E6D43">
      <w:pPr>
        <w:pStyle w:val="Heading4"/>
      </w:pPr>
      <w:r>
        <w:t>Sanciones</w:t>
      </w:r>
    </w:p>
    <w:p w14:paraId="6DC4E366" w14:textId="58C77F3B" w:rsidR="00646F34" w:rsidRDefault="00646F34" w:rsidP="00646F34">
      <w:pPr>
        <w:pStyle w:val="BodyText"/>
      </w:pPr>
      <w:r>
        <w:rPr>
          <w:b/>
        </w:rPr>
        <w:t>Artículo 33</w:t>
      </w:r>
      <w:r>
        <w:t xml:space="preserve"> La Ordenanza (2012: 259) sobre las tasas de sanciones medioambientales contiene disposiciones sobre las tasas de sanción medioambiental.</w:t>
      </w:r>
      <w:bookmarkEnd w:id="21"/>
    </w:p>
    <w:p w14:paraId="3554C13B" w14:textId="79257F9C" w:rsidR="00646F34" w:rsidRDefault="00C6508D" w:rsidP="00C6508D">
      <w:pPr>
        <w:pStyle w:val="Heading4"/>
      </w:pPr>
      <w:r>
        <w:t>Autorización para emitir reglamentos de ejecución</w:t>
      </w:r>
    </w:p>
    <w:p w14:paraId="0F85D3F8" w14:textId="4FB63265" w:rsidR="00646F34" w:rsidRDefault="00646F34" w:rsidP="00646F34">
      <w:pPr>
        <w:pStyle w:val="BodyText"/>
      </w:pPr>
      <w:r>
        <w:rPr>
          <w:b/>
        </w:rPr>
        <w:t>Artículo 34</w:t>
      </w:r>
      <w:r>
        <w:t xml:space="preserve"> La Agencia Sueca de Protección del Medio Ambiente puede dictar reglamentos sobre la ejecución de esta Ordenanza.</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La presente Ordenanza entrará en vigor el 30 de abril de 2022 con respecto a los artículos 16, el 1 de enero de 2024 con respecto a los artículos 14, 17 a 22 y 25, y de otro modo el 1 de enero de 2022.</w:t>
      </w:r>
    </w:p>
    <w:p w14:paraId="734AC260" w14:textId="6E9AF961" w:rsidR="00646F34" w:rsidRPr="00830602" w:rsidRDefault="00646F34" w:rsidP="00646F34">
      <w:pPr>
        <w:pStyle w:val="BodyTextIndent"/>
      </w:pPr>
      <w:r>
        <w:t>2. La Ordenanza deroga la Ordenanza (2016:1041) sobre bolsas de plástico.</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En nombre del Gobierno</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r>
      <w:proofErr w:type="spellStart"/>
      <w:r>
        <w:t>Maria</w:t>
      </w:r>
      <w:proofErr w:type="spellEnd"/>
      <w:r>
        <w:t xml:space="preserve"> Jonsson</w:t>
      </w:r>
    </w:p>
    <w:p w14:paraId="2053920B" w14:textId="63A1370F" w:rsidR="00E95ADF" w:rsidRDefault="00E95ADF" w:rsidP="00C24693">
      <w:pPr>
        <w:pStyle w:val="BodyText"/>
        <w:keepLines/>
        <w:tabs>
          <w:tab w:val="left" w:pos="3827"/>
        </w:tabs>
        <w:ind w:left="3827" w:hanging="3827"/>
        <w:jc w:val="left"/>
      </w:pPr>
      <w:r>
        <w:tab/>
        <w:t>(Ministerio de Medio Ambiente)</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E3E6" w14:textId="77777777" w:rsidR="00727555" w:rsidRDefault="00727555" w:rsidP="00680442">
      <w:r>
        <w:separator/>
      </w:r>
    </w:p>
  </w:endnote>
  <w:endnote w:type="continuationSeparator" w:id="0">
    <w:p w14:paraId="69036163" w14:textId="77777777" w:rsidR="00727555" w:rsidRDefault="00727555" w:rsidP="00680442">
      <w:r>
        <w:continuationSeparator/>
      </w:r>
    </w:p>
  </w:endnote>
  <w:endnote w:type="continuationNotice" w:id="1">
    <w:p w14:paraId="673DEA08" w14:textId="77777777" w:rsidR="00727555" w:rsidRDefault="00727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1B78" w14:textId="77777777" w:rsidR="00727555" w:rsidRDefault="00727555" w:rsidP="00680442"/>
  </w:footnote>
  <w:footnote w:type="continuationSeparator" w:id="0">
    <w:p w14:paraId="0F4B5598" w14:textId="77777777" w:rsidR="00727555" w:rsidRPr="00C26807" w:rsidRDefault="00727555" w:rsidP="00C26807">
      <w:pPr>
        <w:pStyle w:val="Footer"/>
      </w:pPr>
    </w:p>
  </w:footnote>
  <w:footnote w:type="continuationNotice" w:id="1">
    <w:p w14:paraId="4897301C" w14:textId="77777777" w:rsidR="00727555" w:rsidRDefault="00727555"/>
  </w:footnote>
  <w:footnote w:id="2">
    <w:p w14:paraId="4FE7E27D" w14:textId="77777777" w:rsidR="00CE5660" w:rsidRDefault="00CE5660" w:rsidP="00211C2C">
      <w:pPr>
        <w:pStyle w:val="FootnoteText"/>
      </w:pPr>
      <w:r>
        <w:rPr>
          <w:rStyle w:val="FootnoteReference"/>
        </w:rPr>
        <w:footnoteRef/>
      </w:r>
      <w:r>
        <w:t xml:space="preserve"> Cf. Directiva (UE) 2019/904 del Parlamento Europeo y del Consejo, de 5 de junio de 2019, relativa a la reducción del impacto de determinados productos de plástico en el medio ambiente, en la redacción original. Véase la Directiva (UE) 2015/1535 del Parlamento Europeo y del Consejo, de 9 de septiembre de 2015, por la que se establece un procedimiento de información en materia de reglamentaciones técnicas y de reglas relativas a los servicios de la sociedad de la información (versión codificada).</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727555">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O DE PRUEBA, NO ES UN DOCUMENTO VÁ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MSF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MSF</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6478281">
    <w:abstractNumId w:val="8"/>
  </w:num>
  <w:num w:numId="2" w16cid:durableId="717362036">
    <w:abstractNumId w:val="8"/>
  </w:num>
  <w:num w:numId="3" w16cid:durableId="545797852">
    <w:abstractNumId w:val="3"/>
  </w:num>
  <w:num w:numId="4" w16cid:durableId="1876959837">
    <w:abstractNumId w:val="2"/>
  </w:num>
  <w:num w:numId="5" w16cid:durableId="405877813">
    <w:abstractNumId w:val="1"/>
  </w:num>
  <w:num w:numId="6" w16cid:durableId="1171219823">
    <w:abstractNumId w:val="0"/>
  </w:num>
  <w:num w:numId="7" w16cid:durableId="2144080870">
    <w:abstractNumId w:val="9"/>
  </w:num>
  <w:num w:numId="8" w16cid:durableId="1418207144">
    <w:abstractNumId w:val="7"/>
  </w:num>
  <w:num w:numId="9" w16cid:durableId="533886819">
    <w:abstractNumId w:val="6"/>
  </w:num>
  <w:num w:numId="10" w16cid:durableId="1096747797">
    <w:abstractNumId w:val="5"/>
  </w:num>
  <w:num w:numId="11" w16cid:durableId="895896028">
    <w:abstractNumId w:val="4"/>
  </w:num>
  <w:num w:numId="12" w16cid:durableId="1143154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3E33"/>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27555"/>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62AF7"/>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Hacer clic aquí para indicar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83405B"/>
    <w:rsid w:val="00931644"/>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1</TotalTime>
  <Pages>7</Pages>
  <Words>2926</Words>
  <Characters>14513</Characters>
  <Application>Microsoft Office Word</Application>
  <DocSecurity>0</DocSecurity>
  <Lines>345</Lines>
  <Paragraphs>169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Förordning om engångsprodukter</vt:lpstr>
      <vt:lpstr>Förordning om engångsprodukter</vt:lpstr>
    </vt:vector>
  </TitlesOfParts>
  <Company>Regeringskansliet</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2022-05-31T09:44:00Z</dcterms:created>
  <dcterms:modified xsi:type="dcterms:W3CDTF">2022-05-31T09:44:00Z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