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7D36" w14:textId="77777777" w:rsidR="00201C96" w:rsidRDefault="00201C96" w:rsidP="0068520B">
      <w:pPr>
        <w:pStyle w:val="BodyText"/>
      </w:pPr>
      <w:bookmarkStart w:id="0" w:name="Start"/>
      <w:bookmarkEnd w:id="0"/>
    </w:p>
    <w:p w14:paraId="4BBECBBF" w14:textId="77777777" w:rsidR="00646F34" w:rsidRDefault="00646F34" w:rsidP="007F7FC2">
      <w:pPr>
        <w:pStyle w:val="BodyText"/>
        <w:spacing w:after="1120"/>
      </w:pPr>
    </w:p>
    <w:p w14:paraId="719B4569" w14:textId="3265235D" w:rsidR="00646F34" w:rsidRDefault="00646F34" w:rsidP="002576A9">
      <w:pPr>
        <w:pStyle w:val="Heading1"/>
        <w:rPr>
          <w:sz w:val="38"/>
          <w:szCs w:val="38"/>
        </w:rPr>
      </w:pPr>
      <w:r>
        <w:rPr>
          <w:noProof/>
          <w:sz w:val="38"/>
        </w:rPr>
        <w:drawing>
          <wp:anchor distT="0" distB="0" distL="114300" distR="114300" simplePos="0" relativeHeight="251657216" behindDoc="1" locked="0" layoutInCell="1" allowOverlap="0" wp14:anchorId="01797C1F" wp14:editId="443ACB39">
            <wp:simplePos x="0" y="0"/>
            <wp:positionH relativeFrom="column">
              <wp:posOffset>-2540</wp:posOffset>
            </wp:positionH>
            <wp:positionV relativeFrom="page">
              <wp:posOffset>431800</wp:posOffset>
            </wp:positionV>
            <wp:extent cx="370205" cy="629920"/>
            <wp:effectExtent l="0" t="0" r="0" b="0"/>
            <wp:wrapNone/>
            <wp:docPr id="9" name="Bildobjekt 9"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r>
        <w:rPr>
          <w:sz w:val="38"/>
        </w:rPr>
        <w:t>Coletânea Legislativa da Suécia</w:t>
      </w:r>
    </w:p>
    <w:p w14:paraId="6CC2C3FA" w14:textId="6D0A6E6A" w:rsidR="00646F34" w:rsidRPr="005F75D2" w:rsidRDefault="002D7CC9" w:rsidP="005F75D2">
      <w:pPr>
        <w:pStyle w:val="BodyText"/>
        <w:pBdr>
          <w:top w:val="single" w:sz="6" w:space="1" w:color="auto"/>
        </w:pBdr>
        <w:ind w:right="-2411"/>
        <w:rPr>
          <w:sz w:val="4"/>
          <w:szCs w:val="4"/>
        </w:rPr>
      </w:pPr>
      <w:r>
        <w:rPr>
          <w:noProof/>
        </w:rPr>
        <mc:AlternateContent>
          <mc:Choice Requires="wps">
            <w:drawing>
              <wp:anchor distT="0" distB="0" distL="114300" distR="114300" simplePos="0" relativeHeight="251662336" behindDoc="0" locked="0" layoutInCell="1" allowOverlap="1" wp14:anchorId="5E9FED69" wp14:editId="79E2170D">
                <wp:simplePos x="0" y="0"/>
                <wp:positionH relativeFrom="page">
                  <wp:posOffset>5400675</wp:posOffset>
                </wp:positionH>
                <wp:positionV relativeFrom="page">
                  <wp:posOffset>1953766</wp:posOffset>
                </wp:positionV>
                <wp:extent cx="1551305" cy="712470"/>
                <wp:effectExtent l="0" t="0" r="0" b="0"/>
                <wp:wrapNone/>
                <wp:docPr id="7" name="Textruta 7" descr="Ruta som innehåller SFS-nummer och publiceringsdatum"/>
                <wp:cNvGraphicFramePr/>
                <a:graphic xmlns:a="http://schemas.openxmlformats.org/drawingml/2006/main">
                  <a:graphicData uri="http://schemas.microsoft.com/office/word/2010/wordprocessingShape">
                    <wps:wsp>
                      <wps:cNvSpPr txBox="1"/>
                      <wps:spPr>
                        <a:xfrm>
                          <a:off x="0" y="0"/>
                          <a:ext cx="1551305" cy="712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Publicado</w:t>
                            </w:r>
                            <w:r>
                              <w:rPr>
                                <w:sz w:val="20"/>
                              </w:rPr>
                              <w:br/>
                              <w: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FED69" id="_x0000_t202" coordsize="21600,21600" o:spt="202" path="m,l,21600r21600,l21600,xe">
                <v:stroke joinstyle="miter"/>
                <v:path gradientshapeok="t" o:connecttype="rect"/>
              </v:shapetype>
              <v:shape id="Textruta 7" o:spid="_x0000_s1026" type="#_x0000_t202" alt="Ruta som innehåller SFS-nummer och publiceringsdatum" style="position:absolute;left:0;text-align:left;margin-left:425.25pt;margin-top:153.85pt;width:122.15pt;height:5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" fillcolor="white [3201]" stroked="f" strokeweight=".5pt">
                <v:textbox>
                  <w:txbxContent>
                    <w:p w14:paraId="100C41C7" w14:textId="77777777" w:rsidR="00CE5660" w:rsidRPr="001974BD" w:rsidRDefault="00CE5660" w:rsidP="009C4782">
                      <w:pPr>
                        <w:pStyle w:val="BodyText"/>
                        <w:jc w:val="left"/>
                        <w:rPr>
                          <w:b/>
                          <w:sz w:val="26"/>
                          <w:szCs w:val="26"/>
                        </w:rPr>
                      </w:pPr>
                      <w:r>
                        <w:rPr>
                          <w:b/>
                          <w:sz w:val="26"/>
                        </w:rPr>
                        <w:t>SFS</w:t>
                      </w:r>
                    </w:p>
                    <w:p w14:paraId="4144185B" w14:textId="77777777" w:rsidR="00CE5660" w:rsidRPr="00AE1FEB" w:rsidRDefault="00CE5660" w:rsidP="009C4782">
                      <w:pPr>
                        <w:pStyle w:val="BodyText"/>
                        <w:jc w:val="left"/>
                        <w:rPr>
                          <w:sz w:val="20"/>
                          <w:szCs w:val="20"/>
                        </w:rPr>
                      </w:pPr>
                      <w:r>
                        <w:rPr>
                          <w:sz w:val="20"/>
                        </w:rPr>
                        <w:t>Publicado</w:t>
                      </w:r>
                      <w:r>
                        <w:rPr>
                          <w:sz w:val="20"/>
                        </w:rPr>
                        <w:br/>
                        <w:t>em</w:t>
                      </w:r>
                    </w:p>
                  </w:txbxContent>
                </v:textbox>
                <w10:wrap anchorx="page" anchory="page"/>
              </v:shape>
            </w:pict>
          </mc:Fallback>
        </mc:AlternateContent>
      </w:r>
    </w:p>
    <w:p w14:paraId="06E55153" w14:textId="106238E6" w:rsidR="00646F34" w:rsidRDefault="00646F34" w:rsidP="005F75D2">
      <w:pPr>
        <w:pStyle w:val="Heading2"/>
        <w:spacing w:before="200"/>
      </w:pPr>
      <w:bookmarkStart w:id="1" w:name="Titel"/>
      <w:r>
        <w:t>Portaria relativa aos produtos de utilização única</w:t>
      </w:r>
    </w:p>
    <w:bookmarkEnd w:id="1"/>
    <w:p w14:paraId="266D883D" w14:textId="77777777" w:rsidR="00646F34" w:rsidRPr="00496B57" w:rsidRDefault="00646F34" w:rsidP="009C4782">
      <w:pPr>
        <w:pStyle w:val="BodyText"/>
      </w:pPr>
      <w:r>
        <w:t xml:space="preserve">Emitido em </w:t>
      </w:r>
      <w:sdt>
        <w:sdtPr>
          <w:alias w:val="Data de emissão"/>
          <w:tag w:val="UtfärdadDatum"/>
          <w:id w:val="-627399020"/>
          <w:placeholder>
            <w:docPart w:val="BA31D46B8C324B76B3CEC46700909471"/>
          </w:placeholder>
          <w:showingPlcHdr/>
          <w:date>
            <w:dateFormat w:val="'den' d MMMM yyyy"/>
            <w:lid w:val="pt-PT"/>
            <w:storeMappedDataAs w:val="dateTime"/>
            <w:calendar w:val="gregorian"/>
          </w:date>
        </w:sdtPr>
        <w:sdtEndPr/>
        <w:sdtContent>
          <w:r>
            <w:rPr>
              <w:rStyle w:val="PlaceholderText"/>
            </w:rPr>
            <w:t>Clique aqui para introduzir data.</w:t>
          </w:r>
        </w:sdtContent>
      </w:sdt>
    </w:p>
    <w:p w14:paraId="531050A5" w14:textId="77777777" w:rsidR="00646F34" w:rsidRDefault="00646F34" w:rsidP="009C4782">
      <w:pPr>
        <w:pStyle w:val="BodyText"/>
      </w:pPr>
    </w:p>
    <w:p w14:paraId="33F2A488" w14:textId="1ECAF154" w:rsidR="00646F34" w:rsidRDefault="00646F34" w:rsidP="009C4782">
      <w:pPr>
        <w:pStyle w:val="BodyText"/>
      </w:pPr>
      <w:r>
        <w:t>Pelo presente, o Governo da Suécia estipula</w:t>
      </w:r>
      <w:r w:rsidR="00211C2C">
        <w:rPr>
          <w:rStyle w:val="FootnoteReference"/>
        </w:rPr>
        <w:footnoteReference w:id="2"/>
      </w:r>
      <w:r>
        <w:t xml:space="preserve"> o seguinte.</w:t>
      </w:r>
    </w:p>
    <w:p w14:paraId="089CC68B" w14:textId="77777777" w:rsidR="00646F34" w:rsidRDefault="00646F34" w:rsidP="00D001EA">
      <w:pPr>
        <w:pStyle w:val="BodyText"/>
      </w:pPr>
    </w:p>
    <w:p w14:paraId="6E641870" w14:textId="478BFE4B" w:rsidR="0078709D" w:rsidRPr="0078709D" w:rsidRDefault="0078709D" w:rsidP="00615D62">
      <w:pPr>
        <w:pStyle w:val="BodyTextIndent"/>
        <w:ind w:firstLine="0"/>
      </w:pPr>
      <w:r>
        <w:rPr>
          <w:b/>
        </w:rPr>
        <w:t>Secção 1</w:t>
      </w:r>
      <w:r>
        <w:t xml:space="preserve"> O objetivo deste Decreto é reduzir o lixo e promover uma economia circular. </w:t>
      </w:r>
    </w:p>
    <w:p w14:paraId="40BFA1F6" w14:textId="0E004591" w:rsidR="00211C2C" w:rsidRDefault="00333E47" w:rsidP="004F112E">
      <w:pPr>
        <w:pStyle w:val="BodyTextIndent"/>
      </w:pPr>
      <w:r>
        <w:t xml:space="preserve">O presente Decreto é emitido por força de </w:t>
      </w:r>
    </w:p>
    <w:p w14:paraId="12B53A34" w14:textId="68D2448E" w:rsidR="00211C2C" w:rsidRPr="001E4FCB" w:rsidRDefault="00211C2C" w:rsidP="00211C2C">
      <w:pPr>
        <w:pStyle w:val="BodyTextIndent"/>
      </w:pPr>
      <w:bookmarkStart w:id="2" w:name="_Hlk83046616"/>
      <w:r>
        <w:t>– Capítulo 15, Secção 40 do Código do Ambiente, no que diz respeito às Secções 12-23 e 25-28,</w:t>
      </w:r>
    </w:p>
    <w:p w14:paraId="4D869C94" w14:textId="315A9AF4" w:rsidR="00211C2C" w:rsidRDefault="00211C2C" w:rsidP="00211C2C">
      <w:pPr>
        <w:pStyle w:val="BodyTextIndent"/>
      </w:pPr>
      <w:r>
        <w:t>– Capítulo 8, Secção 11 do Instrumento de Governo no que diz respeito à Secção 34, e</w:t>
      </w:r>
    </w:p>
    <w:p w14:paraId="4031C2BE" w14:textId="565CD061" w:rsidR="00211C2C" w:rsidRDefault="00211C2C" w:rsidP="00211C2C">
      <w:pPr>
        <w:pStyle w:val="BodyTextIndent"/>
      </w:pPr>
      <w:r>
        <w:t>– Capítulo 8, Secção 7, do Instrumento de Governo no que diz respeito a outras disposições.</w:t>
      </w:r>
    </w:p>
    <w:p w14:paraId="4266EBCF" w14:textId="77777777" w:rsidR="00646F34" w:rsidRDefault="00646F34" w:rsidP="009E6D43">
      <w:pPr>
        <w:pStyle w:val="Heading4"/>
      </w:pPr>
      <w:bookmarkStart w:id="3" w:name="_Hlk48222959"/>
      <w:bookmarkEnd w:id="2"/>
      <w:r>
        <w:t>Disposições adicionais noutros decretos</w:t>
      </w:r>
      <w:bookmarkEnd w:id="3"/>
    </w:p>
    <w:p w14:paraId="01712DC8" w14:textId="4271D0B8" w:rsidR="00646F34" w:rsidRDefault="00311E20" w:rsidP="00646F34">
      <w:pPr>
        <w:pStyle w:val="BodyTextIndent"/>
        <w:ind w:firstLine="0"/>
      </w:pPr>
      <w:r>
        <w:rPr>
          <w:b/>
        </w:rPr>
        <w:t>Secção 2</w:t>
      </w:r>
      <w:r>
        <w:t xml:space="preserve"> Outras disposições sobre dispositivos de utilização única podem ser encontradas em: </w:t>
      </w:r>
    </w:p>
    <w:p w14:paraId="154B105E" w14:textId="60FF01F1" w:rsidR="003C1B39" w:rsidRDefault="003C1B39" w:rsidP="003C1B39">
      <w:pPr>
        <w:pStyle w:val="BodyTextIndent"/>
      </w:pPr>
      <w:r>
        <w:t xml:space="preserve">– O Decreto relativo aos Produtos Químicos (Proibições de manusear, importar e exportar) (1998:944), </w:t>
      </w:r>
    </w:p>
    <w:p w14:paraId="059C6EE1" w14:textId="1A797C64" w:rsidR="003C1B39" w:rsidRDefault="003C1B39" w:rsidP="003C1B39">
      <w:pPr>
        <w:pStyle w:val="BodyTextIndent"/>
      </w:pPr>
      <w:r>
        <w:t xml:space="preserve">– Decreto (2005:220) sobre sistemas de retorno para garrafas de plástico e latas metálicas, </w:t>
      </w:r>
    </w:p>
    <w:p w14:paraId="2360F5CB" w14:textId="5EE3CD3D" w:rsidR="003C1B39" w:rsidRDefault="003C1B39" w:rsidP="009E6D43">
      <w:pPr>
        <w:pStyle w:val="BodyTextIndent"/>
      </w:pPr>
      <w:r>
        <w:t xml:space="preserve">– Decreto (2018:1462) sobre a responsabilidade do produtor em matéria de embalagem, </w:t>
      </w:r>
    </w:p>
    <w:p w14:paraId="6B638499" w14:textId="18241521" w:rsidR="00615D62" w:rsidRDefault="00646F34" w:rsidP="00646F34">
      <w:pPr>
        <w:pStyle w:val="BodyTextIndent"/>
      </w:pPr>
      <w:r>
        <w:t xml:space="preserve">– Regulamentação (2021:000) relativo à responsabilidade do produtor por determinados produtos do tabaco </w:t>
      </w:r>
    </w:p>
    <w:p w14:paraId="6DF6135E" w14:textId="39B4E289" w:rsidR="00646F34" w:rsidRDefault="00646F34" w:rsidP="00646F34">
      <w:pPr>
        <w:pStyle w:val="BodyTextIndent"/>
      </w:pPr>
      <w:r>
        <w:t xml:space="preserve">e filtros, </w:t>
      </w:r>
    </w:p>
    <w:p w14:paraId="1451E275" w14:textId="1C1843A6" w:rsidR="00646F34" w:rsidRDefault="00646F34" w:rsidP="00646F34">
      <w:pPr>
        <w:pStyle w:val="BodyTextIndent"/>
      </w:pPr>
      <w:r>
        <w:t xml:space="preserve">– Decreto (2021:000) sobre a responsabilidade do produtor pelos balões, </w:t>
      </w:r>
    </w:p>
    <w:p w14:paraId="24695156" w14:textId="0A203132" w:rsidR="00646F34" w:rsidRDefault="00646F34" w:rsidP="00646F34">
      <w:pPr>
        <w:pStyle w:val="BodyTextIndent"/>
      </w:pPr>
      <w:r>
        <w:t>– Decreto (2021:000) sobre a responsabilidade do produtor pelos toalhetes húmidos, e</w:t>
      </w:r>
    </w:p>
    <w:p w14:paraId="776217DF" w14:textId="427A9E98" w:rsidR="00646F34" w:rsidRDefault="00646F34" w:rsidP="00646F34">
      <w:pPr>
        <w:pStyle w:val="BodyTextIndent"/>
      </w:pPr>
      <w:r>
        <w:t xml:space="preserve">– </w:t>
      </w:r>
      <w:r>
        <w:rPr>
          <w:shd w:val="clear" w:color="auto" w:fill="FFFFFF"/>
        </w:rPr>
        <w:t>Decreto (2021:000) sobre cargas de lixo</w:t>
      </w:r>
      <w:r>
        <w:t>.</w:t>
      </w:r>
    </w:p>
    <w:p w14:paraId="7F211810" w14:textId="77777777" w:rsidR="00646F34" w:rsidRPr="008F79D1" w:rsidRDefault="00646F34" w:rsidP="009E6D43">
      <w:pPr>
        <w:pStyle w:val="Heading4"/>
      </w:pPr>
      <w:r>
        <w:t>Definições</w:t>
      </w:r>
    </w:p>
    <w:p w14:paraId="772F6552" w14:textId="71C770DF" w:rsidR="00211C2C" w:rsidRDefault="00311E20" w:rsidP="00211C2C">
      <w:pPr>
        <w:pStyle w:val="BodyText"/>
        <w:keepNext/>
      </w:pPr>
      <w:r>
        <w:rPr>
          <w:b/>
        </w:rPr>
        <w:t>Secção 3</w:t>
      </w:r>
      <w:r>
        <w:t xml:space="preserve"> Nesta Portaria, </w:t>
      </w:r>
      <w:r>
        <w:rPr>
          <w:i/>
        </w:rPr>
        <w:t>polímero</w:t>
      </w:r>
      <w:r>
        <w:t xml:space="preserve"> tem o significado definido no artigo 3.º, número 5 da Regulamentação (CE) n.º 1907/2006 do Parlamento Europeu e do Conselho, de 18 de dezembro de 2006, relativo ao registo, avaliação, autorização e restrição dos produtos químicos (Reach), que cria a Agência </w:t>
      </w:r>
      <w:r>
        <w:lastRenderedPageBreak/>
        <w:t>Europeia dos Produtos Químicos, que altera a Diretiva 1999/45/CE e revoga a Regulamentação (CEE) n.º 793/93 do Conselho e a Regulamentação (CE) n.º 1488/94 da Comissão, bem como a Diretiva 76/769/CEE do Conselho e as Diretivas 91/155/CEE, 93/67/CEE, 93/105/CE e 2000/21/CE da Comissão.</w:t>
      </w:r>
    </w:p>
    <w:p w14:paraId="6171A621" w14:textId="77777777" w:rsidR="00646F34" w:rsidRDefault="00646F34" w:rsidP="00646F34">
      <w:pPr>
        <w:pStyle w:val="BodyTextIndent"/>
      </w:pPr>
    </w:p>
    <w:p w14:paraId="0085FF47" w14:textId="02293E03" w:rsidR="00211C2C" w:rsidRDefault="00311E20" w:rsidP="00211C2C">
      <w:pPr>
        <w:pStyle w:val="BodyTextIndent"/>
        <w:ind w:firstLine="0"/>
      </w:pPr>
      <w:r>
        <w:rPr>
          <w:b/>
        </w:rPr>
        <w:t>Secção 4</w:t>
      </w:r>
      <w:r>
        <w:t xml:space="preserve"> Neste Decreto, </w:t>
      </w:r>
      <w:r>
        <w:rPr>
          <w:i/>
        </w:rPr>
        <w:t>plástico</w:t>
      </w:r>
      <w:r>
        <w:t xml:space="preserve"> significa um polímero que pode funcionar como um componente estrutural principal dos produtos finais, </w:t>
      </w:r>
      <w:bookmarkStart w:id="4" w:name="_Hlk49851962"/>
      <w:r>
        <w:t>independentemente de aditivos ou outras substâncias serem adicionados ao polímero.</w:t>
      </w:r>
    </w:p>
    <w:bookmarkEnd w:id="4"/>
    <w:p w14:paraId="2F9F098E" w14:textId="77777777" w:rsidR="00211C2C" w:rsidRDefault="00211C2C" w:rsidP="00211C2C">
      <w:pPr>
        <w:pStyle w:val="BodyTextIndent"/>
      </w:pPr>
      <w:r>
        <w:t xml:space="preserve">O plástico não significa um polímero que ocorra naturalmente no ambiente que não tenha sido quimicamente modificado. </w:t>
      </w:r>
    </w:p>
    <w:p w14:paraId="0F1CEE55" w14:textId="77777777" w:rsidR="00646F34" w:rsidRDefault="00646F34" w:rsidP="00646F34">
      <w:pPr>
        <w:pStyle w:val="BodyTextIndent"/>
      </w:pPr>
    </w:p>
    <w:p w14:paraId="614D69D0" w14:textId="468D4CB1" w:rsidR="00211C2C" w:rsidRDefault="00311E20" w:rsidP="00211C2C">
      <w:pPr>
        <w:pStyle w:val="BodyText"/>
        <w:keepNext/>
      </w:pPr>
      <w:r>
        <w:rPr>
          <w:b/>
        </w:rPr>
        <w:t>Secção 5</w:t>
      </w:r>
      <w:r>
        <w:t xml:space="preserve"> Neste Decreto</w:t>
      </w:r>
    </w:p>
    <w:p w14:paraId="71E1411A" w14:textId="77777777" w:rsidR="00211C2C" w:rsidRPr="00B440B8" w:rsidRDefault="00211C2C" w:rsidP="00211C2C">
      <w:pPr>
        <w:pStyle w:val="BodyTextIndent"/>
        <w:rPr>
          <w:iCs/>
        </w:rPr>
      </w:pPr>
      <w:r>
        <w:rPr>
          <w:i/>
        </w:rPr>
        <w:t>fornecer no mercado sueco</w:t>
      </w:r>
      <w:r>
        <w:t>: meios para disponibilizar um produto para distribuição, consumo ou utilização no mercado sueco, a título oneroso ou gratuito, a título profissional, e</w:t>
      </w:r>
    </w:p>
    <w:p w14:paraId="698B7BE7" w14:textId="77777777" w:rsidR="00211C2C" w:rsidRDefault="00211C2C" w:rsidP="00211C2C">
      <w:pPr>
        <w:pStyle w:val="BodyTextIndent"/>
        <w:rPr>
          <w:iCs/>
        </w:rPr>
      </w:pPr>
      <w:r>
        <w:rPr>
          <w:i/>
        </w:rPr>
        <w:t>colocar no mercado sueco</w:t>
      </w:r>
      <w:r>
        <w:t>: meios para fornecer um produto no mercado sueco pela primeira vez.</w:t>
      </w:r>
    </w:p>
    <w:p w14:paraId="3C7251C2" w14:textId="77777777" w:rsidR="00646F34" w:rsidRDefault="00646F34" w:rsidP="00646F34">
      <w:pPr>
        <w:pStyle w:val="BodyTextIndent"/>
        <w:rPr>
          <w:iCs/>
        </w:rPr>
      </w:pPr>
    </w:p>
    <w:p w14:paraId="33DCA43D" w14:textId="395F23BF" w:rsidR="00211C2C" w:rsidRDefault="00311E20" w:rsidP="00211C2C">
      <w:pPr>
        <w:pStyle w:val="BodyTextIndent"/>
        <w:ind w:firstLine="0"/>
        <w:rPr>
          <w:i/>
        </w:rPr>
      </w:pPr>
      <w:r>
        <w:rPr>
          <w:b/>
        </w:rPr>
        <w:t>Secção 6</w:t>
      </w:r>
      <w:r>
        <w:t xml:space="preserve"> Neste Decreto</w:t>
      </w:r>
      <w:r>
        <w:rPr>
          <w:i/>
        </w:rPr>
        <w:t xml:space="preserve"> </w:t>
      </w:r>
    </w:p>
    <w:p w14:paraId="32959034" w14:textId="77777777" w:rsidR="00211C2C" w:rsidRDefault="00211C2C" w:rsidP="00211C2C">
      <w:pPr>
        <w:pStyle w:val="BodyTextIndent"/>
      </w:pPr>
      <w:r>
        <w:rPr>
          <w:i/>
        </w:rPr>
        <w:t>produto de utilização única</w:t>
      </w:r>
      <w:r>
        <w:t xml:space="preserve"> designa um produto que não é concebido, desenhado ou colocado no mercado sueco para realizar, dentro da sua vida útil, múltiplas viagens ou rotações, reutilizando-se para o mesmo fim para o qual foi concebido ou sendo devolvido a um produtor para recarga, e</w:t>
      </w:r>
    </w:p>
    <w:p w14:paraId="2EC9DEC7" w14:textId="77777777" w:rsidR="00211C2C" w:rsidRDefault="00211C2C" w:rsidP="00211C2C">
      <w:pPr>
        <w:pStyle w:val="BodyTextIndent"/>
      </w:pPr>
      <w:r>
        <w:rPr>
          <w:i/>
        </w:rPr>
        <w:t>produto plástico de utilização única</w:t>
      </w:r>
      <w:r>
        <w:t>: um produto de utilização única fabricado total ou parcialmente a partir de plástico.</w:t>
      </w:r>
    </w:p>
    <w:p w14:paraId="7CB6C08F" w14:textId="77777777" w:rsidR="00646F34" w:rsidRDefault="00646F34" w:rsidP="00646F34">
      <w:pPr>
        <w:pStyle w:val="BodyTextIndent"/>
        <w:rPr>
          <w:iCs/>
        </w:rPr>
      </w:pPr>
    </w:p>
    <w:p w14:paraId="376A036B" w14:textId="0632F7EB" w:rsidR="00211C2C" w:rsidRDefault="00311E20" w:rsidP="00211C2C">
      <w:pPr>
        <w:pStyle w:val="BodyText"/>
        <w:rPr>
          <w:i/>
        </w:rPr>
      </w:pPr>
      <w:r>
        <w:rPr>
          <w:b/>
        </w:rPr>
        <w:t>Secção 7</w:t>
      </w:r>
      <w:r>
        <w:t xml:space="preserve"> Neste Decreto </w:t>
      </w:r>
    </w:p>
    <w:p w14:paraId="7911FBA8" w14:textId="35F7F761" w:rsidR="00211C2C" w:rsidRDefault="00211C2C" w:rsidP="00211C2C">
      <w:pPr>
        <w:pStyle w:val="BodyTextIndent"/>
      </w:pPr>
      <w:r>
        <w:rPr>
          <w:i/>
        </w:rPr>
        <w:t>copo</w:t>
      </w:r>
      <w:r>
        <w:t xml:space="preserve">: um copo, um copo ou uma caneca, com ou sem tampa, destinado a bebidas frias ou quentes que normalmente são bebidas diretamente do recipiente, </w:t>
      </w:r>
    </w:p>
    <w:p w14:paraId="41F0496D" w14:textId="77777777" w:rsidR="00211C2C" w:rsidRPr="00FB2596" w:rsidRDefault="00211C2C" w:rsidP="00211C2C">
      <w:pPr>
        <w:pStyle w:val="BodyTextIndent"/>
      </w:pPr>
      <w:r>
        <w:rPr>
          <w:i/>
        </w:rPr>
        <w:t>copo de utilização única</w:t>
      </w:r>
      <w:r>
        <w:t>: significa um copo que é um produto de uso único, e</w:t>
      </w:r>
    </w:p>
    <w:p w14:paraId="3A3DBBEE" w14:textId="77777777" w:rsidR="00211C2C" w:rsidRDefault="00211C2C" w:rsidP="00211C2C">
      <w:pPr>
        <w:pStyle w:val="BodyTextIndent"/>
      </w:pPr>
      <w:r>
        <w:rPr>
          <w:i/>
        </w:rPr>
        <w:t>recipiente de bebida</w:t>
      </w:r>
      <w:r>
        <w:t xml:space="preserve">: uma garrafa de plástico, uma embalagem compósita ou outro recipiente que </w:t>
      </w:r>
    </w:p>
    <w:p w14:paraId="6D5F716D" w14:textId="04F70FD1" w:rsidR="00211C2C" w:rsidRDefault="00211C2C" w:rsidP="00211C2C">
      <w:pPr>
        <w:pStyle w:val="BodyTextIndent"/>
      </w:pPr>
      <w:r>
        <w:t>1. é um produto plástico de uso único,</w:t>
      </w:r>
    </w:p>
    <w:p w14:paraId="018F45E2" w14:textId="0CE437CB" w:rsidR="00211C2C" w:rsidRDefault="00211C2C" w:rsidP="00211C2C">
      <w:pPr>
        <w:pStyle w:val="BodyTextIndent"/>
      </w:pPr>
      <w:r>
        <w:t xml:space="preserve">2. tem uma capacidade até três litros, </w:t>
      </w:r>
    </w:p>
    <w:p w14:paraId="70789623" w14:textId="1900851D" w:rsidR="00211C2C" w:rsidRDefault="00211C2C" w:rsidP="00211C2C">
      <w:pPr>
        <w:pStyle w:val="BodyTextIndent"/>
      </w:pPr>
      <w:r>
        <w:t>3. destina-se a bebidas, e</w:t>
      </w:r>
    </w:p>
    <w:p w14:paraId="5D24AEE8" w14:textId="3AE3E09F" w:rsidR="00211C2C" w:rsidRDefault="00211C2C" w:rsidP="00211C2C">
      <w:pPr>
        <w:pStyle w:val="BodyTextIndent"/>
      </w:pPr>
      <w:r>
        <w:t>4. não é um copo.</w:t>
      </w:r>
    </w:p>
    <w:p w14:paraId="0B5458BD" w14:textId="77777777" w:rsidR="00646F34" w:rsidRDefault="00646F34" w:rsidP="00646F34">
      <w:pPr>
        <w:pStyle w:val="BodyTextIndent"/>
      </w:pPr>
    </w:p>
    <w:p w14:paraId="2A9DC098" w14:textId="6153F49F" w:rsidR="00211C2C" w:rsidRDefault="00311E20" w:rsidP="00211C2C">
      <w:pPr>
        <w:pStyle w:val="BodyTextIndent"/>
        <w:ind w:firstLine="0"/>
        <w:rPr>
          <w:i/>
        </w:rPr>
      </w:pPr>
      <w:r>
        <w:rPr>
          <w:b/>
        </w:rPr>
        <w:t>Secção 8</w:t>
      </w:r>
      <w:r>
        <w:t>    </w:t>
      </w:r>
      <w:bookmarkStart w:id="5" w:name="_Hlk39491428"/>
      <w:r>
        <w:t>Neste Decreto</w:t>
      </w:r>
      <w:r>
        <w:rPr>
          <w:i/>
        </w:rPr>
        <w:t xml:space="preserve"> </w:t>
      </w:r>
    </w:p>
    <w:p w14:paraId="00F25C91" w14:textId="77777777" w:rsidR="00211C2C" w:rsidRDefault="00211C2C" w:rsidP="00211C2C">
      <w:pPr>
        <w:pStyle w:val="BodyTextIndent"/>
        <w:rPr>
          <w:iCs/>
        </w:rPr>
      </w:pPr>
      <w:bookmarkStart w:id="6" w:name="_Hlk37753820"/>
      <w:r>
        <w:rPr>
          <w:i/>
        </w:rPr>
        <w:t xml:space="preserve">alimentos: </w:t>
      </w:r>
      <w:r>
        <w:t>significa alimentos que não são bebidas,</w:t>
      </w:r>
    </w:p>
    <w:p w14:paraId="6CD5D5E1" w14:textId="77777777" w:rsidR="00211C2C" w:rsidRPr="00154A99" w:rsidRDefault="00211C2C" w:rsidP="00211C2C">
      <w:pPr>
        <w:pStyle w:val="BodyTextIndent"/>
      </w:pPr>
      <w:r>
        <w:rPr>
          <w:i/>
        </w:rPr>
        <w:t>comida rápida:</w:t>
      </w:r>
      <w:r>
        <w:t xml:space="preserve"> </w:t>
      </w:r>
      <w:bookmarkStart w:id="7" w:name="_Hlk23153179"/>
      <w:r>
        <w:t xml:space="preserve">significa alimentos que </w:t>
      </w:r>
    </w:p>
    <w:p w14:paraId="24371858" w14:textId="04B3961E" w:rsidR="00211C2C" w:rsidRDefault="00211C2C" w:rsidP="00527561">
      <w:pPr>
        <w:pStyle w:val="BodyTextIndent"/>
      </w:pPr>
      <w:r>
        <w:t xml:space="preserve">1. destina-se a ser consumido diretamente ou nas proximidades imediatas da venda, </w:t>
      </w:r>
    </w:p>
    <w:p w14:paraId="70ADA6C2" w14:textId="16A3AB60" w:rsidR="00211C2C" w:rsidRDefault="00527561" w:rsidP="00211C2C">
      <w:pPr>
        <w:pStyle w:val="BodyTextIndent"/>
      </w:pPr>
      <w:r>
        <w:t xml:space="preserve">2. destina-se a ser comida fora da embalagem, e </w:t>
      </w:r>
    </w:p>
    <w:p w14:paraId="50E3428F" w14:textId="4B93E499" w:rsidR="00211C2C" w:rsidRDefault="00527561" w:rsidP="00211C2C">
      <w:pPr>
        <w:pStyle w:val="BodyTextIndent"/>
      </w:pPr>
      <w:r>
        <w:t>3. está pronta para ser comido sem mais cozimento, aquecimento ou outra preparação</w:t>
      </w:r>
      <w:bookmarkEnd w:id="7"/>
      <w:r>
        <w:t xml:space="preserve"> realizada pelo consumidor, </w:t>
      </w:r>
    </w:p>
    <w:p w14:paraId="397D38F3" w14:textId="77777777" w:rsidR="00211C2C" w:rsidRPr="00635A03" w:rsidRDefault="00211C2C" w:rsidP="00211C2C">
      <w:pPr>
        <w:pStyle w:val="BodyTextIndent"/>
      </w:pPr>
      <w:r>
        <w:rPr>
          <w:i/>
        </w:rPr>
        <w:t>caixa de alimentos:</w:t>
      </w:r>
      <w:r>
        <w:t xml:space="preserve"> significa embalagem, com ou sem tampa, que </w:t>
      </w:r>
    </w:p>
    <w:p w14:paraId="13FE8351" w14:textId="77777777" w:rsidR="00211C2C" w:rsidRPr="00635A03" w:rsidRDefault="00211C2C" w:rsidP="00211C2C">
      <w:pPr>
        <w:pStyle w:val="BodyTextIndent"/>
      </w:pPr>
      <w:r>
        <w:t xml:space="preserve">1. É moldado ou permanece essencialmente inalterado na forma após a adição ou remoção do conteúdo, e </w:t>
      </w:r>
    </w:p>
    <w:p w14:paraId="26008761" w14:textId="69B2DDBB" w:rsidR="00211C2C" w:rsidRDefault="00211C2C" w:rsidP="00211C2C">
      <w:pPr>
        <w:pStyle w:val="BodyTextIndent"/>
      </w:pPr>
      <w:r>
        <w:t>2. é usado para fast food, e</w:t>
      </w:r>
    </w:p>
    <w:p w14:paraId="7D565C9E" w14:textId="77777777" w:rsidR="00211C2C" w:rsidRDefault="00211C2C" w:rsidP="00211C2C">
      <w:pPr>
        <w:pStyle w:val="BodyTextIndent"/>
        <w:rPr>
          <w:i/>
        </w:rPr>
      </w:pPr>
      <w:r>
        <w:rPr>
          <w:i/>
        </w:rPr>
        <w:lastRenderedPageBreak/>
        <w:t>caixa de alimentos de utilização única:</w:t>
      </w:r>
      <w:r>
        <w:t xml:space="preserve"> significa uma caixa de alimentos que é um produto de utilização única</w:t>
      </w:r>
      <w:bookmarkEnd w:id="5"/>
      <w:r>
        <w:t>.</w:t>
      </w:r>
    </w:p>
    <w:bookmarkEnd w:id="6"/>
    <w:p w14:paraId="7F5A41D5" w14:textId="752C0511" w:rsidR="00646F34" w:rsidRDefault="00646F34" w:rsidP="00211C2C">
      <w:pPr>
        <w:pStyle w:val="BodyTextIndent"/>
        <w:ind w:firstLine="0"/>
        <w:rPr>
          <w:i/>
          <w:iCs/>
        </w:rPr>
      </w:pPr>
    </w:p>
    <w:p w14:paraId="2D23FD68" w14:textId="2741EADC" w:rsidR="00211C2C" w:rsidRDefault="00311E20" w:rsidP="00211C2C">
      <w:pPr>
        <w:pStyle w:val="BodyTextIndent"/>
        <w:ind w:firstLine="0"/>
      </w:pPr>
      <w:r>
        <w:rPr>
          <w:b/>
        </w:rPr>
        <w:t>Secção 9</w:t>
      </w:r>
      <w:r>
        <w:t xml:space="preserve">    Neste Decreto, </w:t>
      </w:r>
      <w:r>
        <w:rPr>
          <w:i/>
        </w:rPr>
        <w:t>ciclo de reutilização</w:t>
      </w:r>
      <w:r>
        <w:t xml:space="preserve"> significa a viagem que um copo reutilizável ou caixa de alimentos leva de ser fornecido no mercado sueco juntamente com a bebida ou alimento que se destina a conter, proteger, entregar ou presente, até ser submetido a um sistema de reutilização de copos ou caixas de alimentos para comida rápida com o propósito de ser fornecido novamente no mercado sueco juntamente com a bebida ou alimento a que se destina.</w:t>
      </w:r>
    </w:p>
    <w:p w14:paraId="458F3E19" w14:textId="58BD4776" w:rsidR="00646F34" w:rsidRDefault="00646F34" w:rsidP="00646F34">
      <w:pPr>
        <w:pStyle w:val="BodyTextIndent"/>
        <w:ind w:firstLine="0"/>
      </w:pPr>
    </w:p>
    <w:p w14:paraId="234E2165" w14:textId="0C76742F" w:rsidR="00646F34" w:rsidRDefault="00646F34" w:rsidP="00646F34">
      <w:pPr>
        <w:pStyle w:val="BodyText"/>
        <w:keepNext/>
      </w:pPr>
      <w:r>
        <w:rPr>
          <w:b/>
        </w:rPr>
        <w:t>Secção 10</w:t>
      </w:r>
      <w:r>
        <w:t xml:space="preserve"> Neste Decreto </w:t>
      </w:r>
    </w:p>
    <w:p w14:paraId="0763F124" w14:textId="05B0CE3A" w:rsidR="00646F34" w:rsidRDefault="00646F34" w:rsidP="00646F34">
      <w:pPr>
        <w:pStyle w:val="BodyTextIndent"/>
      </w:pPr>
      <w:r>
        <w:rPr>
          <w:i/>
        </w:rPr>
        <w:t>saco de transporte</w:t>
      </w:r>
      <w:r>
        <w:t>: um saco fornecido para permitir aos consumidores embalar e transportar mercadorias a partir do local onde os bens são fornecidos e que não se destinam a utilização permanente,</w:t>
      </w:r>
    </w:p>
    <w:p w14:paraId="08368CE8" w14:textId="2EF23F87" w:rsidR="00646F34" w:rsidRDefault="00646F34" w:rsidP="00646F34">
      <w:pPr>
        <w:pStyle w:val="BodyTextIndent"/>
      </w:pPr>
      <w:r>
        <w:rPr>
          <w:i/>
        </w:rPr>
        <w:t>saco transportador de plástico</w:t>
      </w:r>
      <w:r>
        <w:t>: um saco de plástico, e</w:t>
      </w:r>
    </w:p>
    <w:p w14:paraId="2FC8448C" w14:textId="340B87C5" w:rsidR="00646F34" w:rsidRDefault="00646F34" w:rsidP="00646F34">
      <w:pPr>
        <w:pStyle w:val="BodyTextIndent"/>
      </w:pPr>
      <w:r>
        <w:rPr>
          <w:i/>
        </w:rPr>
        <w:t>saco de plástico leve</w:t>
      </w:r>
      <w:r>
        <w:t>: um saco de plástico com uma parede mais fina do que 50 mícrons.</w:t>
      </w:r>
    </w:p>
    <w:p w14:paraId="30FA8567" w14:textId="77777777" w:rsidR="00646F34" w:rsidRDefault="00646F34" w:rsidP="00646F34">
      <w:pPr>
        <w:pStyle w:val="BodyTextIndent"/>
        <w:ind w:firstLine="0"/>
      </w:pPr>
    </w:p>
    <w:p w14:paraId="15DC9264" w14:textId="6DA2970F" w:rsidR="00646F34" w:rsidRDefault="00646F34" w:rsidP="00646F34">
      <w:pPr>
        <w:pStyle w:val="BodyTextIndent"/>
        <w:ind w:firstLine="0"/>
      </w:pPr>
      <w:r>
        <w:rPr>
          <w:b/>
        </w:rPr>
        <w:t>Secção 11</w:t>
      </w:r>
      <w:r>
        <w:t xml:space="preserve"> Palavras e expressões nesta Portaria têm o mesmo significado que no Capítulo 15 do Código Ambiental.</w:t>
      </w:r>
    </w:p>
    <w:p w14:paraId="49E8D53A" w14:textId="77777777" w:rsidR="00646F34" w:rsidRPr="006047FF" w:rsidRDefault="00646F34" w:rsidP="009E6D43">
      <w:pPr>
        <w:pStyle w:val="Heading4"/>
      </w:pPr>
      <w:r>
        <w:t>Proibição de colocação de determinados produtos de plástico de utilização única no mercado sueco</w:t>
      </w:r>
    </w:p>
    <w:p w14:paraId="0448F62E" w14:textId="118A0B85" w:rsidR="00646F34" w:rsidRDefault="00646F34" w:rsidP="00646F34">
      <w:pPr>
        <w:pStyle w:val="BodyText"/>
      </w:pPr>
      <w:r>
        <w:rPr>
          <w:b/>
        </w:rPr>
        <w:t>Secção 12</w:t>
      </w:r>
      <w:r>
        <w:t xml:space="preserve"> A colocação no mercado sueco dos seguintes produtos de plástico de utilização única é proibida: </w:t>
      </w:r>
    </w:p>
    <w:p w14:paraId="7E18E998" w14:textId="03D318CD" w:rsidR="00646F34" w:rsidRDefault="00646F34" w:rsidP="00646F34">
      <w:pPr>
        <w:pStyle w:val="BodyTextIndent"/>
      </w:pPr>
      <w:r>
        <w:t>1. cotonetes (pontas),</w:t>
      </w:r>
    </w:p>
    <w:p w14:paraId="1CC676D7" w14:textId="1FF93E69" w:rsidR="00646F34" w:rsidRDefault="00646F34" w:rsidP="00646F34">
      <w:pPr>
        <w:pStyle w:val="BodyTextIndent"/>
      </w:pPr>
      <w:r>
        <w:t>2. recipientes de bebidas contendo poliestireno expandido,</w:t>
      </w:r>
    </w:p>
    <w:p w14:paraId="04C9CB15" w14:textId="77777777" w:rsidR="00646F34" w:rsidRDefault="00646F34" w:rsidP="00646F34">
      <w:pPr>
        <w:pStyle w:val="BodyTextIndent"/>
      </w:pPr>
      <w:r>
        <w:t>3. copos de utilização única e caixas de alimentos de utilização única contendo poliestireno expandido,</w:t>
      </w:r>
    </w:p>
    <w:p w14:paraId="4C80A837" w14:textId="2ACA07CD" w:rsidR="00646F34" w:rsidRDefault="00646F34" w:rsidP="00646F34">
      <w:pPr>
        <w:pStyle w:val="BodyTextIndent"/>
      </w:pPr>
      <w:r>
        <w:t>4. garfos, facas, colheres, pauzinhos e outros talheres,</w:t>
      </w:r>
    </w:p>
    <w:p w14:paraId="7EC219AC" w14:textId="77777777" w:rsidR="00646F34" w:rsidRDefault="00646F34" w:rsidP="00646F34">
      <w:pPr>
        <w:pStyle w:val="BodyTextIndent"/>
      </w:pPr>
      <w:r>
        <w:t>5. rolhas e tampas contendo poliestireno expandido e utilizadas para</w:t>
      </w:r>
    </w:p>
    <w:p w14:paraId="775FD790" w14:textId="26E40C73" w:rsidR="00646F34" w:rsidRDefault="00646F34" w:rsidP="00646F34">
      <w:pPr>
        <w:pStyle w:val="BodyTextIndent"/>
      </w:pPr>
      <w:r>
        <w:t>a) caixas de alimentos de utilização única,</w:t>
      </w:r>
    </w:p>
    <w:p w14:paraId="32DDA7B9" w14:textId="22F30CF6" w:rsidR="00646F34" w:rsidRDefault="00646F34" w:rsidP="00646F34">
      <w:pPr>
        <w:pStyle w:val="BodyTextIndent"/>
      </w:pPr>
      <w:r>
        <w:t xml:space="preserve">b) recipientes para bebidas, ou </w:t>
      </w:r>
    </w:p>
    <w:p w14:paraId="7C783A25" w14:textId="03ED3D0F" w:rsidR="00646F34" w:rsidRDefault="00646F34" w:rsidP="00646F34">
      <w:pPr>
        <w:pStyle w:val="BodyTextIndent"/>
      </w:pPr>
      <w:r>
        <w:t>c) copos de uso único,</w:t>
      </w:r>
    </w:p>
    <w:p w14:paraId="2B5BAAC2" w14:textId="09E2AD98" w:rsidR="00646F34" w:rsidRDefault="00646F34" w:rsidP="00646F34">
      <w:pPr>
        <w:pStyle w:val="BodyTextIndent"/>
      </w:pPr>
      <w:r>
        <w:t>6. agitadores para bebidas,</w:t>
      </w:r>
    </w:p>
    <w:p w14:paraId="76B29E21" w14:textId="70F8D689" w:rsidR="00646F34" w:rsidRDefault="00646F34" w:rsidP="00646F34">
      <w:pPr>
        <w:pStyle w:val="BodyTextIndent"/>
      </w:pPr>
      <w:r>
        <w:t>7. varas para ser anexado a e suportar balões,</w:t>
      </w:r>
    </w:p>
    <w:p w14:paraId="3D694708" w14:textId="534C4101" w:rsidR="00646F34" w:rsidRDefault="00646F34" w:rsidP="00646F34">
      <w:pPr>
        <w:pStyle w:val="BodyTextIndent"/>
      </w:pPr>
      <w:r>
        <w:t>8. palhinhas, e</w:t>
      </w:r>
    </w:p>
    <w:p w14:paraId="0AD6DF3E" w14:textId="162E403C" w:rsidR="00646F34" w:rsidRDefault="00646F34" w:rsidP="00646F34">
      <w:pPr>
        <w:pStyle w:val="BodyTextIndent"/>
      </w:pPr>
      <w:r>
        <w:t>9. pratos.</w:t>
      </w:r>
    </w:p>
    <w:p w14:paraId="703EFF20" w14:textId="77777777" w:rsidR="00646F34" w:rsidRDefault="00646F34" w:rsidP="00646F34">
      <w:pPr>
        <w:pStyle w:val="BodyTextIndent"/>
      </w:pPr>
    </w:p>
    <w:p w14:paraId="3BCE51E8" w14:textId="228D1A90" w:rsidR="00646F34" w:rsidRDefault="00646F34" w:rsidP="00646F34">
      <w:pPr>
        <w:pStyle w:val="BodyText"/>
      </w:pPr>
      <w:r>
        <w:rPr>
          <w:b/>
        </w:rPr>
        <w:t>Secção 13</w:t>
      </w:r>
      <w:r>
        <w:t xml:space="preserve"> As proibições previstas na Secção 12(1) e (8), não se aplicam às esfregões de algodão e palhas abrangidas pelas disposições relativas aos dispositivos médicos previstas na Regulamentação (UE) 2017/745 do Parlamento Europeu e do Conselho, de 5 de abril de 2017, relativo aos dispositivos médicos, que altera a Diretiva 2001/83/CE, o Regulamento (CE) n.º 178/2002 e a Regulamentação (CE) n.º 1223/2009 e revoga as Diretivas 90/385/CEE e 93/42/CEE do Conselho.</w:t>
      </w:r>
    </w:p>
    <w:p w14:paraId="7528FEAE" w14:textId="326659CB" w:rsidR="00646F34" w:rsidRDefault="00646F34" w:rsidP="00646F34">
      <w:pPr>
        <w:pStyle w:val="BodyTextIndent"/>
      </w:pPr>
      <w:r>
        <w:t>A proibição prevista na Secção 12(7) não se aplica às varas destinadas a utilizações industriais ou a outros fins profissionais e que não são distribuídas aos consumidores.</w:t>
      </w:r>
    </w:p>
    <w:p w14:paraId="40BF4B67" w14:textId="77777777" w:rsidR="00646F34" w:rsidRDefault="00646F34" w:rsidP="00646F34">
      <w:pPr>
        <w:pStyle w:val="BodyTextIndent"/>
      </w:pPr>
    </w:p>
    <w:p w14:paraId="2BBBA98C" w14:textId="1B8FA1B5" w:rsidR="00646F34" w:rsidRDefault="00646F34" w:rsidP="00646F34">
      <w:pPr>
        <w:pStyle w:val="BodyTextIndent"/>
        <w:ind w:firstLine="0"/>
      </w:pPr>
      <w:r>
        <w:rPr>
          <w:b/>
        </w:rPr>
        <w:t>Secção 14</w:t>
      </w:r>
      <w:r>
        <w:t xml:space="preserve"> A colocação no mercado sueco de copos de utilização única contendo mais de 15% de plástico é proibida.</w:t>
      </w:r>
    </w:p>
    <w:p w14:paraId="635C09F2" w14:textId="77777777" w:rsidR="00211C2C" w:rsidRDefault="00211C2C" w:rsidP="00646F34">
      <w:pPr>
        <w:pStyle w:val="BodyTextIndent"/>
        <w:ind w:firstLine="0"/>
      </w:pPr>
    </w:p>
    <w:p w14:paraId="596434C0" w14:textId="2EC0F643" w:rsidR="00646F34" w:rsidRDefault="00646F34" w:rsidP="00646F34">
      <w:pPr>
        <w:pStyle w:val="BodyTextIndent"/>
        <w:ind w:firstLine="0"/>
      </w:pPr>
      <w:r>
        <w:rPr>
          <w:b/>
        </w:rPr>
        <w:t>Secção 15</w:t>
      </w:r>
      <w:r>
        <w:t xml:space="preserve"> A Agência Sueca de Proteção do Ambiente pode emitir regulamentos sobre isenções da proibição prevista na Secção 14 se existirem razões especiais para colocar copos de utilização única no mercado sueco.</w:t>
      </w:r>
    </w:p>
    <w:p w14:paraId="7448A23B" w14:textId="77777777" w:rsidR="00646F34" w:rsidRPr="00BB14F4" w:rsidRDefault="00646F34" w:rsidP="009E6D43">
      <w:pPr>
        <w:pStyle w:val="Heading4"/>
      </w:pPr>
      <w:r>
        <w:t xml:space="preserve">Proibição da utilização de confetti </w:t>
      </w:r>
    </w:p>
    <w:p w14:paraId="01083929" w14:textId="7D04A31D" w:rsidR="00211C2C" w:rsidRDefault="00211C2C" w:rsidP="00211C2C">
      <w:pPr>
        <w:pStyle w:val="BodyText"/>
      </w:pPr>
      <w:r>
        <w:rPr>
          <w:b/>
        </w:rPr>
        <w:t>Secção 16</w:t>
      </w:r>
      <w:r>
        <w:t xml:space="preserve"> Confete contendo plástico não pode ser usado no exterior.</w:t>
      </w:r>
    </w:p>
    <w:p w14:paraId="32161E4B" w14:textId="77777777" w:rsidR="007A4814" w:rsidRDefault="00646F34" w:rsidP="009E6D43">
      <w:pPr>
        <w:pStyle w:val="Heading4"/>
      </w:pPr>
      <w:r>
        <w:t>Exigência de oferecer o produto a ser servido em copos reutilizáveis e caixas de alimentos</w:t>
      </w:r>
    </w:p>
    <w:p w14:paraId="67DAC9C3" w14:textId="35F297D5" w:rsidR="00211C2C" w:rsidRDefault="00646F34" w:rsidP="00211C2C">
      <w:pPr>
        <w:pStyle w:val="BodyText"/>
      </w:pPr>
      <w:bookmarkStart w:id="8" w:name="_Hlk57038341"/>
      <w:r>
        <w:rPr>
          <w:b/>
        </w:rPr>
        <w:t>Secção 17</w:t>
      </w:r>
      <w:r>
        <w:t>    </w:t>
      </w:r>
      <w:bookmarkEnd w:id="8"/>
      <w:r>
        <w:t xml:space="preserve">Qualquer pessoa que forneça bebidas no mercado sueco em copos de utilização única deve </w:t>
      </w:r>
    </w:p>
    <w:p w14:paraId="4F7B1DE6" w14:textId="77777777" w:rsidR="00211C2C" w:rsidRDefault="00211C2C" w:rsidP="00211C2C">
      <w:pPr>
        <w:pStyle w:val="BodyTextIndent"/>
      </w:pPr>
      <w:r>
        <w:t>1. oferecer a possibilidade de ter a bebida servida num copo reutilizável, e</w:t>
      </w:r>
    </w:p>
    <w:p w14:paraId="4136D526" w14:textId="77777777" w:rsidR="00211C2C" w:rsidRDefault="00211C2C" w:rsidP="00211C2C">
      <w:pPr>
        <w:pStyle w:val="BodyTextIndent"/>
      </w:pPr>
      <w:r>
        <w:t>2. tomar medidas eficazes para garantir que os copos reutilizáveis e as suas tampas passam por vários ciclos de reutilização.</w:t>
      </w:r>
    </w:p>
    <w:p w14:paraId="6F9BEF6A" w14:textId="77777777" w:rsidR="00211C2C" w:rsidRDefault="00211C2C" w:rsidP="00211C2C">
      <w:pPr>
        <w:pStyle w:val="BodyTextIndent"/>
      </w:pPr>
      <w:r>
        <w:t>O copo reutilizável deve ser fornecido pelo fornecedor da bebida, independentemente de a bebida ser levada ou bebida no ponto de venda.</w:t>
      </w:r>
    </w:p>
    <w:p w14:paraId="7A08BAA7" w14:textId="4C3CA2D4" w:rsidR="00646F34" w:rsidRDefault="00646F34" w:rsidP="00211C2C">
      <w:pPr>
        <w:pStyle w:val="BodyText"/>
      </w:pPr>
    </w:p>
    <w:p w14:paraId="64304C20" w14:textId="4B1B33CF" w:rsidR="00211C2C" w:rsidRDefault="00646F34" w:rsidP="00211C2C">
      <w:pPr>
        <w:pStyle w:val="BodyText"/>
      </w:pPr>
      <w:r>
        <w:rPr>
          <w:b/>
        </w:rPr>
        <w:t>Secção 18</w:t>
      </w:r>
      <w:r>
        <w:t xml:space="preserve"> Qualquer pessoa que forneça comida rápida no mercado sueco em caixas de alimentos de utilização única deve </w:t>
      </w:r>
    </w:p>
    <w:p w14:paraId="2BE54211" w14:textId="77777777" w:rsidR="00211C2C" w:rsidRDefault="00211C2C" w:rsidP="00211C2C">
      <w:pPr>
        <w:pStyle w:val="BodyTextIndent"/>
      </w:pPr>
      <w:r>
        <w:t>1. oferecer a possibilidade de ter o fast food servido em uma caixa de comida reutilizável, e</w:t>
      </w:r>
    </w:p>
    <w:p w14:paraId="152442DF" w14:textId="77777777" w:rsidR="00211C2C" w:rsidRDefault="00211C2C" w:rsidP="00211C2C">
      <w:pPr>
        <w:pStyle w:val="BodyTextIndent"/>
      </w:pPr>
      <w:r>
        <w:t xml:space="preserve">2. tomar medidas eficazes para garantir que as caixas de alimentos reutilizáveis e as suas tampas passam por vários ciclos de reutilização. </w:t>
      </w:r>
    </w:p>
    <w:p w14:paraId="2B261D6F" w14:textId="4D167F28" w:rsidR="00211C2C" w:rsidRDefault="00211C2C" w:rsidP="00211C2C">
      <w:pPr>
        <w:pStyle w:val="BodyTextIndent"/>
      </w:pPr>
      <w:r>
        <w:t>A caixa de alimentos reutilizável deve ser fornecida pelo fornecedor do alimento, independentemente de o alimento ser retirado ou consumido no ponto de venda.</w:t>
      </w:r>
    </w:p>
    <w:p w14:paraId="7318FBF8" w14:textId="20873C27" w:rsidR="00211C2C" w:rsidRDefault="00211C2C" w:rsidP="00211C2C">
      <w:pPr>
        <w:pStyle w:val="BodyTextIndent"/>
      </w:pPr>
    </w:p>
    <w:p w14:paraId="7F1B5CBC" w14:textId="467A0583" w:rsidR="00211C2C" w:rsidRPr="00870B91" w:rsidRDefault="00311E20" w:rsidP="00211C2C">
      <w:pPr>
        <w:pStyle w:val="BodyTextIndent"/>
        <w:ind w:firstLine="0"/>
      </w:pPr>
      <w:r>
        <w:rPr>
          <w:b/>
        </w:rPr>
        <w:t>Secção 19</w:t>
      </w:r>
      <w:r>
        <w:t xml:space="preserve"> Qualquer pessoa que forneça um copo reutilizável ou caixa de alimentos nos termos da Secção 17 ou 18 deve escolher um copo ou caixa de alimentos que tenha o mínimo possível de efeito negativo na saúde humana e no ambiente. </w:t>
      </w:r>
    </w:p>
    <w:p w14:paraId="38EB9268" w14:textId="7043FC8B" w:rsidR="00646F34" w:rsidRDefault="00646F34" w:rsidP="00211C2C">
      <w:pPr>
        <w:pStyle w:val="BodyText"/>
      </w:pPr>
    </w:p>
    <w:p w14:paraId="1E3411BA" w14:textId="1059416E" w:rsidR="00211C2C" w:rsidRDefault="00646F34" w:rsidP="00211C2C">
      <w:pPr>
        <w:pStyle w:val="BodyTextIndent"/>
        <w:ind w:firstLine="0"/>
      </w:pPr>
      <w:r>
        <w:rPr>
          <w:b/>
        </w:rPr>
        <w:t>Secção 20</w:t>
      </w:r>
      <w:r>
        <w:t>    </w:t>
      </w:r>
      <w:bookmarkStart w:id="9" w:name="_Hlk50550710"/>
      <w:r>
        <w:t>Qualquer pessoa que forneça no mercado sueco bebidas em copos de utilização única ou comida rápida em caixas de alimentos de utilização única deve informar os consumidores no local da compra sobre</w:t>
      </w:r>
      <w:bookmarkEnd w:id="9"/>
    </w:p>
    <w:p w14:paraId="4E98CC42" w14:textId="77777777" w:rsidR="00211C2C" w:rsidRDefault="00211C2C" w:rsidP="00211C2C">
      <w:pPr>
        <w:pStyle w:val="BodyTextIndent"/>
      </w:pPr>
      <w:r>
        <w:t xml:space="preserve">1. a possibilidade de ter a bebida servida num copo reutilizável ou o fast food servido em uma caixa de comida reutilizável, </w:t>
      </w:r>
    </w:p>
    <w:p w14:paraId="56E0E8F3" w14:textId="77777777" w:rsidR="00211C2C" w:rsidRPr="00EE3CA1" w:rsidRDefault="00211C2C" w:rsidP="00211C2C">
      <w:pPr>
        <w:pStyle w:val="BodyTextIndent"/>
      </w:pPr>
      <w:r>
        <w:t>2. o impacto ambiental causado pelo uso de copos de utilização única e caixas de alimento de utilização única, e</w:t>
      </w:r>
    </w:p>
    <w:p w14:paraId="0D559E7A" w14:textId="77777777" w:rsidR="00211C2C" w:rsidRPr="00EE3CA1" w:rsidRDefault="00211C2C" w:rsidP="00211C2C">
      <w:pPr>
        <w:pStyle w:val="BodyTextIndent"/>
      </w:pPr>
      <w:r>
        <w:t>3. os benefícios da redução do consumo de copos utilização única e caixas de alimentos de utilização única.</w:t>
      </w:r>
    </w:p>
    <w:p w14:paraId="28AD6CE3" w14:textId="77777777" w:rsidR="00211C2C" w:rsidRDefault="00211C2C" w:rsidP="00211C2C">
      <w:pPr>
        <w:pStyle w:val="BodyTextIndent"/>
      </w:pPr>
      <w:r>
        <w:t xml:space="preserve">As informações devem ser visíveis no ponto de venda e ser facilmente acessíveis ao consumidor.  </w:t>
      </w:r>
    </w:p>
    <w:p w14:paraId="2D79D1CA" w14:textId="20370DA5" w:rsidR="00646F34" w:rsidRDefault="00646F34" w:rsidP="00211C2C">
      <w:pPr>
        <w:pStyle w:val="BodyTextIndent"/>
        <w:ind w:firstLine="0"/>
      </w:pPr>
    </w:p>
    <w:p w14:paraId="3571F6CB" w14:textId="07D257B5" w:rsidR="00646F34" w:rsidRDefault="00646F34" w:rsidP="00646F34">
      <w:pPr>
        <w:pStyle w:val="BodyTextIndent"/>
        <w:ind w:firstLine="0"/>
      </w:pPr>
      <w:r>
        <w:rPr>
          <w:b/>
        </w:rPr>
        <w:t>Secção 21</w:t>
      </w:r>
      <w:r>
        <w:t xml:space="preserve"> Os requisitos estabelecidos nas Secções 17-20 não se aplicam àqueles que fornecem no mercado sueco bebidas em copos de utilização única ou comida rápida em caixas de alimentos de utilização única se o copo ou caixa de alimentos for feito inteiramente de papel ou cartão que não tenha sido quimicamente modificado de uma forma que atrase a decomposição.</w:t>
      </w:r>
    </w:p>
    <w:p w14:paraId="70159D5D" w14:textId="77777777" w:rsidR="00646F34" w:rsidRDefault="00646F34" w:rsidP="00646F34">
      <w:pPr>
        <w:pStyle w:val="BodyTextIndent"/>
        <w:ind w:firstLine="0"/>
      </w:pPr>
    </w:p>
    <w:p w14:paraId="6D765FBD" w14:textId="516EB1C2" w:rsidR="00211C2C" w:rsidRPr="004A5119" w:rsidRDefault="00646F34" w:rsidP="00211C2C">
      <w:pPr>
        <w:pStyle w:val="BodyTextIndent"/>
        <w:ind w:firstLine="0"/>
        <w:rPr>
          <w:b/>
        </w:rPr>
      </w:pPr>
      <w:r>
        <w:rPr>
          <w:b/>
        </w:rPr>
        <w:lastRenderedPageBreak/>
        <w:t>Secção 22</w:t>
      </w:r>
      <w:r>
        <w:t xml:space="preserve"> Os requisitos estabelecidos nas Secções 14-17 não se aplicam àqueles que fornecem no mercado sueco bebidas ou fast food em menos de 150 copos de utilização única e caixas de alimentos de utilização única por dia </w:t>
      </w:r>
      <w:bookmarkStart w:id="10" w:name="_Hlk53479781"/>
      <w:r>
        <w:t>em que o local de venda está aberto</w:t>
      </w:r>
      <w:bookmarkEnd w:id="10"/>
      <w:r>
        <w:t xml:space="preserve">. </w:t>
      </w:r>
    </w:p>
    <w:p w14:paraId="4F9631E1" w14:textId="42F7C71B" w:rsidR="00211C2C" w:rsidRDefault="00BC1BFA" w:rsidP="00211C2C">
      <w:pPr>
        <w:pStyle w:val="BodyTextIndent"/>
      </w:pPr>
      <w:r>
        <w:t xml:space="preserve">O número de copos de utilização única e de caixas de alimentos de utilização única fornecidos deve ser calculado como uma média dos copos de utilização única e caixas de alimentos únicos fornecidos nos dias em </w:t>
      </w:r>
      <w:bookmarkStart w:id="11" w:name="_Hlk54008522"/>
      <w:r>
        <w:t>que o local de venda está aberto durante um ano civil</w:t>
      </w:r>
      <w:bookmarkEnd w:id="11"/>
      <w:r>
        <w:t xml:space="preserve">. </w:t>
      </w:r>
    </w:p>
    <w:p w14:paraId="633C4935" w14:textId="6AAF4527" w:rsidR="009E6722" w:rsidRDefault="009E6722" w:rsidP="00211C2C">
      <w:pPr>
        <w:pStyle w:val="BodyTextIndent"/>
      </w:pPr>
      <w:r>
        <w:t>As pessoas abrangidas pela isenção e que decidam não fornecer copos reutilizáveis e caixas de alimentos devem dispor de procedimentos que garantam que, em média, não são fornecidos mais de 150 copos de utilização única e caixas de alimentos de utilização única por dia.</w:t>
      </w:r>
    </w:p>
    <w:p w14:paraId="6CB0CC6C" w14:textId="5004701C" w:rsidR="00646F34" w:rsidRDefault="00646F34" w:rsidP="00211C2C">
      <w:pPr>
        <w:pStyle w:val="BodyTextIndent"/>
        <w:ind w:firstLine="0"/>
      </w:pPr>
    </w:p>
    <w:p w14:paraId="2305370B" w14:textId="61F183B4" w:rsidR="009D070E" w:rsidRPr="00156B40" w:rsidRDefault="00646F34" w:rsidP="009D070E">
      <w:pPr>
        <w:pStyle w:val="BodyTextIndent"/>
        <w:ind w:firstLine="0"/>
      </w:pPr>
      <w:r>
        <w:rPr>
          <w:b/>
        </w:rPr>
        <w:t>Secção 23</w:t>
      </w:r>
      <w:r>
        <w:t>    </w:t>
      </w:r>
      <w:bookmarkStart w:id="12" w:name="_Hlk54008598"/>
      <w:r>
        <w:t>A Agência Sueca de Proteção Ambiental pode emitir regulamentos adicionais sobre isenções aos requisitos estabelecidos nas Secções 17-20 nos casos em que não é razoável exigir que a pessoa que fornece bebidas em copos de utilização única ou comida rápida em caixas de alimentos de utilização única forneça uma alternativa reutilizável.</w:t>
      </w:r>
    </w:p>
    <w:p w14:paraId="269C50B5" w14:textId="60FCCAF3" w:rsidR="009D070E" w:rsidRPr="0024586A" w:rsidRDefault="009D070E" w:rsidP="009D070E">
      <w:pPr>
        <w:pStyle w:val="BodyTextIndent"/>
      </w:pPr>
      <w:r>
        <w:t xml:space="preserve">Não podem ser emitidos regulamentações sobre isenções relativas a copos de utilização única ou caixas de alimentos de utilização única, se se puder presumir que uma isenção representa um risco de deposição significativa de lixo ou que tenham um resultado que mostre que a Suécia não cumpre o objetivo da Secção 24. </w:t>
      </w:r>
    </w:p>
    <w:bookmarkEnd w:id="12"/>
    <w:p w14:paraId="7C8314FF" w14:textId="77777777" w:rsidR="00646F34" w:rsidRPr="00F533B0" w:rsidRDefault="00646F34" w:rsidP="009E6D43">
      <w:pPr>
        <w:pStyle w:val="Heading4"/>
      </w:pPr>
      <w:r>
        <w:t xml:space="preserve">Objetivos de redução do consumo </w:t>
      </w:r>
    </w:p>
    <w:p w14:paraId="4BC974B2" w14:textId="2E34F32C" w:rsidR="00646F34" w:rsidRPr="00F533B0" w:rsidRDefault="00732438" w:rsidP="00646F34">
      <w:pPr>
        <w:pStyle w:val="BodyTextIndent"/>
        <w:ind w:firstLine="0"/>
      </w:pPr>
      <w:r>
        <w:rPr>
          <w:b/>
        </w:rPr>
        <w:t>Secção 24</w:t>
      </w:r>
      <w:r>
        <w:t xml:space="preserve"> No caso de copos de plástico de uso único e caixas de alimentos, o consumo deve ser reduzido em 50% em relação a 2026 em comparação com o consumo em 2022. </w:t>
      </w:r>
    </w:p>
    <w:p w14:paraId="0A8EA676" w14:textId="77777777" w:rsidR="00646F34" w:rsidRPr="00F533B0" w:rsidRDefault="00646F34" w:rsidP="00646F34">
      <w:pPr>
        <w:pStyle w:val="BodyTextIndent"/>
        <w:ind w:firstLine="0"/>
      </w:pPr>
    </w:p>
    <w:p w14:paraId="1D94AF85" w14:textId="42A20EAE" w:rsidR="00646F34" w:rsidRPr="0024586A" w:rsidRDefault="00732438" w:rsidP="00646F34">
      <w:pPr>
        <w:pStyle w:val="BodyTextIndent"/>
        <w:ind w:firstLine="0"/>
      </w:pPr>
      <w:r>
        <w:rPr>
          <w:b/>
        </w:rPr>
        <w:t>Secção 25</w:t>
      </w:r>
      <w:r>
        <w:t xml:space="preserve"> </w:t>
      </w:r>
      <w:bookmarkStart w:id="13" w:name="_Hlk84256029"/>
      <w:bookmarkStart w:id="14" w:name="_Hlk54788938"/>
      <w:bookmarkStart w:id="15" w:name="_Hlk54692017"/>
      <w:r>
        <w:t xml:space="preserve"> Fornecer ou utilizar copos e caixas de alimentos que são produtos de plástico de utilização única em uma atividade profissional deve contribuir efetivamente para alcançar o objetivo</w:t>
      </w:r>
      <w:bookmarkEnd w:id="13"/>
      <w:bookmarkEnd w:id="14"/>
      <w:bookmarkEnd w:id="15"/>
      <w:r>
        <w:t>.</w:t>
      </w:r>
    </w:p>
    <w:p w14:paraId="6C1E5310" w14:textId="77777777" w:rsidR="00646F34" w:rsidRDefault="00646F34" w:rsidP="009E6D43">
      <w:pPr>
        <w:pStyle w:val="Heading4"/>
      </w:pPr>
      <w:r>
        <w:t>Rotulagem e outras informações destinadas aos consumidores</w:t>
      </w:r>
    </w:p>
    <w:p w14:paraId="4D808795" w14:textId="7E8A6C22" w:rsidR="00DE4842" w:rsidRPr="00870B91" w:rsidRDefault="00B92EB6">
      <w:pPr>
        <w:pStyle w:val="BodyText"/>
      </w:pPr>
      <w:r>
        <w:rPr>
          <w:b/>
        </w:rPr>
        <w:t>Secção 26</w:t>
      </w:r>
      <w:r>
        <w:t xml:space="preserve"> Toalhas sanitárias, tampões e aplicadores de tampões, que são produtos de plástico de utilização única, só podem ser colocados no mercado sueco se estiverem rotulados em conformidade com a Regulamentação de Execução (UE) 2020/2151 da Comissão, de 17 de dezembro de 2020, que estabelece regras relativas às especificações harmonizadas para a marcação dos produtos de plástico de utilização única enumerados na parte D do anexo da Diretiva (UE) 2019/904 do Parlamento Europeu e do Conselho relativa à redução do impacto de determinados produtos de plástico no ambiente.</w:t>
      </w:r>
    </w:p>
    <w:p w14:paraId="41230D35" w14:textId="4E63DF75" w:rsidR="00646F34" w:rsidRDefault="0078709D">
      <w:pPr>
        <w:pStyle w:val="BodyTextIndent"/>
      </w:pPr>
      <w:r>
        <w:t xml:space="preserve">O rótulo deve ser visível, facilmente legível e indelével. </w:t>
      </w:r>
    </w:p>
    <w:p w14:paraId="252DADC9" w14:textId="77777777" w:rsidR="00646F34" w:rsidRDefault="00646F34" w:rsidP="00646F34">
      <w:pPr>
        <w:pStyle w:val="BodyTextIndent"/>
        <w:ind w:firstLine="0"/>
      </w:pPr>
    </w:p>
    <w:p w14:paraId="6470C50B" w14:textId="2B1C6519" w:rsidR="00646F34" w:rsidRDefault="00646F34" w:rsidP="00646F34">
      <w:pPr>
        <w:pStyle w:val="BodyTextIndent"/>
        <w:ind w:firstLine="0"/>
      </w:pPr>
      <w:bookmarkStart w:id="16" w:name="_Hlk39499720"/>
      <w:r>
        <w:rPr>
          <w:b/>
        </w:rPr>
        <w:t>Secção 27</w:t>
      </w:r>
      <w:r>
        <w:t xml:space="preserve"> As pessoas que colocam no mercado sueco goma de mascar, rapé de porção, guardanapos sanitários, tampões ou aplicadores de tampões, que são produtos de plástico de utilização única, devem informar os consumidores de: </w:t>
      </w:r>
    </w:p>
    <w:p w14:paraId="55442CB5" w14:textId="7BD389D1" w:rsidR="00646F34" w:rsidRDefault="00646F34" w:rsidP="00646F34">
      <w:pPr>
        <w:pStyle w:val="BodyTextIndent"/>
      </w:pPr>
      <w:r>
        <w:t xml:space="preserve">1. como o produto deve ser manuseado quando se torna resíduo, </w:t>
      </w:r>
    </w:p>
    <w:p w14:paraId="3374034E" w14:textId="77777777" w:rsidR="00646F34" w:rsidRDefault="00646F34" w:rsidP="00646F34">
      <w:pPr>
        <w:pStyle w:val="BodyTextIndent"/>
      </w:pPr>
      <w:r>
        <w:t>2. os efeitos negativos para o ambiente da deposição de lixo ou resultantes de outra eliminação inadequada do produto, e</w:t>
      </w:r>
    </w:p>
    <w:p w14:paraId="04AFA23A" w14:textId="77777777" w:rsidR="00646F34" w:rsidRDefault="00646F34" w:rsidP="00646F34">
      <w:pPr>
        <w:pStyle w:val="BodyTextIndent"/>
      </w:pPr>
      <w:r>
        <w:t>3. Os efeitos negativos sobre a rede de esgotos de descarga do produto para baixo o dreno.</w:t>
      </w:r>
    </w:p>
    <w:p w14:paraId="60EF4B35" w14:textId="2026A723" w:rsidR="00646F34" w:rsidRDefault="00646F34" w:rsidP="00646F34">
      <w:pPr>
        <w:pStyle w:val="BodyTextIndent"/>
      </w:pPr>
      <w:r>
        <w:lastRenderedPageBreak/>
        <w:t xml:space="preserve">As informações devem ajudar a assegurar que os resíduos de produtos de plástico de utilização única são tratados de forma adequada e a reduzir a deposição de lixo. </w:t>
      </w:r>
    </w:p>
    <w:p w14:paraId="28D3751E" w14:textId="4061BA52" w:rsidR="00A943CA" w:rsidRDefault="00646F34" w:rsidP="00646F34">
      <w:pPr>
        <w:pStyle w:val="BodyTextIndent"/>
        <w:rPr>
          <w:b/>
        </w:rPr>
      </w:pPr>
      <w:r>
        <w:t xml:space="preserve">As informações devem ser facilmente acessíveis, incentivar um comportamento responsável dos consumidores e ser prestadas de forma recorrente. </w:t>
      </w:r>
      <w:bookmarkEnd w:id="16"/>
    </w:p>
    <w:p w14:paraId="45C9EC51" w14:textId="77777777" w:rsidR="00646F34" w:rsidRDefault="00646F34" w:rsidP="00646F34">
      <w:pPr>
        <w:pStyle w:val="BodyTextIndent"/>
        <w:rPr>
          <w:shd w:val="clear" w:color="auto" w:fill="FFFFFF"/>
        </w:rPr>
      </w:pPr>
    </w:p>
    <w:p w14:paraId="6E7BC699" w14:textId="74873BAA" w:rsidR="00646F34" w:rsidRDefault="00333168" w:rsidP="00646F34">
      <w:pPr>
        <w:pStyle w:val="BodyTextIndent"/>
        <w:ind w:firstLine="0"/>
      </w:pPr>
      <w:bookmarkStart w:id="17" w:name="_Hlk50113133"/>
      <w:r>
        <w:rPr>
          <w:b/>
        </w:rPr>
        <w:t>Secção 28</w:t>
      </w:r>
      <w:r>
        <w:t xml:space="preserve"> Aqueles que, no exercício de uma atividade profissional, fornecem sacos de plástico aos consumidores devem fornecer informações sobre: </w:t>
      </w:r>
    </w:p>
    <w:p w14:paraId="1D7EE05B" w14:textId="77777777" w:rsidR="00646F34" w:rsidRDefault="00646F34" w:rsidP="00646F34">
      <w:pPr>
        <w:pStyle w:val="BodyTextIndent"/>
      </w:pPr>
      <w:r>
        <w:t xml:space="preserve">1. o impacto ambiental dos sacos de plástico e os benefícios do consumo reduzido de sacos de plástico, e </w:t>
      </w:r>
    </w:p>
    <w:p w14:paraId="2771D7CE" w14:textId="05603BF4" w:rsidR="00646F34" w:rsidRDefault="00646F34" w:rsidP="00646F34">
      <w:pPr>
        <w:pStyle w:val="BodyTextIndent"/>
      </w:pPr>
      <w:r>
        <w:t>2. medidas que podem ser tomadas pelo consumidor para reduzir o consumo.</w:t>
      </w:r>
    </w:p>
    <w:p w14:paraId="5570BE05" w14:textId="14D7A4AB" w:rsidR="00646F34" w:rsidRDefault="00646F34" w:rsidP="00646F34">
      <w:pPr>
        <w:pStyle w:val="BodyTextIndent"/>
      </w:pPr>
      <w:r>
        <w:t xml:space="preserve">A obrigação de prestar informações não se aplica aos sacos de plástico: </w:t>
      </w:r>
    </w:p>
    <w:p w14:paraId="6136AAE5" w14:textId="21971FCC" w:rsidR="00646F34" w:rsidRDefault="00646F34" w:rsidP="00646F34">
      <w:pPr>
        <w:pStyle w:val="BodyTextIndent"/>
      </w:pPr>
      <w:r>
        <w:t>1. que sejam fornecidos à distância; ou</w:t>
      </w:r>
    </w:p>
    <w:p w14:paraId="0946EE4F" w14:textId="77777777" w:rsidR="00646F34" w:rsidRPr="00F37459" w:rsidDel="00A4255D" w:rsidRDefault="00646F34" w:rsidP="00646F34">
      <w:pPr>
        <w:pStyle w:val="BodyTextIndent"/>
      </w:pPr>
      <w:r>
        <w:t>2. </w:t>
      </w:r>
      <w:bookmarkStart w:id="18" w:name="_Hlk52885097"/>
      <w:r>
        <w:t>com paredes mais finas do que 15 mícrons que são necessários por razões de higiene ou são fornecidos como a embalagem primária para alimentos vendidos a granel.</w:t>
      </w:r>
    </w:p>
    <w:bookmarkEnd w:id="17"/>
    <w:bookmarkEnd w:id="18"/>
    <w:p w14:paraId="0130FB62" w14:textId="77F6F09F" w:rsidR="00646F34" w:rsidRDefault="00646F34" w:rsidP="00646F34">
      <w:pPr>
        <w:pStyle w:val="BodyTextIndent"/>
      </w:pPr>
      <w:r>
        <w:t xml:space="preserve">As informações devem ser facilmente acessíveis, incentivar um comportamento responsável dos consumidores e ser prestadas de forma recorrente. </w:t>
      </w:r>
    </w:p>
    <w:p w14:paraId="5779F367" w14:textId="77777777" w:rsidR="00D810C9" w:rsidRDefault="00D810C9" w:rsidP="00646F34">
      <w:pPr>
        <w:pStyle w:val="BodyTextIndent"/>
      </w:pPr>
    </w:p>
    <w:p w14:paraId="3A1F25D9" w14:textId="190F79FF" w:rsidR="00333168" w:rsidRDefault="00311E20" w:rsidP="00333168">
      <w:pPr>
        <w:pStyle w:val="BodyTextIndent"/>
        <w:ind w:firstLine="0"/>
      </w:pPr>
      <w:r>
        <w:rPr>
          <w:b/>
        </w:rPr>
        <w:t>Secção 29</w:t>
      </w:r>
      <w:r>
        <w:t xml:space="preserve"> No caso dos produtos de plástico de utilização única referidos na Secção 8 do Decreto (2021:000) sobre as cargas de lixo, a Agência Sueca de Proteção do Ambiente informará os consumidores de: </w:t>
      </w:r>
    </w:p>
    <w:p w14:paraId="57FBCC86" w14:textId="7D329365" w:rsidR="00333168" w:rsidRDefault="00333168" w:rsidP="00333168">
      <w:pPr>
        <w:pStyle w:val="BodyTextIndent"/>
      </w:pPr>
      <w:r>
        <w:t xml:space="preserve">1. como lidar com produtos de plástico de utilização única quando eles se tornam resíduos, </w:t>
      </w:r>
    </w:p>
    <w:p w14:paraId="71E21096" w14:textId="0E200B1D" w:rsidR="00333168" w:rsidRDefault="00333168" w:rsidP="00333168">
      <w:pPr>
        <w:pStyle w:val="BodyTextIndent"/>
      </w:pPr>
      <w:r>
        <w:t>2. os efeitos negativos para o ambiente da deposição de lixo ou resultantes de outra eliminação inadequada de produtos de plástico de utilização única, e</w:t>
      </w:r>
    </w:p>
    <w:p w14:paraId="08A33784" w14:textId="28409F05" w:rsidR="00333168" w:rsidRDefault="00333168" w:rsidP="00333168">
      <w:pPr>
        <w:pStyle w:val="BodyTextIndent"/>
      </w:pPr>
      <w:r>
        <w:t>3. Os efeitos negativos sobre a rede de esgotos da descarga do produto de plástico de utilização única pelo esgoto.</w:t>
      </w:r>
    </w:p>
    <w:p w14:paraId="78958184" w14:textId="0761D282" w:rsidR="00333168" w:rsidRDefault="00333168" w:rsidP="00333168">
      <w:pPr>
        <w:pStyle w:val="BodyTextIndent"/>
      </w:pPr>
      <w:bookmarkStart w:id="19" w:name="_Hlk85729959"/>
      <w:r>
        <w:t xml:space="preserve">As informações devem ajudar a assegurar que os resíduos de produtos de plástico de utilização única são tratados de forma adequada e a reduzir a deposição de lixo. </w:t>
      </w:r>
    </w:p>
    <w:bookmarkEnd w:id="19"/>
    <w:p w14:paraId="2FDE9192" w14:textId="05D60899" w:rsidR="00333168" w:rsidRPr="00F37459" w:rsidRDefault="00333168" w:rsidP="00646F34">
      <w:pPr>
        <w:pStyle w:val="BodyTextIndent"/>
      </w:pPr>
      <w:r>
        <w:t xml:space="preserve">As informações devem ser facilmente acessíveis, incentivar um comportamento responsável dos consumidores e ser prestadas de forma recorrente. </w:t>
      </w:r>
    </w:p>
    <w:p w14:paraId="4F28984C" w14:textId="77777777" w:rsidR="00646F34" w:rsidRPr="004A5FA3" w:rsidRDefault="00646F34" w:rsidP="009E6D43">
      <w:pPr>
        <w:pStyle w:val="Heading4"/>
      </w:pPr>
      <w:r>
        <w:t>Monitorização da diminuição do consumo</w:t>
      </w:r>
    </w:p>
    <w:p w14:paraId="63677034" w14:textId="3A394BD8" w:rsidR="00646F34" w:rsidRDefault="00333168" w:rsidP="00646F34">
      <w:pPr>
        <w:pStyle w:val="BodyText"/>
      </w:pPr>
      <w:r>
        <w:rPr>
          <w:b/>
        </w:rPr>
        <w:t>Secção 30</w:t>
      </w:r>
      <w:r>
        <w:t xml:space="preserve"> </w:t>
      </w:r>
      <w:bookmarkStart w:id="20" w:name="_Hlk39566463"/>
      <w:r>
        <w:t xml:space="preserve">Com base nas informações fornecidas ao abrigo da Secção 73(a) do Decreto (2018:1462) sobre a responsabilidade do produtor pela embalagem, a Agência Sueca de Proteção do Ambiente deve monitorizar o consumo de: </w:t>
      </w:r>
    </w:p>
    <w:p w14:paraId="124862F8" w14:textId="77777777" w:rsidR="00646F34" w:rsidRDefault="00646F34" w:rsidP="00646F34">
      <w:pPr>
        <w:pStyle w:val="BodyTextIndent"/>
      </w:pPr>
      <w:r>
        <w:t xml:space="preserve">1. sacos de plástico estão a diminuir e que o consumo de sacos de plástico leves não excede 90 sacos por pessoa e por ano a partir de 31 de dezembro de 2019 e 40 sacos por pessoa e por ano a partir de 31 de dezembro de 2025, e </w:t>
      </w:r>
    </w:p>
    <w:p w14:paraId="7E098308" w14:textId="77777777" w:rsidR="00646F34" w:rsidRDefault="00646F34" w:rsidP="00646F34">
      <w:pPr>
        <w:pStyle w:val="BodyTextIndent"/>
      </w:pPr>
      <w:r>
        <w:t>2. copos e caixas de alimentos que são produtos de plástico de uso único diminuíram 50% no ano civil de 2026 em comparação com o consumo no ano civil de 2022.</w:t>
      </w:r>
    </w:p>
    <w:p w14:paraId="4DF4B9EC" w14:textId="77777777" w:rsidR="00646F34" w:rsidRDefault="00646F34" w:rsidP="00646F34">
      <w:pPr>
        <w:pStyle w:val="BodyTextIndent"/>
      </w:pPr>
      <w:r>
        <w:lastRenderedPageBreak/>
        <w:t xml:space="preserve">O cálculo do consumo de sacos de plástico leves não deve incluir sacos com paredes mais finas do que 15 mícrons e: </w:t>
      </w:r>
    </w:p>
    <w:p w14:paraId="408D81DA" w14:textId="22F58FD7" w:rsidR="00646F34" w:rsidRDefault="00646F34" w:rsidP="00646F34">
      <w:pPr>
        <w:pStyle w:val="BodyTextIndent"/>
      </w:pPr>
      <w:r>
        <w:t xml:space="preserve">1. ser necessário por razões de higiene, ou </w:t>
      </w:r>
    </w:p>
    <w:p w14:paraId="0FBB7059" w14:textId="77777777" w:rsidR="00646F34" w:rsidRPr="00E975B9" w:rsidRDefault="00646F34" w:rsidP="00646F34">
      <w:pPr>
        <w:pStyle w:val="BodyTextIndent"/>
      </w:pPr>
      <w:r>
        <w:t xml:space="preserve">2. serem fornecidos como embalagem primária para alimentos vendidos a granel. </w:t>
      </w:r>
    </w:p>
    <w:p w14:paraId="24D1CC3E" w14:textId="55A48E34" w:rsidR="00646F34" w:rsidRDefault="00646F34" w:rsidP="00646F34">
      <w:pPr>
        <w:pStyle w:val="BodyTextIndent"/>
      </w:pPr>
      <w:r>
        <w:t>Se a Agência Sueca de Proteção do Ambiente considerar que o consumo de sacos de plástico e</w:t>
      </w:r>
      <w:r w:rsidRPr="002D7CC9">
        <w:t xml:space="preserve"> </w:t>
      </w:r>
      <w:r>
        <w:t>chávenas e caixas de alimentos que são produtos de plástico de utilização única não está a diminuir ou que o consumo de sacos de plástico leves excederá os níveis estabelecidos no primeiro parágrafo, a Agência Sueca de Proteção do Ambiente apresentará propostas ao Governo com vista à adoção de medidas adequadas.</w:t>
      </w:r>
      <w:bookmarkEnd w:id="20"/>
    </w:p>
    <w:p w14:paraId="1F952C0F" w14:textId="77777777" w:rsidR="00646F34" w:rsidRPr="006047FF" w:rsidRDefault="00646F34" w:rsidP="009E6D43">
      <w:pPr>
        <w:pStyle w:val="Heading4"/>
      </w:pPr>
      <w:r>
        <w:t>Comunicação</w:t>
      </w:r>
    </w:p>
    <w:p w14:paraId="38C80481" w14:textId="725E6848" w:rsidR="00646F34" w:rsidRDefault="00333168" w:rsidP="00646F34">
      <w:pPr>
        <w:pStyle w:val="BodyText"/>
      </w:pPr>
      <w:r>
        <w:rPr>
          <w:b/>
        </w:rPr>
        <w:t>Secção 31</w:t>
      </w:r>
      <w:r>
        <w:t xml:space="preserve"> A Agência de Proteção do Ambiente deve apresentar um relatório à Comissão Europeia em conformidade com a Diretiva (UE) 2019/904 do Parlamento Europeu e do Conselho, de 5 de junho de 2019, relativa à redução do impacto de determinados produtos de plástico no ambiente, na sua redação original. </w:t>
      </w:r>
    </w:p>
    <w:p w14:paraId="6C61A685" w14:textId="77777777" w:rsidR="00646F34" w:rsidRDefault="00646F34" w:rsidP="009E6D43">
      <w:pPr>
        <w:pStyle w:val="Heading4"/>
      </w:pPr>
      <w:r>
        <w:t>Supervisão</w:t>
      </w:r>
    </w:p>
    <w:p w14:paraId="793E3E77" w14:textId="37D380AB" w:rsidR="00646F34" w:rsidRDefault="00646F34" w:rsidP="00646F34">
      <w:pPr>
        <w:pStyle w:val="BodyTextIndent"/>
        <w:ind w:firstLine="0"/>
      </w:pPr>
      <w:bookmarkStart w:id="21" w:name="_Hlk49157704"/>
      <w:r>
        <w:rPr>
          <w:b/>
        </w:rPr>
        <w:t>Secção 32</w:t>
      </w:r>
      <w:r>
        <w:t xml:space="preserve"> Capítulo 2, Secções 24 e 31 do Decreto (2011:13) relativo à aplicação da legislação ambiental contém disposições em matéria de supervisão. </w:t>
      </w:r>
    </w:p>
    <w:p w14:paraId="63EF48B3" w14:textId="77777777" w:rsidR="00646F34" w:rsidRDefault="00646F34" w:rsidP="009E6D43">
      <w:pPr>
        <w:pStyle w:val="Heading4"/>
      </w:pPr>
      <w:r>
        <w:t>Sanções</w:t>
      </w:r>
    </w:p>
    <w:p w14:paraId="6DC4E366" w14:textId="58C77F3B" w:rsidR="00646F34" w:rsidRDefault="00646F34" w:rsidP="00646F34">
      <w:pPr>
        <w:pStyle w:val="BodyText"/>
      </w:pPr>
      <w:r>
        <w:rPr>
          <w:b/>
        </w:rPr>
        <w:t>Secção 33</w:t>
      </w:r>
      <w:r>
        <w:t xml:space="preserve"> O Decreto (2012: 259) sobre as taxas de sanções ambientais contém disposições sobre as taxas de sanções ambientais.</w:t>
      </w:r>
      <w:bookmarkEnd w:id="21"/>
    </w:p>
    <w:p w14:paraId="3554C13B" w14:textId="79257F9C" w:rsidR="00646F34" w:rsidRDefault="00C6508D" w:rsidP="00C6508D">
      <w:pPr>
        <w:pStyle w:val="Heading4"/>
      </w:pPr>
      <w:r>
        <w:t>Autorização para emitir regulamentações de execução</w:t>
      </w:r>
    </w:p>
    <w:p w14:paraId="0F85D3F8" w14:textId="4FB63265" w:rsidR="00646F34" w:rsidRDefault="00646F34" w:rsidP="00646F34">
      <w:pPr>
        <w:pStyle w:val="BodyText"/>
      </w:pPr>
      <w:r>
        <w:rPr>
          <w:b/>
        </w:rPr>
        <w:t>Secção 34</w:t>
      </w:r>
      <w:r>
        <w:t xml:space="preserve"> A Agência Sueca de Proteção Ambiental pode emitir regulamentações sobre a aplicação deste decreto.</w:t>
      </w:r>
    </w:p>
    <w:p w14:paraId="1C219B46" w14:textId="77777777" w:rsidR="00646F34" w:rsidRPr="00811E52" w:rsidRDefault="00646F34" w:rsidP="00646F34">
      <w:pPr>
        <w:pStyle w:val="Slutstreck"/>
      </w:pPr>
      <w:r>
        <w:t>                      </w:t>
      </w:r>
    </w:p>
    <w:p w14:paraId="504E9F86" w14:textId="64A3F615" w:rsidR="00646F34" w:rsidRDefault="00646F34" w:rsidP="00646F34">
      <w:pPr>
        <w:pStyle w:val="BodyTextIndent"/>
      </w:pPr>
      <w:r>
        <w:t>1. O presente Decreto entra em vigor em 30 de abril de 2022 no que diz respeito à Secção 16 de 1 de janeiro de 2024 no que diz respeito às Secções 14 e 17-22 e 25 e, caso contrário, em 1 de janeiro de 2022.</w:t>
      </w:r>
    </w:p>
    <w:p w14:paraId="734AC260" w14:textId="6E9AF961" w:rsidR="00646F34" w:rsidRPr="00830602" w:rsidRDefault="00646F34" w:rsidP="00646F34">
      <w:pPr>
        <w:pStyle w:val="BodyTextIndent"/>
      </w:pPr>
      <w:r>
        <w:t>2. O Decreto revoga o Decreto (2016:1041) sobre sacos de plástico.</w:t>
      </w:r>
    </w:p>
    <w:p w14:paraId="605E44B0" w14:textId="77777777" w:rsidR="0084605D" w:rsidRDefault="0084605D" w:rsidP="00C24693">
      <w:pPr>
        <w:pStyle w:val="BodyText"/>
        <w:keepNext/>
        <w:keepLines/>
      </w:pPr>
    </w:p>
    <w:p w14:paraId="41459E47" w14:textId="0F44E051" w:rsidR="00E95ADF" w:rsidRDefault="00E95ADF" w:rsidP="00C24693">
      <w:pPr>
        <w:pStyle w:val="BodyText"/>
        <w:keepNext/>
        <w:keepLines/>
      </w:pPr>
      <w:r>
        <w:t>Em representação do Governo</w:t>
      </w:r>
    </w:p>
    <w:p w14:paraId="26D5D373" w14:textId="77777777" w:rsidR="00E95ADF" w:rsidRDefault="00E95ADF" w:rsidP="00C24693">
      <w:pPr>
        <w:pStyle w:val="BodyText"/>
        <w:keepNext/>
        <w:keepLines/>
      </w:pPr>
    </w:p>
    <w:p w14:paraId="741DAB74" w14:textId="39EAF410" w:rsidR="00E95ADF" w:rsidRPr="003037A4" w:rsidRDefault="0084605D" w:rsidP="00C24693">
      <w:pPr>
        <w:pStyle w:val="BodyText"/>
        <w:keepNext/>
        <w:keepLines/>
        <w:rPr>
          <w:caps/>
        </w:rPr>
      </w:pPr>
      <w:r>
        <w:rPr>
          <w:caps/>
        </w:rPr>
        <w:t>PER BOLUND</w:t>
      </w:r>
    </w:p>
    <w:p w14:paraId="314788B0" w14:textId="490808DB" w:rsidR="00E95ADF" w:rsidRDefault="00E95ADF" w:rsidP="00C24693">
      <w:pPr>
        <w:pStyle w:val="BodyText"/>
        <w:keepNext/>
        <w:keepLines/>
        <w:tabs>
          <w:tab w:val="left" w:pos="3827"/>
        </w:tabs>
        <w:ind w:left="3827" w:hanging="3827"/>
        <w:jc w:val="left"/>
      </w:pPr>
      <w:r>
        <w:tab/>
        <w:t>Maria Jonsson</w:t>
      </w:r>
    </w:p>
    <w:p w14:paraId="2053920B" w14:textId="63A1370F" w:rsidR="00E95ADF" w:rsidRDefault="00E95ADF" w:rsidP="00C24693">
      <w:pPr>
        <w:pStyle w:val="BodyText"/>
        <w:keepLines/>
        <w:tabs>
          <w:tab w:val="left" w:pos="3827"/>
        </w:tabs>
        <w:ind w:left="3827" w:hanging="3827"/>
        <w:jc w:val="left"/>
      </w:pPr>
      <w:r>
        <w:tab/>
        <w:t>(Ministério do Ambiente)</w:t>
      </w:r>
    </w:p>
    <w:p w14:paraId="5ED46A6A" w14:textId="77777777" w:rsidR="00FE7D41" w:rsidRPr="00FE7D41" w:rsidRDefault="00FE7D41" w:rsidP="00FE7D41">
      <w:pPr>
        <w:pStyle w:val="BodyTextIndent"/>
      </w:pPr>
    </w:p>
    <w:sectPr w:rsidR="00FE7D41" w:rsidRPr="00FE7D41" w:rsidSect="00B045C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E8FF" w14:textId="77777777" w:rsidR="006E32BC" w:rsidRDefault="006E32BC" w:rsidP="00680442">
      <w:r>
        <w:separator/>
      </w:r>
    </w:p>
  </w:endnote>
  <w:endnote w:type="continuationSeparator" w:id="0">
    <w:p w14:paraId="68ADDB0B" w14:textId="77777777" w:rsidR="006E32BC" w:rsidRDefault="006E32BC" w:rsidP="00680442">
      <w:r>
        <w:continuationSeparator/>
      </w:r>
    </w:p>
  </w:endnote>
  <w:endnote w:type="continuationNotice" w:id="1">
    <w:p w14:paraId="096657CB" w14:textId="77777777" w:rsidR="006E32BC" w:rsidRDefault="006E3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4DED" w14:textId="77777777" w:rsidR="00CE5660" w:rsidRDefault="00CE5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AEBF" w14:textId="77777777" w:rsidR="00CE5660" w:rsidRDefault="00CE5660" w:rsidP="00CE05BB">
    <w:pPr>
      <w:pStyle w:val="Footer"/>
    </w:pPr>
    <w:r>
      <w:rPr>
        <w:noProof/>
      </w:rPr>
      <mc:AlternateContent>
        <mc:Choice Requires="wps">
          <w:drawing>
            <wp:anchor distT="0" distB="0" distL="114300" distR="114300" simplePos="0" relativeHeight="251657216" behindDoc="0" locked="0" layoutInCell="1" allowOverlap="1" wp14:anchorId="2FECE3E4" wp14:editId="2DEF5DB2">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CE3E4"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C5492BE" w14:textId="77777777" w:rsidR="00CE5660" w:rsidRDefault="00CE5660" w:rsidP="004043E4">
                    <w:pPr>
                      <w:pStyle w:val="BodyText"/>
                      <w:jc w:val="right"/>
                    </w:pPr>
                    <w:r>
                      <w:fldChar w:fldCharType="begin"/>
                    </w:r>
                    <w:r>
                      <w:instrText>PAGE   \* MERGEFORMAT</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BFE7" w14:textId="77777777" w:rsidR="00CE5660" w:rsidRDefault="00CE5660" w:rsidP="00CE05BB">
    <w:pPr>
      <w:pStyle w:val="Footer"/>
    </w:pPr>
    <w:r>
      <w:rPr>
        <w:noProof/>
      </w:rPr>
      <mc:AlternateContent>
        <mc:Choice Requires="wps">
          <w:drawing>
            <wp:anchor distT="0" distB="0" distL="114300" distR="114300" simplePos="0" relativeHeight="251656192" behindDoc="0" locked="0" layoutInCell="1" allowOverlap="1" wp14:anchorId="52EA5486" wp14:editId="02B970E0">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A5486" id="_x0000_t202" coordsize="21600,21600" o:spt="202" path="m,l,21600r21600,l21600,xe">
              <v:stroke joinstyle="miter"/>
              <v:path gradientshapeok="t" o:connecttype="rect"/>
            </v:shapetype>
            <v:shape id="Textruta 1" o:spid="_x0000_s1029"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7dw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" fillcolor="white [3201]" stroked="f" strokeweight=".5pt">
              <v:textbox>
                <w:txbxContent>
                  <w:p w14:paraId="3434C27F" w14:textId="77777777" w:rsidR="00CE5660" w:rsidRDefault="00CE5660" w:rsidP="005B2C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EB107" w14:textId="77777777" w:rsidR="006E32BC" w:rsidRDefault="006E32BC" w:rsidP="00680442"/>
  </w:footnote>
  <w:footnote w:type="continuationSeparator" w:id="0">
    <w:p w14:paraId="26EED349" w14:textId="77777777" w:rsidR="006E32BC" w:rsidRPr="00C26807" w:rsidRDefault="006E32BC" w:rsidP="00C26807">
      <w:pPr>
        <w:pStyle w:val="Footer"/>
      </w:pPr>
    </w:p>
  </w:footnote>
  <w:footnote w:type="continuationNotice" w:id="1">
    <w:p w14:paraId="46F516E9" w14:textId="77777777" w:rsidR="006E32BC" w:rsidRDefault="006E32BC"/>
  </w:footnote>
  <w:footnote w:id="2">
    <w:p w14:paraId="4FE7E27D" w14:textId="77777777" w:rsidR="00CE5660" w:rsidRDefault="00CE5660" w:rsidP="00211C2C">
      <w:pPr>
        <w:pStyle w:val="FootnoteText"/>
      </w:pPr>
      <w:r>
        <w:rPr>
          <w:rStyle w:val="FootnoteReference"/>
        </w:rPr>
        <w:footnoteRef/>
      </w:r>
      <w:r>
        <w:t xml:space="preserve"> Cf. Diretiva (UE) 2019/904 do Parlamento Europeu e do Conselho, de 5 de junho de 2019, relativa à redução do impacto de determinados produtos de plástico no ambiente, na redação original. Ver a Diretiva (UE) 2015/1535 do Parlamento Europeu e do Conselho, de 9 de setembro de 2015, relativa a um procedimento de informação no domínio das regulamentações técnicas e das regras relativas aos serviços da sociedade da informação.</w:t>
      </w:r>
    </w:p>
    <w:p w14:paraId="6A98EB38" w14:textId="0DE8A2D1" w:rsidR="00CE5660" w:rsidRDefault="00CE56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10D4" w14:textId="77777777" w:rsidR="00CE5660" w:rsidRDefault="006E32BC">
    <w:pPr>
      <w:pStyle w:val="Header"/>
    </w:pPr>
    <w:r>
      <w:pict w14:anchorId="24E92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DOCUMENTO DE TESTE, NÃO É UM DOCUMENTO VÁLI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2C90" w14:textId="77777777" w:rsidR="00CE5660" w:rsidRDefault="00CE5660" w:rsidP="00F77ABC">
    <w:pPr>
      <w:pStyle w:val="Header"/>
      <w:jc w:val="right"/>
    </w:pPr>
    <w:r>
      <w:rPr>
        <w:noProof/>
      </w:rPr>
      <mc:AlternateContent>
        <mc:Choice Requires="wps">
          <w:drawing>
            <wp:anchor distT="0" distB="0" distL="114300" distR="114300" simplePos="0" relativeHeight="251658240" behindDoc="0" locked="0" layoutInCell="1" allowOverlap="1" wp14:anchorId="20DA6EBC" wp14:editId="76D6F7C9">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2BECD6" w14:textId="77777777" w:rsidR="00CE5660" w:rsidRPr="001974BD" w:rsidRDefault="00CE5660"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EBC"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1F2BECD6" w14:textId="77777777" w:rsidR="00CE5660" w:rsidRPr="001974BD" w:rsidRDefault="00CE5660" w:rsidP="00B90519">
                    <w:pPr>
                      <w:rPr>
                        <w:b/>
                        <w:sz w:val="22"/>
                        <w:szCs w:val="22"/>
                      </w:rPr>
                    </w:pPr>
                    <w:r>
                      <w:rPr>
                        <w:b/>
                        <w:sz w:val="22"/>
                      </w:rPr>
                      <w:t>SFS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1EC" w14:textId="77777777" w:rsidR="00CE5660" w:rsidRDefault="00CE5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641D6"/>
    <w:multiLevelType w:val="hybridMultilevel"/>
    <w:tmpl w:val="CDE461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54449001">
    <w:abstractNumId w:val="8"/>
  </w:num>
  <w:num w:numId="2" w16cid:durableId="1080101202">
    <w:abstractNumId w:val="8"/>
  </w:num>
  <w:num w:numId="3" w16cid:durableId="1923366620">
    <w:abstractNumId w:val="3"/>
  </w:num>
  <w:num w:numId="4" w16cid:durableId="1141311128">
    <w:abstractNumId w:val="2"/>
  </w:num>
  <w:num w:numId="5" w16cid:durableId="82268625">
    <w:abstractNumId w:val="1"/>
  </w:num>
  <w:num w:numId="6" w16cid:durableId="190068670">
    <w:abstractNumId w:val="0"/>
  </w:num>
  <w:num w:numId="7" w16cid:durableId="1502086411">
    <w:abstractNumId w:val="9"/>
  </w:num>
  <w:num w:numId="8" w16cid:durableId="2076659723">
    <w:abstractNumId w:val="7"/>
  </w:num>
  <w:num w:numId="9" w16cid:durableId="2036535875">
    <w:abstractNumId w:val="6"/>
  </w:num>
  <w:num w:numId="10" w16cid:durableId="340087346">
    <w:abstractNumId w:val="5"/>
  </w:num>
  <w:num w:numId="11" w16cid:durableId="1768423728">
    <w:abstractNumId w:val="4"/>
  </w:num>
  <w:num w:numId="12" w16cid:durableId="470364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hideSpellingErrors/>
  <w:hideGrammaticalErrors/>
  <w:proofState w:spelling="clean" w:grammar="clean"/>
  <w:attachedTemplate r:id="rId1"/>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F34"/>
    <w:rsid w:val="00014844"/>
    <w:rsid w:val="000217E0"/>
    <w:rsid w:val="000309B4"/>
    <w:rsid w:val="00054B0D"/>
    <w:rsid w:val="00062643"/>
    <w:rsid w:val="00065778"/>
    <w:rsid w:val="000776E6"/>
    <w:rsid w:val="00087E73"/>
    <w:rsid w:val="00091696"/>
    <w:rsid w:val="0009400A"/>
    <w:rsid w:val="000963A0"/>
    <w:rsid w:val="000A1BCC"/>
    <w:rsid w:val="000A437D"/>
    <w:rsid w:val="000A6C2B"/>
    <w:rsid w:val="000B072E"/>
    <w:rsid w:val="000B36C7"/>
    <w:rsid w:val="000B7FEB"/>
    <w:rsid w:val="000C42B0"/>
    <w:rsid w:val="000D3E9A"/>
    <w:rsid w:val="000D56FC"/>
    <w:rsid w:val="000D5E85"/>
    <w:rsid w:val="000F3D5F"/>
    <w:rsid w:val="000F7435"/>
    <w:rsid w:val="00100E2C"/>
    <w:rsid w:val="00122CF5"/>
    <w:rsid w:val="00131A73"/>
    <w:rsid w:val="00132BD5"/>
    <w:rsid w:val="00135F8C"/>
    <w:rsid w:val="001409E8"/>
    <w:rsid w:val="001563DC"/>
    <w:rsid w:val="00162B76"/>
    <w:rsid w:val="00165B5E"/>
    <w:rsid w:val="00167E63"/>
    <w:rsid w:val="00175988"/>
    <w:rsid w:val="00181BC1"/>
    <w:rsid w:val="001974BD"/>
    <w:rsid w:val="001A716D"/>
    <w:rsid w:val="001B4DB6"/>
    <w:rsid w:val="001D2D45"/>
    <w:rsid w:val="001D7E3D"/>
    <w:rsid w:val="001E43C6"/>
    <w:rsid w:val="001F4FE9"/>
    <w:rsid w:val="00201C96"/>
    <w:rsid w:val="00205B38"/>
    <w:rsid w:val="00211C2C"/>
    <w:rsid w:val="002124E1"/>
    <w:rsid w:val="00215412"/>
    <w:rsid w:val="00224C44"/>
    <w:rsid w:val="00232439"/>
    <w:rsid w:val="0023447C"/>
    <w:rsid w:val="00236E12"/>
    <w:rsid w:val="002576A9"/>
    <w:rsid w:val="00264764"/>
    <w:rsid w:val="00267351"/>
    <w:rsid w:val="002767C4"/>
    <w:rsid w:val="00276BA7"/>
    <w:rsid w:val="002804CB"/>
    <w:rsid w:val="0029295C"/>
    <w:rsid w:val="002949DD"/>
    <w:rsid w:val="002A76C1"/>
    <w:rsid w:val="002B3871"/>
    <w:rsid w:val="002B452D"/>
    <w:rsid w:val="002C0BBF"/>
    <w:rsid w:val="002D247A"/>
    <w:rsid w:val="002D3D78"/>
    <w:rsid w:val="002D7CC9"/>
    <w:rsid w:val="002F68D4"/>
    <w:rsid w:val="00301819"/>
    <w:rsid w:val="00311E20"/>
    <w:rsid w:val="003216FD"/>
    <w:rsid w:val="00323010"/>
    <w:rsid w:val="00330A7B"/>
    <w:rsid w:val="00332533"/>
    <w:rsid w:val="00333168"/>
    <w:rsid w:val="00333E47"/>
    <w:rsid w:val="00335129"/>
    <w:rsid w:val="00343A99"/>
    <w:rsid w:val="00344B4A"/>
    <w:rsid w:val="00350B0F"/>
    <w:rsid w:val="0035181A"/>
    <w:rsid w:val="00353EE4"/>
    <w:rsid w:val="00355D64"/>
    <w:rsid w:val="003627A1"/>
    <w:rsid w:val="003642F1"/>
    <w:rsid w:val="00364629"/>
    <w:rsid w:val="003661D1"/>
    <w:rsid w:val="00367C3F"/>
    <w:rsid w:val="0037085F"/>
    <w:rsid w:val="003A300E"/>
    <w:rsid w:val="003B4B65"/>
    <w:rsid w:val="003C1B39"/>
    <w:rsid w:val="003C5D66"/>
    <w:rsid w:val="003E4858"/>
    <w:rsid w:val="003E7C57"/>
    <w:rsid w:val="004043E4"/>
    <w:rsid w:val="00420647"/>
    <w:rsid w:val="0042754D"/>
    <w:rsid w:val="0044098C"/>
    <w:rsid w:val="00440A07"/>
    <w:rsid w:val="0044715B"/>
    <w:rsid w:val="00460C4D"/>
    <w:rsid w:val="00461C46"/>
    <w:rsid w:val="00461D7A"/>
    <w:rsid w:val="004630CE"/>
    <w:rsid w:val="00465E8F"/>
    <w:rsid w:val="00467E22"/>
    <w:rsid w:val="00467F48"/>
    <w:rsid w:val="0047191E"/>
    <w:rsid w:val="00475117"/>
    <w:rsid w:val="00475F84"/>
    <w:rsid w:val="00482DD1"/>
    <w:rsid w:val="00487A84"/>
    <w:rsid w:val="00496903"/>
    <w:rsid w:val="00496B57"/>
    <w:rsid w:val="004A3C1C"/>
    <w:rsid w:val="004A728C"/>
    <w:rsid w:val="004B6A07"/>
    <w:rsid w:val="004B7FD3"/>
    <w:rsid w:val="004C2E93"/>
    <w:rsid w:val="004E0106"/>
    <w:rsid w:val="004E0DAA"/>
    <w:rsid w:val="004E1ACE"/>
    <w:rsid w:val="004E4DE2"/>
    <w:rsid w:val="004F0BBC"/>
    <w:rsid w:val="004F112E"/>
    <w:rsid w:val="00506527"/>
    <w:rsid w:val="00527561"/>
    <w:rsid w:val="005373FC"/>
    <w:rsid w:val="0055154B"/>
    <w:rsid w:val="00561BFC"/>
    <w:rsid w:val="00562B95"/>
    <w:rsid w:val="00564C23"/>
    <w:rsid w:val="00565A67"/>
    <w:rsid w:val="00580393"/>
    <w:rsid w:val="00585B17"/>
    <w:rsid w:val="005B0C13"/>
    <w:rsid w:val="005B2C6E"/>
    <w:rsid w:val="005B3A26"/>
    <w:rsid w:val="005B7784"/>
    <w:rsid w:val="005C210E"/>
    <w:rsid w:val="005C6B0C"/>
    <w:rsid w:val="005E410F"/>
    <w:rsid w:val="005E781A"/>
    <w:rsid w:val="005F3664"/>
    <w:rsid w:val="005F5448"/>
    <w:rsid w:val="005F75D2"/>
    <w:rsid w:val="005F7A7D"/>
    <w:rsid w:val="006017CA"/>
    <w:rsid w:val="00601CF4"/>
    <w:rsid w:val="00615D62"/>
    <w:rsid w:val="006178BF"/>
    <w:rsid w:val="00624653"/>
    <w:rsid w:val="006413A7"/>
    <w:rsid w:val="0064475F"/>
    <w:rsid w:val="00646F34"/>
    <w:rsid w:val="006734C6"/>
    <w:rsid w:val="0067379D"/>
    <w:rsid w:val="00674A58"/>
    <w:rsid w:val="00680442"/>
    <w:rsid w:val="0068520B"/>
    <w:rsid w:val="006856DB"/>
    <w:rsid w:val="00685BA1"/>
    <w:rsid w:val="00691E87"/>
    <w:rsid w:val="006972B7"/>
    <w:rsid w:val="006A189D"/>
    <w:rsid w:val="006A31EA"/>
    <w:rsid w:val="006A5C76"/>
    <w:rsid w:val="006A6EF2"/>
    <w:rsid w:val="006B1487"/>
    <w:rsid w:val="006B54FB"/>
    <w:rsid w:val="006C2353"/>
    <w:rsid w:val="006C3DF6"/>
    <w:rsid w:val="006C4712"/>
    <w:rsid w:val="006D0B9D"/>
    <w:rsid w:val="006E32BC"/>
    <w:rsid w:val="006E7380"/>
    <w:rsid w:val="006F3EF0"/>
    <w:rsid w:val="00701597"/>
    <w:rsid w:val="00705CF7"/>
    <w:rsid w:val="00711FBF"/>
    <w:rsid w:val="007141EE"/>
    <w:rsid w:val="00715836"/>
    <w:rsid w:val="00731454"/>
    <w:rsid w:val="00732438"/>
    <w:rsid w:val="00732889"/>
    <w:rsid w:val="00732900"/>
    <w:rsid w:val="00736FD8"/>
    <w:rsid w:val="00753F80"/>
    <w:rsid w:val="007623A9"/>
    <w:rsid w:val="007708C2"/>
    <w:rsid w:val="0078709D"/>
    <w:rsid w:val="0078756A"/>
    <w:rsid w:val="007878C2"/>
    <w:rsid w:val="00790DED"/>
    <w:rsid w:val="007A10EE"/>
    <w:rsid w:val="007A4814"/>
    <w:rsid w:val="007A5642"/>
    <w:rsid w:val="007A61CF"/>
    <w:rsid w:val="007B32A1"/>
    <w:rsid w:val="007B5968"/>
    <w:rsid w:val="007C0C0F"/>
    <w:rsid w:val="007E6B31"/>
    <w:rsid w:val="007E75A3"/>
    <w:rsid w:val="007F7FC2"/>
    <w:rsid w:val="00805987"/>
    <w:rsid w:val="00831B5C"/>
    <w:rsid w:val="0083514C"/>
    <w:rsid w:val="00835AE2"/>
    <w:rsid w:val="00836C52"/>
    <w:rsid w:val="00836E0C"/>
    <w:rsid w:val="00837A93"/>
    <w:rsid w:val="0084384D"/>
    <w:rsid w:val="0084605D"/>
    <w:rsid w:val="008579BD"/>
    <w:rsid w:val="00865506"/>
    <w:rsid w:val="00870B91"/>
    <w:rsid w:val="00871B1E"/>
    <w:rsid w:val="0088045A"/>
    <w:rsid w:val="00887A99"/>
    <w:rsid w:val="008938FE"/>
    <w:rsid w:val="008A4F77"/>
    <w:rsid w:val="008A56A3"/>
    <w:rsid w:val="008B4876"/>
    <w:rsid w:val="008C6DE9"/>
    <w:rsid w:val="008D7DFB"/>
    <w:rsid w:val="008E3B11"/>
    <w:rsid w:val="008E6436"/>
    <w:rsid w:val="008E7A90"/>
    <w:rsid w:val="008F6E7A"/>
    <w:rsid w:val="008F6EEA"/>
    <w:rsid w:val="009105CE"/>
    <w:rsid w:val="00917859"/>
    <w:rsid w:val="009201AC"/>
    <w:rsid w:val="009331C6"/>
    <w:rsid w:val="00933D9C"/>
    <w:rsid w:val="00944A0C"/>
    <w:rsid w:val="009553B2"/>
    <w:rsid w:val="00984BC8"/>
    <w:rsid w:val="0098565F"/>
    <w:rsid w:val="0099266E"/>
    <w:rsid w:val="00993A25"/>
    <w:rsid w:val="009A32BD"/>
    <w:rsid w:val="009A51AC"/>
    <w:rsid w:val="009B701B"/>
    <w:rsid w:val="009C4782"/>
    <w:rsid w:val="009C5A21"/>
    <w:rsid w:val="009D070E"/>
    <w:rsid w:val="009D46CD"/>
    <w:rsid w:val="009D6C25"/>
    <w:rsid w:val="009D7413"/>
    <w:rsid w:val="009D7436"/>
    <w:rsid w:val="009E0463"/>
    <w:rsid w:val="009E6722"/>
    <w:rsid w:val="009E6D43"/>
    <w:rsid w:val="009F3E51"/>
    <w:rsid w:val="009F4194"/>
    <w:rsid w:val="009F4B8F"/>
    <w:rsid w:val="009F60E3"/>
    <w:rsid w:val="009F63BA"/>
    <w:rsid w:val="00A10981"/>
    <w:rsid w:val="00A11BA4"/>
    <w:rsid w:val="00A33D04"/>
    <w:rsid w:val="00A53593"/>
    <w:rsid w:val="00A619D9"/>
    <w:rsid w:val="00A71376"/>
    <w:rsid w:val="00A8757F"/>
    <w:rsid w:val="00A943CA"/>
    <w:rsid w:val="00A94B58"/>
    <w:rsid w:val="00A953B2"/>
    <w:rsid w:val="00AA35F7"/>
    <w:rsid w:val="00AA4011"/>
    <w:rsid w:val="00AC565C"/>
    <w:rsid w:val="00AE1FEB"/>
    <w:rsid w:val="00AF246E"/>
    <w:rsid w:val="00B045CC"/>
    <w:rsid w:val="00B13367"/>
    <w:rsid w:val="00B13451"/>
    <w:rsid w:val="00B178AA"/>
    <w:rsid w:val="00B316D7"/>
    <w:rsid w:val="00B32DD6"/>
    <w:rsid w:val="00B346FF"/>
    <w:rsid w:val="00B412A6"/>
    <w:rsid w:val="00B47C04"/>
    <w:rsid w:val="00B53E93"/>
    <w:rsid w:val="00B54292"/>
    <w:rsid w:val="00B60D5E"/>
    <w:rsid w:val="00B65511"/>
    <w:rsid w:val="00B7501B"/>
    <w:rsid w:val="00B90519"/>
    <w:rsid w:val="00B92773"/>
    <w:rsid w:val="00B92D7E"/>
    <w:rsid w:val="00B92EB6"/>
    <w:rsid w:val="00BA0591"/>
    <w:rsid w:val="00BA397F"/>
    <w:rsid w:val="00BA7AC5"/>
    <w:rsid w:val="00BC1B38"/>
    <w:rsid w:val="00BC1BFA"/>
    <w:rsid w:val="00BC3E60"/>
    <w:rsid w:val="00BC4608"/>
    <w:rsid w:val="00BC60E8"/>
    <w:rsid w:val="00BC6DC4"/>
    <w:rsid w:val="00BC7154"/>
    <w:rsid w:val="00BC79BB"/>
    <w:rsid w:val="00BD3925"/>
    <w:rsid w:val="00BE1774"/>
    <w:rsid w:val="00BF022A"/>
    <w:rsid w:val="00BF16AF"/>
    <w:rsid w:val="00C126DB"/>
    <w:rsid w:val="00C21A7B"/>
    <w:rsid w:val="00C221CE"/>
    <w:rsid w:val="00C24693"/>
    <w:rsid w:val="00C25750"/>
    <w:rsid w:val="00C25CB0"/>
    <w:rsid w:val="00C26807"/>
    <w:rsid w:val="00C47474"/>
    <w:rsid w:val="00C64668"/>
    <w:rsid w:val="00C6508D"/>
    <w:rsid w:val="00C71C42"/>
    <w:rsid w:val="00C728AE"/>
    <w:rsid w:val="00C73C3C"/>
    <w:rsid w:val="00C747CC"/>
    <w:rsid w:val="00C8494D"/>
    <w:rsid w:val="00C96BEF"/>
    <w:rsid w:val="00CB0127"/>
    <w:rsid w:val="00CB0950"/>
    <w:rsid w:val="00CE05BB"/>
    <w:rsid w:val="00CE5660"/>
    <w:rsid w:val="00CE5EC6"/>
    <w:rsid w:val="00CF03E7"/>
    <w:rsid w:val="00CF5001"/>
    <w:rsid w:val="00CF79ED"/>
    <w:rsid w:val="00D001EA"/>
    <w:rsid w:val="00D107EB"/>
    <w:rsid w:val="00D20572"/>
    <w:rsid w:val="00D25FEB"/>
    <w:rsid w:val="00D318CA"/>
    <w:rsid w:val="00D34DA7"/>
    <w:rsid w:val="00D3638D"/>
    <w:rsid w:val="00D4217D"/>
    <w:rsid w:val="00D42A87"/>
    <w:rsid w:val="00D441D7"/>
    <w:rsid w:val="00D44AC9"/>
    <w:rsid w:val="00D45C8D"/>
    <w:rsid w:val="00D50A6F"/>
    <w:rsid w:val="00D526A3"/>
    <w:rsid w:val="00D54E0F"/>
    <w:rsid w:val="00D65A6A"/>
    <w:rsid w:val="00D70F12"/>
    <w:rsid w:val="00D71BB8"/>
    <w:rsid w:val="00D72FA5"/>
    <w:rsid w:val="00D74117"/>
    <w:rsid w:val="00D810C9"/>
    <w:rsid w:val="00DB779F"/>
    <w:rsid w:val="00DD0175"/>
    <w:rsid w:val="00DD0E37"/>
    <w:rsid w:val="00DD64FA"/>
    <w:rsid w:val="00DE0B69"/>
    <w:rsid w:val="00DE4842"/>
    <w:rsid w:val="00DE5075"/>
    <w:rsid w:val="00DE5B23"/>
    <w:rsid w:val="00DF2B87"/>
    <w:rsid w:val="00DF648E"/>
    <w:rsid w:val="00DF68E0"/>
    <w:rsid w:val="00DF7898"/>
    <w:rsid w:val="00E1310A"/>
    <w:rsid w:val="00E20D3E"/>
    <w:rsid w:val="00E21E6F"/>
    <w:rsid w:val="00E373D5"/>
    <w:rsid w:val="00E37BB1"/>
    <w:rsid w:val="00E52CB7"/>
    <w:rsid w:val="00E65F76"/>
    <w:rsid w:val="00E80832"/>
    <w:rsid w:val="00E850EC"/>
    <w:rsid w:val="00E95ADF"/>
    <w:rsid w:val="00E967A2"/>
    <w:rsid w:val="00EA0AB8"/>
    <w:rsid w:val="00EA1496"/>
    <w:rsid w:val="00EA2933"/>
    <w:rsid w:val="00EA30FD"/>
    <w:rsid w:val="00EA76D7"/>
    <w:rsid w:val="00EB47C6"/>
    <w:rsid w:val="00ED763F"/>
    <w:rsid w:val="00EE6222"/>
    <w:rsid w:val="00EE684D"/>
    <w:rsid w:val="00EF16E1"/>
    <w:rsid w:val="00EF521D"/>
    <w:rsid w:val="00EF57BC"/>
    <w:rsid w:val="00EF6220"/>
    <w:rsid w:val="00F04DDD"/>
    <w:rsid w:val="00F1229F"/>
    <w:rsid w:val="00F177EF"/>
    <w:rsid w:val="00F24B78"/>
    <w:rsid w:val="00F277AA"/>
    <w:rsid w:val="00F32750"/>
    <w:rsid w:val="00F549CD"/>
    <w:rsid w:val="00F608ED"/>
    <w:rsid w:val="00F70F1F"/>
    <w:rsid w:val="00F76190"/>
    <w:rsid w:val="00F77ABC"/>
    <w:rsid w:val="00F8416E"/>
    <w:rsid w:val="00F94D97"/>
    <w:rsid w:val="00FA1C3B"/>
    <w:rsid w:val="00FA3FC2"/>
    <w:rsid w:val="00FA4314"/>
    <w:rsid w:val="00FB1396"/>
    <w:rsid w:val="00FB2CB0"/>
    <w:rsid w:val="00FD162D"/>
    <w:rsid w:val="00FD3A99"/>
    <w:rsid w:val="00FD5F95"/>
    <w:rsid w:val="00FD635B"/>
    <w:rsid w:val="00FD67E3"/>
    <w:rsid w:val="00FD71AE"/>
    <w:rsid w:val="00FD759F"/>
    <w:rsid w:val="00FE1F7B"/>
    <w:rsid w:val="00FE3076"/>
    <w:rsid w:val="00FE7D41"/>
    <w:rsid w:val="00FF11B7"/>
    <w:rsid w:val="00FF2358"/>
    <w:rsid w:val="00FF6A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577B"/>
  <w15:docId w15:val="{1B6604E8-44A5-4D1E-9006-C01F1909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14"/>
    <w:qFormat/>
    <w:rsid w:val="008B4876"/>
  </w:style>
  <w:style w:type="character" w:customStyle="1" w:styleId="Rubrik4utannumreringChar">
    <w:name w:val="Rubrik 4 utan numrering Char"/>
    <w:basedOn w:val="Heading4Char"/>
    <w:link w:val="Rubrik4utannumrering"/>
    <w:uiPriority w:val="14"/>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qFormat/>
    <w:rsid w:val="008B4876"/>
    <w:pPr>
      <w:spacing w:after="60"/>
    </w:pPr>
    <w:rPr>
      <w:u w:val="single"/>
    </w:rPr>
  </w:style>
  <w:style w:type="character" w:customStyle="1" w:styleId="SlutstreckChar">
    <w:name w:val="Slutstreck Char"/>
    <w:basedOn w:val="BodyTextIndentChar"/>
    <w:link w:val="Slutstreck"/>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styleId="Hashtag">
    <w:name w:val="Hashtag"/>
    <w:basedOn w:val="DefaultParagraphFont"/>
    <w:uiPriority w:val="99"/>
    <w:semiHidden/>
    <w:rsid w:val="00646F34"/>
    <w:rPr>
      <w:color w:val="2B579A"/>
      <w:shd w:val="clear" w:color="auto" w:fill="E1DFDD"/>
    </w:rPr>
  </w:style>
  <w:style w:type="character" w:styleId="Mention">
    <w:name w:val="Mention"/>
    <w:basedOn w:val="DefaultParagraphFont"/>
    <w:uiPriority w:val="99"/>
    <w:semiHidden/>
    <w:rsid w:val="00646F34"/>
    <w:rPr>
      <w:color w:val="2B579A"/>
      <w:shd w:val="clear" w:color="auto" w:fill="E1DFDD"/>
    </w:rPr>
  </w:style>
  <w:style w:type="character" w:styleId="UnresolvedMention">
    <w:name w:val="Unresolved Mention"/>
    <w:basedOn w:val="DefaultParagraphFont"/>
    <w:uiPriority w:val="99"/>
    <w:semiHidden/>
    <w:rsid w:val="00646F34"/>
    <w:rPr>
      <w:color w:val="605E5C"/>
      <w:shd w:val="clear" w:color="auto" w:fill="E1DFDD"/>
    </w:rPr>
  </w:style>
  <w:style w:type="character" w:styleId="SmartHyperlink">
    <w:name w:val="Smart Hyperlink"/>
    <w:basedOn w:val="DefaultParagraphFont"/>
    <w:uiPriority w:val="99"/>
    <w:semiHidden/>
    <w:rsid w:val="00646F34"/>
    <w:rPr>
      <w:u w:val="dotted"/>
    </w:rPr>
  </w:style>
  <w:style w:type="character" w:styleId="SmartLink">
    <w:name w:val="Smart Link"/>
    <w:basedOn w:val="DefaultParagraphFont"/>
    <w:uiPriority w:val="99"/>
    <w:semiHidden/>
    <w:rsid w:val="00646F3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31D46B8C324B76B3CEC46700909471"/>
        <w:category>
          <w:name w:val="Allmänt"/>
          <w:gallery w:val="placeholder"/>
        </w:category>
        <w:types>
          <w:type w:val="bbPlcHdr"/>
        </w:types>
        <w:behaviors>
          <w:behavior w:val="content"/>
        </w:behaviors>
        <w:guid w:val="{99041850-4ADF-4F02-8010-C2C358BF3FE5}"/>
      </w:docPartPr>
      <w:docPartBody>
        <w:p w:rsidR="0083405B" w:rsidRDefault="00116015" w:rsidP="00116015">
          <w:r>
            <w:rPr>
              <w:rStyle w:val="PlaceholderText"/>
            </w:rPr>
            <w:t>Clique aqui para introduzir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116015"/>
    <w:rsid w:val="007C5575"/>
    <w:rsid w:val="0083405B"/>
    <w:rsid w:val="00B878EB"/>
    <w:rsid w:val="00C203FE"/>
    <w:rsid w:val="00CC7F5C"/>
    <w:rsid w:val="00D12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7F5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30</RkTemplate>
    <DocType>SFS</DocType>
    <DocTypeShowName>SFS</DocTypeShowName>
    <Status/>
    <Sender>
      <SenderName>Anna Cedrum</SenderName>
      <SenderTitle>Departementssekreterare</SenderTitle>
      <SenderMail>Anna.Cedrum@regeringskansliet.se</SenderMail>
      <SenderPhone>08-405 12 09
072-228 11 41</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2021-03-26</HeaderDate>
    <Office/>
    <Dnr>M2021/</Dnr>
    <ParagrafNr/>
    <DocumentTitle/>
    <VisitingAddress/>
    <Extra1>extrainfo för denna mallm</Extra1>
    <Extra2>mer extrainfo</Extra2>
    <Extra3/>
    <Number/>
    <Recipient/>
    <SenderText/>
    <DocNumber/>
    <Doclanguage>1053</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_dlc_DocId xmlns="6a372189-8514-43a9-a668-4622024340fc">TSDR5AECP2XP-1839530900-53935</_dlc_DocId>
    <_dlc_DocIdUrl xmlns="6a372189-8514-43a9-a668-4622024340fc">
      <Url>https://dhs.sp.regeringskansliet.se/yta/m-r/_layouts/15/DocIdRedir.aspx?ID=TSDR5AECP2XP-1839530900-53935</Url>
      <Description>TSDR5AECP2XP-1839530900-53935</Description>
    </_dlc_DocIdUrl>
    <RKOrdnaClass xmlns="d4acd662-17ce-4a3b-8e84-c7c9f280a23c" xsi:nil="true"/>
    <RKOrdnaCheckInComment xmlns="d4acd662-17ce-4a3b-8e84-c7c9f280a23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5" ma:contentTypeDescription="Skapa ett nytt dokument." ma:contentTypeScope="" ma:versionID="44e31441bcfe5a11cd9a2cef03372725">
  <xsd:schema xmlns:xsd="http://www.w3.org/2001/XMLSchema" xmlns:xs="http://www.w3.org/2001/XMLSchema" xmlns:p="http://schemas.microsoft.com/office/2006/metadata/properties" xmlns:ns2="4e9c2f0c-7bf8-49af-8356-cbf363fc78a7" xmlns:ns3="cc625d36-bb37-4650-91b9-0c96159295ba" xmlns:ns4="18f3d968-6251-40b0-9f11-012b293496c2" xmlns:ns5="d4acd662-17ce-4a3b-8e84-c7c9f280a23c" xmlns:ns7="6a372189-8514-43a9-a668-4622024340fc" targetNamespace="http://schemas.microsoft.com/office/2006/metadata/properties" ma:root="true" ma:fieldsID="9755c46bd8cbbb861736efa1e3307b2e" ns2:_="" ns3:_="" ns4:_="" ns5:_="" ns7:_="">
    <xsd:import namespace="4e9c2f0c-7bf8-49af-8356-cbf363fc78a7"/>
    <xsd:import namespace="cc625d36-bb37-4650-91b9-0c96159295ba"/>
    <xsd:import namespace="18f3d968-6251-40b0-9f11-012b293496c2"/>
    <xsd:import namespace="d4acd662-17ce-4a3b-8e84-c7c9f280a23c"/>
    <xsd:import namespace="6a372189-8514-43a9-a668-4622024340fc"/>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RKOrdnaCheckInComment" minOccurs="0"/>
                <xsd:element ref="ns5:RKOrdnaClas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3b9322c-24b1-4a7f-a49c-b9c86c8c013d}" ma:internalName="TaxCatchAll"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heckInComment" ma:index="17" nillable="true" ma:displayName="Incheckningskommentar" ma:hidden="true" ma:internalName="RKOrdnaCheckInComment">
      <xsd:simpleType>
        <xsd:restriction base="dms:Text"/>
      </xsd:simpleType>
    </xsd:element>
    <xsd:element name="RKOrdnaClass" ma:index="18" nillable="true" ma:displayName="Klass" ma:hidden="true" ma:internalName="RKOrdnaCla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20" nillable="true" ma:displayName="Dokument-ID-värde" ma:description="Värdet för dokument-ID som tilldelats till det här objektet." ma:internalName="_dlc_DocId" ma:readOnly="true">
      <xsd:simpleType>
        <xsd:restriction base="dms:Text"/>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9"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07acfae-4dfa-4949-99a8-259efd31a6ae" ContentTypeId="0x010100BBA312BF02777149882D207184EC35C0" PreviousValue="false"/>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C5FA5B09-8678-40D5-A305-364511F55171}">
  <ds:schemaRefs>
    <ds:schemaRef ds:uri="http://lp/documentinfo/RK"/>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6a372189-8514-43a9-a668-4622024340fc"/>
    <ds:schemaRef ds:uri="d4acd662-17ce-4a3b-8e84-c7c9f280a23c"/>
  </ds:schemaRefs>
</ds:datastoreItem>
</file>

<file path=customXml/itemProps4.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5.xml><?xml version="1.0" encoding="utf-8"?>
<ds:datastoreItem xmlns:ds="http://schemas.openxmlformats.org/officeDocument/2006/customXml" ds:itemID="{F040F898-B3FB-4EB0-8C1F-F030ABB2D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4acd662-17ce-4a3b-8e84-c7c9f280a23c"/>
    <ds:schemaRef ds:uri="6a372189-8514-43a9-a668-462202434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739FB88-DAC8-4639-8EC7-CDA9CB424C97}">
  <ds:schemaRefs>
    <ds:schemaRef ds:uri="http://schemas.microsoft.com/sharepoint/events"/>
  </ds:schemaRefs>
</ds:datastoreItem>
</file>

<file path=customXml/itemProps7.xml><?xml version="1.0" encoding="utf-8"?>
<ds:datastoreItem xmlns:ds="http://schemas.openxmlformats.org/officeDocument/2006/customXml" ds:itemID="{DE41085F-F65A-4FFB-8541-203F539B31D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SFS</Template>
  <TotalTime>1</TotalTime>
  <Pages>7</Pages>
  <Words>2681</Words>
  <Characters>13893</Characters>
  <Application>Microsoft Office Word</Application>
  <DocSecurity>0</DocSecurity>
  <Lines>338</Lines>
  <Paragraphs>169</Paragraphs>
  <ScaleCrop>false</ScaleCrop>
  <HeadingPairs>
    <vt:vector size="2" baseType="variant">
      <vt:variant>
        <vt:lpstr>Rubrik</vt:lpstr>
      </vt:variant>
      <vt:variant>
        <vt:i4>1</vt:i4>
      </vt:variant>
    </vt:vector>
  </HeadingPairs>
  <TitlesOfParts>
    <vt:vector size="1" baseType="lpstr">
      <vt:lpstr>Förordning om engångsprodukter</vt:lpstr>
    </vt:vector>
  </TitlesOfParts>
  <Company>Regeringskansliet</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engångsprodukter</dc:title>
  <dc:creator>Anna Cedrum</dc:creator>
  <cp:keywords>class='Internal'</cp:keywords>
  <cp:lastModifiedBy>Ines Varvodic</cp:lastModifiedBy>
  <cp:revision>2</cp:revision>
  <cp:lastPrinted>2016-10-14T09:17:00Z</cp:lastPrinted>
  <dcterms:created xsi:type="dcterms:W3CDTF">2022-05-31T10:01:00Z</dcterms:created>
  <dcterms:modified xsi:type="dcterms:W3CDTF">2022-05-31T10:01:00Z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6f5561cd-0e8a-4334-820a-626a8f3e949f</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SFS1</vt:lpwstr>
  </property>
  <property fmtid="{D5CDD505-2E9C-101B-9397-08002B2CF9AE}" pid="8" name="Organisation">
    <vt:lpwstr/>
  </property>
  <property fmtid="{D5CDD505-2E9C-101B-9397-08002B2CF9AE}" pid="9" name="TaxKeyword">
    <vt:lpwstr/>
  </property>
  <property fmtid="{D5CDD505-2E9C-101B-9397-08002B2CF9AE}" pid="10" name="ActivityCategory">
    <vt:lpwstr/>
  </property>
  <property fmtid="{D5CDD505-2E9C-101B-9397-08002B2CF9AE}" pid="11" name="TaxKeywordTaxHTField">
    <vt:lpwstr/>
  </property>
</Properties>
</file>