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22136032"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ET- ------ 20190107 --- --- PROJET </w:t>
      </w:r>
    </w:p>
    <w:p w14:paraId="647DE0F0" w14:textId="77777777" w:rsidR="00EC0A5A" w:rsidRDefault="00EC0A5A" w:rsidP="00550738">
      <w:pPr>
        <w:pStyle w:val="LLMinisterionAsetus"/>
      </w:pPr>
    </w:p>
    <w:p w14:paraId="14175602" w14:textId="77777777" w:rsidR="006A1A37" w:rsidRDefault="006A1A37" w:rsidP="00550738">
      <w:pPr>
        <w:pStyle w:val="LLMinisterionAsetus"/>
      </w:pPr>
      <w:r>
        <w:t>Keskkonnaministeeriumi määrus</w:t>
      </w:r>
    </w:p>
    <w:p w14:paraId="4EBBBE25" w14:textId="243DA883" w:rsidR="00716A6B" w:rsidRPr="003E26AD" w:rsidRDefault="008D4D36" w:rsidP="00550738">
      <w:pPr>
        <w:pStyle w:val="LLNormaali"/>
        <w:jc w:val="center"/>
        <w:rPr>
          <w:b/>
        </w:rPr>
      </w:pPr>
      <w:r>
        <w:rPr>
          <w:b/>
        </w:rPr>
        <w:t>hoonetes asuva veevarustussüsteemi jaoks ette nähtud sanitaartehniliste seadmete tüübikinnituse kohta</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Teatavate ehitustoodete tüübikinnituse seaduse (954/2012) paragrahvi 6 lõike 3, paragrahvi 9 lõike 2 ja paragrahvi 10 lõike 3 alusel kehtestatakse keskkonnaministeeriumi otsusega alljärgnev.</w:t>
      </w:r>
    </w:p>
    <w:p w14:paraId="1005B5A2" w14:textId="77777777" w:rsidR="006A1A37" w:rsidRDefault="006A1A37" w:rsidP="00550738">
      <w:pPr>
        <w:pStyle w:val="LLPykala"/>
        <w:keepNext/>
        <w:keepLines/>
        <w:spacing w:before="240" w:after="240"/>
      </w:pPr>
      <w:r>
        <w:t>§ 1</w:t>
      </w:r>
    </w:p>
    <w:p w14:paraId="4615D2A1" w14:textId="77777777" w:rsidR="006A1A37" w:rsidRDefault="006A1A37" w:rsidP="00550738">
      <w:pPr>
        <w:pStyle w:val="LLPykalanOtsikko"/>
        <w:keepNext/>
        <w:keepLines/>
        <w:spacing w:after="240"/>
      </w:pPr>
      <w:r>
        <w:t>Määruse kohaldamisala</w:t>
      </w:r>
    </w:p>
    <w:p w14:paraId="206086D2" w14:textId="6F2CD699" w:rsidR="00501DF5" w:rsidRDefault="002D7E58" w:rsidP="00CC2462">
      <w:pPr>
        <w:pStyle w:val="LLJohtolauseKappaleet"/>
      </w:pPr>
      <w:r>
        <w:t>Käesolevat määrust kohaldatakse tüübikinnituse nõuetele, mis on seotud hoonetes ja ehitistes asuvate joogivee ja sooja olmevee juhtimiseks ettenähtud sanitaartehniliste seadmetega.</w:t>
      </w:r>
    </w:p>
    <w:p w14:paraId="06E4F34E" w14:textId="77777777" w:rsidR="006A1A37" w:rsidRDefault="006A1A37" w:rsidP="00550738">
      <w:pPr>
        <w:pStyle w:val="LLPykala"/>
        <w:keepNext/>
        <w:keepLines/>
        <w:spacing w:before="240" w:after="240"/>
      </w:pPr>
      <w:r>
        <w:t>§ 2</w:t>
      </w:r>
    </w:p>
    <w:p w14:paraId="1856AE09" w14:textId="77777777" w:rsidR="006A1A37" w:rsidRDefault="006A1A37" w:rsidP="00550738">
      <w:pPr>
        <w:pStyle w:val="LLPykalanOtsikko"/>
        <w:keepNext/>
        <w:keepLines/>
        <w:spacing w:after="240"/>
      </w:pPr>
      <w:r>
        <w:t>Mõisted</w:t>
      </w:r>
    </w:p>
    <w:p w14:paraId="1DF8779F" w14:textId="3B5661B8" w:rsidR="00AD3350" w:rsidRDefault="00AD3350" w:rsidP="00CC2462">
      <w:pPr>
        <w:pStyle w:val="LLJohtolauseKappaleet"/>
        <w:keepNext/>
        <w:keepLines/>
      </w:pPr>
      <w:r>
        <w:t>Käesolevas määruses kasutatakse mõisteid järgmises tähenduses:</w:t>
      </w:r>
    </w:p>
    <w:p w14:paraId="505F59AC" w14:textId="29B69DF8" w:rsidR="00A85386" w:rsidRPr="0008438B" w:rsidRDefault="00501DF5" w:rsidP="00CC2462">
      <w:pPr>
        <w:pStyle w:val="LLJohtolauseKappaleet"/>
      </w:pPr>
      <w:r>
        <w:rPr>
          <w:i/>
        </w:rPr>
        <w:t xml:space="preserve">1) sanitaartehnilise seadme reguleerklapp </w:t>
      </w:r>
      <w:r>
        <w:t>on kombinatsioon sulgemisseadmest, juhtimismehhanismist ja ajamist. Sulgemisseade võimaldab või takistab veevoolu läbi sanitaartehnilise seadme. Sulgemisseadet juhib ajam juhtimismehhanismi abil. Sulgemisseadet saab juhtida käsitsi või elektriliselt;</w:t>
      </w:r>
    </w:p>
    <w:p w14:paraId="7500037B" w14:textId="190A78B2" w:rsidR="00D72775" w:rsidRDefault="00501DF5" w:rsidP="00CC2462">
      <w:pPr>
        <w:pStyle w:val="LLJohtolauseKappaleet"/>
      </w:pPr>
      <w:r>
        <w:rPr>
          <w:i/>
        </w:rPr>
        <w:t>2) elektrooniline sanitaartehniline seade</w:t>
      </w:r>
      <w:r>
        <w:t xml:space="preserve"> on segisti, millel on elektrooniliselt reguleeritav reguleerklapp.</w:t>
      </w:r>
    </w:p>
    <w:p w14:paraId="3CD39F74" w14:textId="77777777" w:rsidR="006A1A37" w:rsidRPr="00CF6EB7" w:rsidRDefault="006A1A37" w:rsidP="00550738">
      <w:pPr>
        <w:pStyle w:val="LLPykala"/>
        <w:keepNext/>
        <w:keepLines/>
        <w:spacing w:before="240" w:after="240"/>
      </w:pPr>
      <w:r>
        <w:t>§ 3</w:t>
      </w:r>
    </w:p>
    <w:p w14:paraId="1D98F46B" w14:textId="41C504BA" w:rsidR="002D7E58" w:rsidRPr="002D7E58" w:rsidRDefault="00AD3350" w:rsidP="00550738">
      <w:pPr>
        <w:pStyle w:val="LLPykalanOtsikko"/>
        <w:keepNext/>
        <w:keepLines/>
        <w:spacing w:after="240"/>
        <w:rPr>
          <w:i w:val="0"/>
        </w:rPr>
      </w:pPr>
      <w:r>
        <w:t>Vastavuse tõendamine</w:t>
      </w:r>
    </w:p>
    <w:p w14:paraId="0FE56718" w14:textId="19BF72C6" w:rsidR="002D7E58" w:rsidRDefault="002D7E58" w:rsidP="00CC2462">
      <w:pPr>
        <w:pStyle w:val="LLJohtolauseKappaleet"/>
      </w:pPr>
      <w:r>
        <w:t>Tüübikinnitusega tõendatakse, et sanitaartehnilised seadmed vastavad maakasutus- ja ehitusseaduse (132/1999) paragrahvi 117 c kohastele kohaldatavatele olulistele tehnilistele nõuetele, mida on muudetud seadusega (958/2012), ja mis on sätestatud selle alusel.</w:t>
      </w:r>
    </w:p>
    <w:p w14:paraId="171CD7AA" w14:textId="60A2D65E" w:rsidR="006A1A37" w:rsidRDefault="006A1A37" w:rsidP="00550738">
      <w:pPr>
        <w:pStyle w:val="LLPykala"/>
        <w:keepNext/>
        <w:keepLines/>
        <w:spacing w:before="240" w:after="240"/>
      </w:pPr>
      <w:r>
        <w:t>§ 4</w:t>
      </w:r>
    </w:p>
    <w:p w14:paraId="488A5D70" w14:textId="77777777" w:rsidR="002D7E58" w:rsidRPr="002D7E58" w:rsidRDefault="002D7E58" w:rsidP="00550738">
      <w:pPr>
        <w:pStyle w:val="LLPykalanOtsikko"/>
        <w:keepNext/>
        <w:keepLines/>
        <w:spacing w:after="240"/>
        <w:rPr>
          <w:i w:val="0"/>
        </w:rPr>
      </w:pPr>
      <w:r>
        <w:t>Sobivus joogivee juhtimiseks</w:t>
      </w:r>
    </w:p>
    <w:p w14:paraId="7F2F72DE" w14:textId="1BE2D60C" w:rsidR="00A536E0" w:rsidRPr="00CC2462" w:rsidRDefault="00244ED7" w:rsidP="00CC2462">
      <w:pPr>
        <w:pStyle w:val="LLJohtolauseKappaleet"/>
      </w:pPr>
      <w:r>
        <w:t xml:space="preserve">Akrediteeritud katselabor kontrollib sanitaartehniliste seadmete materjali spetsifikatsioone. </w:t>
      </w:r>
    </w:p>
    <w:p w14:paraId="157BE83C" w14:textId="59209D09" w:rsidR="00B41701" w:rsidRPr="00CC2462" w:rsidRDefault="00B41701" w:rsidP="00CC2462">
      <w:pPr>
        <w:pStyle w:val="LLJohtolauseKappaleet"/>
      </w:pPr>
      <w:r>
        <w:t>Akrediteeritud katselabor kontrollib veevarustuse konstruktsioonimaterjalist katsevees leostunud pliisisaldust 26-nädalase leostumiskatse perioodi jooksul või plii ja kaadmiumi leostumist torustiku kinnitusvahenditest katsetatakse kümnepäevase katseperioodi jooksul 1. lisa kohaselt.</w:t>
      </w:r>
    </w:p>
    <w:p w14:paraId="23689952" w14:textId="77777777" w:rsidR="006A1A37" w:rsidRDefault="006A1A37" w:rsidP="00550738">
      <w:pPr>
        <w:pStyle w:val="LLPykala"/>
        <w:keepNext/>
        <w:keepLines/>
        <w:spacing w:before="240" w:after="240"/>
      </w:pPr>
      <w:r>
        <w:lastRenderedPageBreak/>
        <w:t>§ 5</w:t>
      </w:r>
    </w:p>
    <w:p w14:paraId="7ECEA213" w14:textId="4DC1AD9A" w:rsidR="002D7E58" w:rsidRPr="000F06E3" w:rsidRDefault="00740D24" w:rsidP="00550738">
      <w:pPr>
        <w:pStyle w:val="LLPykalanOtsikko"/>
        <w:keepNext/>
        <w:keepLines/>
        <w:spacing w:after="240"/>
        <w:rPr>
          <w:i w:val="0"/>
        </w:rPr>
      </w:pPr>
      <w:r>
        <w:t xml:space="preserve">Metallosade keemiline koostis ja korrosioonikindlus </w:t>
      </w:r>
    </w:p>
    <w:p w14:paraId="1B1D62B3" w14:textId="3F7F303B" w:rsidR="00B41701" w:rsidRDefault="00B41701" w:rsidP="00CC2462">
      <w:pPr>
        <w:pStyle w:val="LLJohtolauseKappaleet"/>
      </w:pPr>
      <w:r>
        <w:t>Akrediteeritud katselabor analüüsib sanitaartehniliste seadmete keemilist koostist. Koostis peab vastama tootja esitatud koostisele.</w:t>
      </w:r>
    </w:p>
    <w:p w14:paraId="0D6A18CF" w14:textId="01D9E64D" w:rsidR="00B41701" w:rsidRDefault="00B41701" w:rsidP="00CC2462">
      <w:pPr>
        <w:pStyle w:val="LLJohtolauseKappaleet"/>
      </w:pPr>
      <w:r>
        <w:t>Akrediteeritud katselabor mõõdab sanitaartehniliste seadmete vastupidavust tsingitustumisele, kui sanitaartehnilise seadme koosseisu tsingisisaldus on rohkem kui 15 protsenti.</w:t>
      </w:r>
    </w:p>
    <w:p w14:paraId="64904D08" w14:textId="77777777" w:rsidR="003A4E6A" w:rsidRPr="007C4179" w:rsidRDefault="00B72F51" w:rsidP="00550738">
      <w:pPr>
        <w:pStyle w:val="LLPykala"/>
        <w:keepNext/>
        <w:keepLines/>
        <w:spacing w:before="240" w:after="240"/>
      </w:pPr>
      <w:r>
        <w:t>§ 6</w:t>
      </w:r>
    </w:p>
    <w:p w14:paraId="0EE80EAA" w14:textId="77777777" w:rsidR="003A4E6A" w:rsidRPr="007E7C2D" w:rsidRDefault="00A54D43" w:rsidP="00550738">
      <w:pPr>
        <w:pStyle w:val="LLPykalanOtsikko"/>
        <w:keepNext/>
        <w:keepLines/>
        <w:spacing w:after="240"/>
        <w:rPr>
          <w:i w:val="0"/>
        </w:rPr>
      </w:pPr>
      <w:r>
        <w:t>Välispind</w:t>
      </w:r>
    </w:p>
    <w:p w14:paraId="18B0D269" w14:textId="7FCC9FC4" w:rsidR="00C15999" w:rsidRDefault="00E46BEE" w:rsidP="00CC2462">
      <w:pPr>
        <w:pStyle w:val="LLJohtolauseKappaleet"/>
      </w:pPr>
      <w:r>
        <w:t xml:space="preserve">Akrediteeritud katselabor kontrollib visuaalselt sanitaartehniliste seadmete välispinda. </w:t>
      </w:r>
    </w:p>
    <w:p w14:paraId="191BE3E5" w14:textId="1994090E" w:rsidR="009E4F60" w:rsidRDefault="009E4F60" w:rsidP="00CC2462">
      <w:pPr>
        <w:pStyle w:val="LLJohtolauseKappaleet"/>
      </w:pPr>
      <w:r>
        <w:t>Akrediteeritud katselabor kontrollib tootja poolt määratud sanitaartehnilise seadme reguleerklapi pinnatemperatuuri mõõtmistulemust.</w:t>
      </w:r>
    </w:p>
    <w:p w14:paraId="1E18D876" w14:textId="77777777" w:rsidR="00A54D43" w:rsidRPr="007C4179" w:rsidRDefault="00A54D43" w:rsidP="00550738">
      <w:pPr>
        <w:pStyle w:val="LLPykala"/>
        <w:keepNext/>
        <w:keepLines/>
        <w:spacing w:before="240" w:after="240"/>
      </w:pPr>
      <w:r>
        <w:t>§ 7</w:t>
      </w:r>
    </w:p>
    <w:p w14:paraId="3A34F58B" w14:textId="77777777" w:rsidR="00A54D43" w:rsidRPr="006E6A64" w:rsidRDefault="00A54D43" w:rsidP="00550738">
      <w:pPr>
        <w:pStyle w:val="LLPykalanOtsikko"/>
        <w:keepNext/>
        <w:keepLines/>
        <w:spacing w:after="240"/>
        <w:rPr>
          <w:i w:val="0"/>
        </w:rPr>
      </w:pPr>
      <w:r>
        <w:t>Paigaldamine ja toimimine</w:t>
      </w:r>
    </w:p>
    <w:p w14:paraId="5303EEBC" w14:textId="2B8D9374" w:rsidR="00C15999" w:rsidRDefault="003C71ED" w:rsidP="00CC2462">
      <w:pPr>
        <w:pStyle w:val="LLJohtolauseKappaleet"/>
      </w:pPr>
      <w:r>
        <w:t>Akrediteeritud katselabor kontrollib sanitaartehniliste seadmete paigaldamist ja toimimist. Sanitaartehnilised seadmed tuleb paigaldada vastavalt tootja paigaldusjuhendile. Sanitaartehnilised seadmed peavad toimima vastavalt tootja juhistele. Elektroonilise segisti toimimist kontrollitakse vähemalt kaks korda.</w:t>
      </w:r>
    </w:p>
    <w:p w14:paraId="0787F8ED" w14:textId="77777777" w:rsidR="00ED6D8C" w:rsidRPr="00C574E0" w:rsidRDefault="00ED6D8C" w:rsidP="00550738">
      <w:pPr>
        <w:pStyle w:val="LLPykala"/>
        <w:keepNext/>
        <w:keepLines/>
        <w:spacing w:before="240" w:after="240"/>
      </w:pPr>
      <w:r>
        <w:t>§ 8</w:t>
      </w:r>
    </w:p>
    <w:p w14:paraId="06655B7E" w14:textId="77777777" w:rsidR="00ED6D8C" w:rsidRPr="00C574E0" w:rsidRDefault="00ED6D8C" w:rsidP="00550738">
      <w:pPr>
        <w:pStyle w:val="LLPykalanOtsikko"/>
        <w:keepNext/>
        <w:keepLines/>
        <w:spacing w:after="240"/>
      </w:pPr>
      <w:r>
        <w:t>Elektroonilised segistid</w:t>
      </w:r>
    </w:p>
    <w:p w14:paraId="79739782" w14:textId="380F9E5A" w:rsidR="00ED6D8C" w:rsidRPr="00C15999" w:rsidRDefault="00131B1F" w:rsidP="00CC2462">
      <w:pPr>
        <w:pStyle w:val="LLJohtolauseKappaleet"/>
      </w:pPr>
      <w:r>
        <w:t xml:space="preserve">Akrediteeritud katselabor kontrollib elektroonilise segisti elektroonilisi seadmeid. Elektroonilisel segistil kontrollitakse tootja poolt määratud elektroonilise seadme kaitseklassi. </w:t>
      </w:r>
    </w:p>
    <w:p w14:paraId="628852E8" w14:textId="75A18946" w:rsidR="00CC3D71" w:rsidRPr="00CC2462" w:rsidRDefault="00ED6D8C" w:rsidP="00CC2462">
      <w:pPr>
        <w:pStyle w:val="LLJohtolauseKappaleet"/>
      </w:pPr>
      <w:r>
        <w:t>Vooluvõrku ühendatud segistit kontrollitakse, et tagada veevarustuse sulgemine elektrikatkestuse korral.</w:t>
      </w:r>
    </w:p>
    <w:p w14:paraId="22E171B7" w14:textId="29ACB360" w:rsidR="003B65C9" w:rsidRPr="00CC2462" w:rsidRDefault="00ED6D8C" w:rsidP="00CC2462">
      <w:pPr>
        <w:pStyle w:val="LLJohtolauseKappaleet"/>
      </w:pPr>
      <w:r>
        <w:t>Akutoitega segistit kontrollitakse, et tagada, et segisti jääb suletuks, kui aku pinge langeb allapoole tööpiiri. Katse tehakse aku reguleeritava väljundpingega toiteallikaga asendamise teel.</w:t>
      </w:r>
    </w:p>
    <w:p w14:paraId="307ADAA9" w14:textId="77777777" w:rsidR="006A1A37" w:rsidRDefault="00ED6D8C" w:rsidP="00550738">
      <w:pPr>
        <w:pStyle w:val="LLPykala"/>
        <w:keepNext/>
        <w:keepLines/>
        <w:spacing w:before="240" w:after="240"/>
      </w:pPr>
      <w:r>
        <w:t>§ 9</w:t>
      </w:r>
    </w:p>
    <w:p w14:paraId="742359D6" w14:textId="77777777" w:rsidR="002D7E58" w:rsidRPr="002D7E58" w:rsidRDefault="00A55B06" w:rsidP="00550738">
      <w:pPr>
        <w:pStyle w:val="LLPykalanOtsikko"/>
        <w:keepNext/>
        <w:keepLines/>
        <w:spacing w:after="240"/>
        <w:rPr>
          <w:i w:val="0"/>
        </w:rPr>
      </w:pPr>
      <w:r>
        <w:t>Mõõtmed</w:t>
      </w:r>
    </w:p>
    <w:p w14:paraId="520DBAA4" w14:textId="4D9F2959" w:rsidR="00B72F51" w:rsidRDefault="00BD2739" w:rsidP="00550738">
      <w:pPr>
        <w:pStyle w:val="LLNormaali"/>
        <w:ind w:firstLine="170"/>
        <w:jc w:val="both"/>
      </w:pPr>
      <w:r>
        <w:t xml:space="preserve">Akrediteeritud katselabor kontrollib sanitaartehniliste seadmete struktuuri ja ühenduse mõõtmeid. </w:t>
      </w:r>
    </w:p>
    <w:p w14:paraId="594A7112" w14:textId="77777777" w:rsidR="006A1A37" w:rsidRDefault="00ED6D8C" w:rsidP="00550738">
      <w:pPr>
        <w:pStyle w:val="LLPykala"/>
        <w:keepNext/>
        <w:keepLines/>
        <w:spacing w:before="240" w:after="240"/>
      </w:pPr>
      <w:r>
        <w:t>§ 10</w:t>
      </w:r>
    </w:p>
    <w:p w14:paraId="17E0A179" w14:textId="77777777" w:rsidR="002D7E58" w:rsidRPr="002D7E58" w:rsidRDefault="002D7E58" w:rsidP="00550738">
      <w:pPr>
        <w:pStyle w:val="LLPykalanOtsikko"/>
        <w:keepNext/>
        <w:keepLines/>
        <w:spacing w:after="240"/>
        <w:rPr>
          <w:i w:val="0"/>
        </w:rPr>
      </w:pPr>
      <w:r>
        <w:t>Lekkekindlus</w:t>
      </w:r>
    </w:p>
    <w:p w14:paraId="61ADC219" w14:textId="563C70EC" w:rsidR="00C15999" w:rsidRDefault="00BD2739" w:rsidP="00CC2462">
      <w:pPr>
        <w:pStyle w:val="LLJohtolauseKappaleet"/>
      </w:pPr>
      <w:r>
        <w:t>Akrediteeritud katselabor kontrollib sanitaartehniliste seadmete lekkeid. Lekkekindlust katsetatakse kasutades külma vett (25 ± 5) Celsiuse kraadides, nagu on näidatud tabelis 1. Katse ajal peavad sanitaartehnilised seadmed olema tihendatud. Diverter peab toimima vastavalt ettenähtud kasutusotstarbele ja kasutatav veetee ei tohi lekkida läbi teise voolutee. Sanitaartehnilised seadmed ei tohi olla ristvooluga.</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lastRenderedPageBreak/>
        <w:t>Tabel 1. Sanitaartehniliste seadmete lekkekindluse katsed</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375"/>
        <w:gridCol w:w="2667"/>
        <w:gridCol w:w="1171"/>
        <w:gridCol w:w="1480"/>
        <w:gridCol w:w="820"/>
        <w:gridCol w:w="823"/>
      </w:tblGrid>
      <w:tr w:rsidR="00070D75" w:rsidRPr="0065423A" w14:paraId="06B332D2" w14:textId="77777777" w:rsidTr="00550738">
        <w:trPr>
          <w:cantSplit/>
        </w:trPr>
        <w:tc>
          <w:tcPr>
            <w:tcW w:w="2547"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Katsetatav üksus</w:t>
            </w:r>
          </w:p>
        </w:tc>
        <w:tc>
          <w:tcPr>
            <w:tcW w:w="396"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Sulgemisseade</w:t>
            </w:r>
          </w:p>
        </w:tc>
        <w:tc>
          <w:tcPr>
            <w:tcW w:w="949"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Väljundava</w:t>
            </w:r>
          </w:p>
        </w:tc>
        <w:tc>
          <w:tcPr>
            <w:tcW w:w="553"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Rõhk</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baar</w:t>
            </w:r>
          </w:p>
        </w:tc>
        <w:tc>
          <w:tcPr>
            <w:tcW w:w="555"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pacing w:val="-6"/>
                <w:sz w:val="20"/>
              </w:rPr>
              <w:t>Katse aeg</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pacing w:val="-6"/>
                <w:sz w:val="20"/>
              </w:rPr>
              <w:t>s</w:t>
            </w:r>
          </w:p>
        </w:tc>
      </w:tr>
      <w:tr w:rsidR="006F107B" w:rsidRPr="0065423A" w14:paraId="6E016CDD" w14:textId="77777777" w:rsidTr="00550738">
        <w:trPr>
          <w:cantSplit/>
        </w:trPr>
        <w:tc>
          <w:tcPr>
            <w:tcW w:w="886"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Reguleerklapp ja korpus</w:t>
            </w:r>
          </w:p>
        </w:tc>
        <w:tc>
          <w:tcPr>
            <w:tcW w:w="1661"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Voolutee kuni sulgemisseadmeni</w:t>
            </w:r>
          </w:p>
        </w:tc>
        <w:tc>
          <w:tcPr>
            <w:tcW w:w="396"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Suletud</w:t>
            </w:r>
          </w:p>
        </w:tc>
        <w:tc>
          <w:tcPr>
            <w:tcW w:w="949"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Avatud</w:t>
            </w:r>
          </w:p>
        </w:tc>
        <w:tc>
          <w:tcPr>
            <w:tcW w:w="553"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 ± 0.5</w:t>
            </w:r>
          </w:p>
        </w:tc>
        <w:tc>
          <w:tcPr>
            <w:tcW w:w="555"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 ± 5</w:t>
            </w:r>
          </w:p>
        </w:tc>
      </w:tr>
      <w:tr w:rsidR="006F107B" w:rsidRPr="0065423A" w14:paraId="693E0DE8" w14:textId="77777777" w:rsidTr="00550738">
        <w:trPr>
          <w:cantSplit/>
        </w:trPr>
        <w:tc>
          <w:tcPr>
            <w:tcW w:w="886"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61"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Voolutee pärast sulgemisseadet</w:t>
            </w:r>
          </w:p>
        </w:tc>
        <w:tc>
          <w:tcPr>
            <w:tcW w:w="396"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Avatud</w:t>
            </w:r>
          </w:p>
        </w:tc>
        <w:tc>
          <w:tcPr>
            <w:tcW w:w="949"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Suletud</w:t>
            </w:r>
          </w:p>
        </w:tc>
        <w:tc>
          <w:tcPr>
            <w:tcW w:w="553"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 ± 0,2 </w:t>
            </w:r>
          </w:p>
        </w:tc>
        <w:tc>
          <w:tcPr>
            <w:tcW w:w="555"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550738">
        <w:trPr>
          <w:cantSplit/>
        </w:trPr>
        <w:tc>
          <w:tcPr>
            <w:tcW w:w="886"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61"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396"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Avatud</w:t>
            </w:r>
          </w:p>
        </w:tc>
        <w:tc>
          <w:tcPr>
            <w:tcW w:w="949"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Suletud</w:t>
            </w:r>
          </w:p>
        </w:tc>
        <w:tc>
          <w:tcPr>
            <w:tcW w:w="553"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5"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550738">
        <w:trPr>
          <w:cantSplit/>
        </w:trPr>
        <w:tc>
          <w:tcPr>
            <w:tcW w:w="886"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pacing w:val="-6"/>
                <w:sz w:val="20"/>
              </w:rPr>
              <w:t>Diverter, käsitsi lähtestamine</w:t>
            </w:r>
          </w:p>
        </w:tc>
        <w:tc>
          <w:tcPr>
            <w:tcW w:w="2057"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Sulgemisseade avatud, diverter vanni asendis</w:t>
            </w:r>
          </w:p>
        </w:tc>
        <w:tc>
          <w:tcPr>
            <w:tcW w:w="949"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suletud / S: avatud</w:t>
            </w:r>
          </w:p>
        </w:tc>
        <w:tc>
          <w:tcPr>
            <w:tcW w:w="553"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 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5"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550738">
        <w:trPr>
          <w:cantSplit/>
        </w:trPr>
        <w:tc>
          <w:tcPr>
            <w:tcW w:w="886"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Sulgemisseade avatud, diverter dušši asendis</w:t>
            </w:r>
          </w:p>
        </w:tc>
        <w:tc>
          <w:tcPr>
            <w:tcW w:w="949"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suletud / A: avatud</w:t>
            </w:r>
          </w:p>
        </w:tc>
        <w:tc>
          <w:tcPr>
            <w:tcW w:w="553"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5"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550738">
        <w:trPr>
          <w:cantSplit/>
        </w:trPr>
        <w:tc>
          <w:tcPr>
            <w:tcW w:w="886"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Diverter, automaatne lähtestamine</w:t>
            </w: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Sulgemisseade avatud, diverter vanni asendis</w:t>
            </w:r>
          </w:p>
        </w:tc>
        <w:tc>
          <w:tcPr>
            <w:tcW w:w="949"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Mõlemad avatud</w:t>
            </w:r>
          </w:p>
        </w:tc>
        <w:tc>
          <w:tcPr>
            <w:tcW w:w="553"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 ± 0,2</w:t>
            </w:r>
          </w:p>
        </w:tc>
        <w:tc>
          <w:tcPr>
            <w:tcW w:w="555"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550738">
        <w:trPr>
          <w:cantSplit/>
        </w:trPr>
        <w:tc>
          <w:tcPr>
            <w:tcW w:w="886"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Sulgemisseade avatud, diverter dušši asendis</w:t>
            </w:r>
          </w:p>
        </w:tc>
        <w:tc>
          <w:tcPr>
            <w:tcW w:w="949"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 ± 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5"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550738">
        <w:trPr>
          <w:cantSplit/>
        </w:trPr>
        <w:tc>
          <w:tcPr>
            <w:tcW w:w="886"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Sulgemisseade suletud</w:t>
            </w:r>
          </w:p>
        </w:tc>
        <w:tc>
          <w:tcPr>
            <w:tcW w:w="949"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5"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550738">
        <w:trPr>
          <w:cantSplit/>
        </w:trPr>
        <w:tc>
          <w:tcPr>
            <w:tcW w:w="886"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Sulgemisseade avatud, diverter vanni asendis</w:t>
            </w:r>
          </w:p>
        </w:tc>
        <w:tc>
          <w:tcPr>
            <w:tcW w:w="949"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5"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550738">
        <w:trPr>
          <w:cantSplit/>
        </w:trPr>
        <w:tc>
          <w:tcPr>
            <w:tcW w:w="886"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pacing w:val="-6"/>
                <w:sz w:val="20"/>
              </w:rPr>
              <w:t>Reguleerklapp</w:t>
            </w:r>
          </w:p>
        </w:tc>
        <w:tc>
          <w:tcPr>
            <w:tcW w:w="1661"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pacing w:val="-6"/>
                <w:sz w:val="20"/>
              </w:rPr>
              <w:t>Ristvool sisendühenduste vahel</w:t>
            </w:r>
          </w:p>
        </w:tc>
        <w:tc>
          <w:tcPr>
            <w:tcW w:w="396"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Suletud</w:t>
            </w:r>
          </w:p>
        </w:tc>
        <w:tc>
          <w:tcPr>
            <w:tcW w:w="949"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Avatud</w:t>
            </w:r>
          </w:p>
        </w:tc>
        <w:tc>
          <w:tcPr>
            <w:tcW w:w="553"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 ± 0,2</w:t>
            </w:r>
          </w:p>
        </w:tc>
        <w:tc>
          <w:tcPr>
            <w:tcW w:w="555"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vann, S = dušš</w:t>
      </w:r>
    </w:p>
    <w:p w14:paraId="0623CC3A" w14:textId="4FC658A7" w:rsidR="002D7E58" w:rsidRDefault="00ED6D8C" w:rsidP="00550738">
      <w:pPr>
        <w:pStyle w:val="LLPykala"/>
        <w:keepNext/>
        <w:keepLines/>
        <w:spacing w:before="240" w:after="240"/>
      </w:pPr>
      <w:r>
        <w:t>§ 11</w:t>
      </w:r>
    </w:p>
    <w:p w14:paraId="265E863E" w14:textId="77777777" w:rsidR="006D5BA9" w:rsidRPr="006D5BA9" w:rsidRDefault="006D5BA9" w:rsidP="00550738">
      <w:pPr>
        <w:pStyle w:val="LLPykalanOtsikko"/>
        <w:keepNext/>
        <w:keepLines/>
        <w:spacing w:after="240"/>
        <w:rPr>
          <w:i w:val="0"/>
        </w:rPr>
      </w:pPr>
      <w:r>
        <w:t>Survekindlus</w:t>
      </w:r>
    </w:p>
    <w:p w14:paraId="1350C2B5" w14:textId="5C61C4DD" w:rsidR="006D5BA9" w:rsidRDefault="00C62FA4" w:rsidP="00CC2462">
      <w:pPr>
        <w:pStyle w:val="LLJohtolauseKappaleet"/>
      </w:pPr>
      <w:r>
        <w:t>Akrediteeritud katselabor kontrollib sanitaartehniliste seadmete survekindlust. Rõhukatse tehakse kasutades külma vett (25 ± 5) Celsiuse kraadides, nagu on näidatud tabelis 2. Katse käigus ei teki sanitaartehnilistel seadmetel püsivaid deformatsioone ega kahjustusi.</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 2. Sanitaartehniliste seadmete rõhukatse.</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Katsetatav üksus</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Sulgemisseade</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Väljund</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Rõhk</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Katse aeg</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Voolutee kuni sulgemisseadmeni</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Suletud</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Avatud</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 ± 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 ± 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Voolutee pärast sulgemisseadet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Avatud</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Avatud</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 ± 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 ± 5</w:t>
            </w:r>
          </w:p>
        </w:tc>
      </w:tr>
    </w:tbl>
    <w:p w14:paraId="3BF35B64" w14:textId="77777777" w:rsidR="004671DD" w:rsidRDefault="00F162EC" w:rsidP="00550738">
      <w:pPr>
        <w:pStyle w:val="LLPykala"/>
        <w:keepNext/>
        <w:keepLines/>
        <w:spacing w:before="240" w:after="240"/>
      </w:pPr>
      <w:r>
        <w:t>§ 12</w:t>
      </w:r>
    </w:p>
    <w:p w14:paraId="0205EB8A" w14:textId="4421EA39" w:rsidR="004671DD" w:rsidRDefault="009A1BF1" w:rsidP="00550738">
      <w:pPr>
        <w:pStyle w:val="LLPykalanOtsikko"/>
        <w:keepNext/>
        <w:keepLines/>
        <w:spacing w:after="240"/>
        <w:rPr>
          <w:i w:val="0"/>
        </w:rPr>
      </w:pPr>
      <w:r>
        <w:t>Standardne vooluhulk</w:t>
      </w:r>
    </w:p>
    <w:p w14:paraId="7FB957B1" w14:textId="568C8F98" w:rsidR="00C15999" w:rsidRPr="00CC2462" w:rsidRDefault="00F0784A" w:rsidP="00CC2462">
      <w:pPr>
        <w:pStyle w:val="LLJohtolauseKappaleet"/>
      </w:pPr>
      <w:r>
        <w:t>Akrediteeritud katselabor kontrollib standardset vooluhulka sanitaartehnilistes seadmetes. Standardset vooluhulka kontrollitakse kasutades katseseadet (3 0/+0,2) baarise veerõhu all. Katse ajal on sanitaartehniliste seadme reguleerklapp täielikult avatud. Segisti tüüpi sanitaartehnilise seadme puhul mõõdetakse standardset vooluhulka segatud vee temperatuuridel järgmiselt: külm vesi (10–15) Celsiuse kraadi, 34 Celsiuse kraadi, 38 Celsiuse kraadi, 44 Celsiuse kraadi ja kuum vesi (60–65) Celsiuse kraadi.</w:t>
      </w:r>
    </w:p>
    <w:p w14:paraId="4E5B34B1" w14:textId="77777777" w:rsidR="00D72775" w:rsidRDefault="00F162EC" w:rsidP="00550738">
      <w:pPr>
        <w:pStyle w:val="LLPykala"/>
        <w:keepNext/>
        <w:keepLines/>
        <w:spacing w:before="240" w:after="240"/>
      </w:pPr>
      <w:r>
        <w:lastRenderedPageBreak/>
        <w:t>§ 13</w:t>
      </w:r>
    </w:p>
    <w:p w14:paraId="1C015992" w14:textId="77777777" w:rsidR="00D72775" w:rsidRDefault="00D72775" w:rsidP="00550738">
      <w:pPr>
        <w:pStyle w:val="LLPykalanOtsikko"/>
        <w:keepNext/>
        <w:keepLines/>
        <w:spacing w:after="240"/>
        <w:rPr>
          <w:i w:val="0"/>
        </w:rPr>
      </w:pPr>
      <w:r>
        <w:t>Seadistused</w:t>
      </w:r>
    </w:p>
    <w:p w14:paraId="7AD605C2" w14:textId="2DEF9D5A" w:rsidR="00800AEA" w:rsidRPr="00CC2462" w:rsidRDefault="003F3666" w:rsidP="00CC2462">
      <w:pPr>
        <w:pStyle w:val="LLJohtolauseKappaleet"/>
      </w:pPr>
      <w:r>
        <w:t>Akrediteeritud katselabor kontrollib segisti-tüüpi sanitaartehniliste seadmete seadistusi. Katse tehakse sanitaartehniliste seadmete katseseadmete abil (3 0/+0,2) baarise veerõhu all. Katse ajal tehakse tabelis 3 kirjeldatud katsed.</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 3. Sanitaartehniliste seadmete seadistuste katsetamine.</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Katse</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Nõue</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Kangsegisti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Dušisegistid, Gv</w:t>
            </w:r>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Muud segistid,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Segatud vee temperatuur T</w:t>
            </w:r>
            <w:r>
              <w:rPr>
                <w:rFonts w:ascii="Times New Roman" w:hAnsi="Times New Roman"/>
                <w:sz w:val="20"/>
                <w:vertAlign w:val="subscript"/>
              </w:rPr>
              <w:t>s</w:t>
            </w:r>
            <w:r>
              <w:rPr>
                <w:rFonts w:ascii="Times New Roman" w:hAnsi="Times New Roman"/>
                <w:sz w:val="20"/>
              </w:rPr>
              <w:t xml:space="preserve"> kontrollitundlikkus (T</w:t>
            </w:r>
            <w:r>
              <w:rPr>
                <w:rFonts w:ascii="Times New Roman" w:hAnsi="Times New Roman"/>
                <w:sz w:val="20"/>
                <w:vertAlign w:val="subscript"/>
              </w:rPr>
              <w:t>m</w:t>
            </w:r>
            <w:r>
              <w:rPr>
                <w:rFonts w:ascii="Times New Roman" w:hAnsi="Times New Roman"/>
                <w:sz w:val="20"/>
              </w:rPr>
              <w:t xml:space="preserve"> - 4) ja (T</w:t>
            </w:r>
            <w:r>
              <w:rPr>
                <w:rFonts w:ascii="Times New Roman" w:hAnsi="Times New Roman"/>
                <w:sz w:val="20"/>
                <w:vertAlign w:val="subscript"/>
              </w:rPr>
              <w:t>m</w:t>
            </w:r>
            <w:r>
              <w:rPr>
                <w:rFonts w:ascii="Times New Roman" w:hAnsi="Times New Roman"/>
                <w:sz w:val="20"/>
              </w:rPr>
              <w:t xml:space="preserve"> + 4) vahel</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või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või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Termostaatiline segisti</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Köögisegistid</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Muud segistid</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Kontrollitundlikkus 34 °C kuni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Katsete alguses 1–3, T</w:t>
            </w:r>
            <w:r>
              <w:rPr>
                <w:rFonts w:ascii="Times New Roman" w:hAnsi="Times New Roman"/>
                <w:sz w:val="20"/>
                <w:vertAlign w:val="subscript"/>
              </w:rPr>
              <w:t>s</w:t>
            </w:r>
            <w:r>
              <w:rPr>
                <w:rFonts w:ascii="Times New Roman" w:hAnsi="Times New Roman"/>
                <w:sz w:val="20"/>
              </w:rPr>
              <w:t xml:space="preserve"> = (38 ± 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Ohutus, kui külmaveevarustus on katkenud, vee kogus</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Temperatuuri stabiilsus külma vee rõhu muutumise ajal</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Rõhu muutus: 3 baari -&gt; 2 baari, 15 s -&gt; 3 baari, 60 s -&gt; 2 baari, 15 s -&gt; 3 baari,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maksimaalne kõrvalekalle 2 K 20 s ja pärast lähtestamist. Lisaks sellele, T</w:t>
            </w:r>
            <w:r>
              <w:rPr>
                <w:rFonts w:ascii="Times New Roman" w:hAnsi="Times New Roman"/>
                <w:sz w:val="20"/>
                <w:vertAlign w:val="subscript"/>
              </w:rPr>
              <w:t>s</w:t>
            </w:r>
            <w:r>
              <w:rPr>
                <w:rFonts w:ascii="Times New Roman" w:hAnsi="Times New Roman"/>
                <w:sz w:val="20"/>
              </w:rPr>
              <w:t xml:space="preserve"> maksimaalne kõrvalekalle pärast 3 K 1 s muul juhul kui vanni väljundi puhul.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Temperatuuri stabiilsus kuuma vee rõhu muutumise ajal</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Temperatuuri muutus: kuum vesi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90835FF"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on segatud vee temperatuur</w:t>
            </w:r>
          </w:p>
          <w:p w14:paraId="2B0702C0" w14:textId="56686B9A"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külma ja kuuma vee keskmine temperatuur</w:t>
            </w:r>
          </w:p>
          <w:p w14:paraId="470148BB" w14:textId="7EF4CD61" w:rsidR="009C10E4" w:rsidRPr="00CC2462" w:rsidRDefault="00872D80" w:rsidP="002148BB">
            <w:pPr>
              <w:suppressAutoHyphens/>
              <w:rPr>
                <w:rFonts w:ascii="Times New Roman" w:hAnsi="Times New Roman"/>
                <w:sz w:val="20"/>
                <w:szCs w:val="20"/>
              </w:rPr>
            </w:pPr>
            <w:r>
              <w:rPr>
                <w:rFonts w:ascii="Times New Roman" w:hAnsi="Times New Roman"/>
                <w:sz w:val="20"/>
              </w:rPr>
              <w:t xml:space="preserve">Gv  </w:t>
            </w:r>
            <w:r w:rsidR="00147332">
              <w:rPr>
                <w:rFonts w:ascii="Times New Roman" w:hAnsi="Times New Roman"/>
                <w:sz w:val="20"/>
              </w:rPr>
              <w:t xml:space="preserve"> </w:t>
            </w:r>
            <w:r>
              <w:rPr>
                <w:rFonts w:ascii="Times New Roman" w:hAnsi="Times New Roman"/>
                <w:sz w:val="20"/>
              </w:rPr>
              <w:t xml:space="preserve">  kangsegisti käepideme otsa nihutamine või pöördenurga muutmine</w:t>
            </w:r>
          </w:p>
          <w:p w14:paraId="73CE4E08" w14:textId="10780BA9"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w:t>
            </w:r>
            <w:r w:rsidR="00147332">
              <w:rPr>
                <w:rFonts w:ascii="Times New Roman" w:hAnsi="Times New Roman"/>
                <w:sz w:val="20"/>
              </w:rPr>
              <w:t xml:space="preserve"> </w:t>
            </w:r>
            <w:bookmarkStart w:id="0" w:name="_GoBack"/>
            <w:bookmarkEnd w:id="0"/>
            <w:r>
              <w:rPr>
                <w:rFonts w:ascii="Times New Roman" w:hAnsi="Times New Roman"/>
                <w:sz w:val="20"/>
              </w:rPr>
              <w:t xml:space="preserve"> kaugus käepideme otsa ja kangsegisti kesktelje vahel</w:t>
            </w:r>
          </w:p>
        </w:tc>
      </w:tr>
    </w:tbl>
    <w:p w14:paraId="1CBD340A" w14:textId="77777777" w:rsidR="002D7E58" w:rsidRDefault="002D7E58" w:rsidP="00550738">
      <w:pPr>
        <w:pStyle w:val="LLPykala"/>
        <w:keepNext/>
        <w:keepLines/>
        <w:spacing w:before="240" w:after="240"/>
      </w:pPr>
      <w:r>
        <w:t>§ 14</w:t>
      </w:r>
    </w:p>
    <w:p w14:paraId="21823708" w14:textId="77777777" w:rsidR="006D5BA9" w:rsidRPr="006D5BA9" w:rsidRDefault="00BF7638" w:rsidP="00550738">
      <w:pPr>
        <w:pStyle w:val="LLPykalanOtsikko"/>
        <w:keepNext/>
        <w:keepLines/>
        <w:spacing w:after="240"/>
        <w:rPr>
          <w:i w:val="0"/>
        </w:rPr>
      </w:pPr>
      <w:r>
        <w:t>Vastupidavus</w:t>
      </w:r>
    </w:p>
    <w:p w14:paraId="1B85E7C1" w14:textId="5582000C" w:rsidR="006D5BA9" w:rsidRPr="00CC2462" w:rsidRDefault="00F10C4F" w:rsidP="00CC2462">
      <w:pPr>
        <w:pStyle w:val="LLJohtolauseKappaleet"/>
      </w:pPr>
      <w:r>
        <w:t>Akrediteeritud katselabor kontrollib sanitaartehnilise seadme kangsegisti vastupidavust. Katse tehakse katseseadme abil, kus veevool avatakse ja suletakse korduvalt klapi abil. Käsitsi reguleeritav klapp peab olema suletud nurkkiirusel (60 ± 5) kraadi sekundis. Suletud ja avatud asendeid hoitakse (5 ± 0,5) sekundit. Töötsüklite arv ja katsetingimused vastupidavuskatse ajal on esitatud tabelis 4.</w:t>
      </w:r>
    </w:p>
    <w:p w14:paraId="4CF46FC8" w14:textId="11733792" w:rsidR="00AD41D1" w:rsidRDefault="00AD41D1" w:rsidP="00CC2462">
      <w:pPr>
        <w:pStyle w:val="LLJohtolauseKappaleet"/>
      </w:pPr>
      <w:r>
        <w:t>Pärast vastupidavuskatset peavad sanitaartehnilised seadmed olema tihendatud, kui neid katsetatakse käesoleva määruse paragrahvi 10 kohaselt.</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 4. Vastupidavuskatse ja töötsüklite arvu katsetingimused.</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Katsetatav üksus</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Vee temperatuur,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(külm/kuum)</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Rõhk ja vooluhulk</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Tsüklite arv</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Reguleerklapp, keeratav</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val="restart"/>
          </w:tcPr>
          <w:p w14:paraId="3190EA97" w14:textId="6CBDAE15" w:rsidR="00F16AAE" w:rsidRDefault="00F16AAE" w:rsidP="002148BB">
            <w:pPr>
              <w:suppressAutoHyphens/>
              <w:rPr>
                <w:rFonts w:ascii="Times New Roman" w:hAnsi="Times New Roman"/>
                <w:sz w:val="20"/>
                <w:szCs w:val="20"/>
              </w:rPr>
            </w:pPr>
            <w:r>
              <w:rPr>
                <w:rFonts w:ascii="Times New Roman" w:hAnsi="Times New Roman"/>
                <w:sz w:val="20"/>
              </w:rPr>
              <w:t>(4 ± 0,5) baari</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 ± 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Reguleerklapp, kangsegisti</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Reguleerklapp, termostaatiline segisti</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t>Diverter</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Tila, suunamuutus</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Pesumasina klapp</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lastRenderedPageBreak/>
              <w:t>Elektrooniline sanitaartehniline seade, jooksukraan</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Elektrooniline sanitaartehniline seade, segisti</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 ± 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3F07B59C"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Kangsegistid: ristkülikukujuline või kolmnurkne trajektoor, sealhulgas kolm avatud / suletud tsüklit, voolu kestus (5 ± 0,5) s</w:t>
            </w:r>
          </w:p>
        </w:tc>
      </w:tr>
    </w:tbl>
    <w:p w14:paraId="0D197F72" w14:textId="27225D5E" w:rsidR="002D7E58" w:rsidRDefault="002D7E58" w:rsidP="00550738">
      <w:pPr>
        <w:pStyle w:val="LLPykala"/>
        <w:keepNext/>
        <w:keepLines/>
        <w:spacing w:before="240" w:after="240"/>
      </w:pPr>
      <w:r>
        <w:t>§ 15</w:t>
      </w:r>
    </w:p>
    <w:p w14:paraId="263AE2D3" w14:textId="77777777" w:rsidR="006D5BA9" w:rsidRDefault="00212378" w:rsidP="00550738">
      <w:pPr>
        <w:pStyle w:val="LLPykalanOtsikko"/>
        <w:keepNext/>
        <w:keepLines/>
        <w:spacing w:after="240"/>
        <w:rPr>
          <w:i w:val="0"/>
        </w:rPr>
      </w:pPr>
      <w:r>
        <w:t xml:space="preserve">Juhtimismehhanismi väände väsimustugevus </w:t>
      </w:r>
    </w:p>
    <w:p w14:paraId="3C1C8B26" w14:textId="54909F56" w:rsidR="005D05AE" w:rsidRDefault="00EE2532" w:rsidP="00CC2462">
      <w:pPr>
        <w:pStyle w:val="LLJohtolauseKappaleet"/>
      </w:pPr>
      <w:r>
        <w:t>Akrediteeritud katselabor kontrollib sanitaartehnilise seadme juhtimismehhanismi väände väsimustugevus. Katse tehakse tabeli 5 kohaselt. Katse käigus ei teki sanitaartehnilistel seadmetel püsivaid deformatsioone ega kahjustusi. Pärast katset peavad sanitaartehnilised seadmed olema lekkekindlad. Termostaatilised segistid peavad vastama seadistuste nõuetele.</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 5. Juhtimismehhanismi väände väsimustugevus.</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Katsetatav üksus</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Pöördemoment</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Katse aeg</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Reguleerklapp: suletud/avatud suunad</w:t>
            </w:r>
          </w:p>
        </w:tc>
        <w:tc>
          <w:tcPr>
            <w:tcW w:w="1107" w:type="pct"/>
            <w:tcBorders>
              <w:top w:val="single" w:sz="6" w:space="0" w:color="auto"/>
              <w:bottom w:val="single" w:sz="6" w:space="0" w:color="auto"/>
            </w:tcBorders>
          </w:tcPr>
          <w:p w14:paraId="7CD2659B"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 ± 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pöördemoment</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Kiirendusaeg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Termostaatilise segisti temperatuuri reguleerimise käepide</w:t>
            </w:r>
          </w:p>
        </w:tc>
        <w:tc>
          <w:tcPr>
            <w:tcW w:w="1107" w:type="pct"/>
            <w:tcBorders>
              <w:top w:val="single" w:sz="6" w:space="0" w:color="auto"/>
              <w:bottom w:val="single" w:sz="6" w:space="0" w:color="auto"/>
            </w:tcBorders>
          </w:tcPr>
          <w:p w14:paraId="326A3837"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 16</w:t>
      </w:r>
    </w:p>
    <w:p w14:paraId="68FD2CFC" w14:textId="77777777" w:rsidR="006D5BA9" w:rsidRPr="006D5BA9" w:rsidRDefault="007A4CC9" w:rsidP="00550738">
      <w:pPr>
        <w:pStyle w:val="LLPykalanOtsikko"/>
        <w:keepNext/>
        <w:keepLines/>
        <w:spacing w:after="240"/>
        <w:rPr>
          <w:i w:val="0"/>
        </w:rPr>
      </w:pPr>
      <w:r>
        <w:t>Tagasivoolu ennetamine</w:t>
      </w:r>
    </w:p>
    <w:p w14:paraId="3015D8DF" w14:textId="4E6FBFC9" w:rsidR="004E5E93" w:rsidRDefault="00EE2532" w:rsidP="00CC2462">
      <w:pPr>
        <w:pStyle w:val="LLJohtolauseKappaleet"/>
      </w:pPr>
      <w:r>
        <w:t xml:space="preserve">Akrediteeritud katselabor kontrollib sanitaartehniliste seadmete tagasivoolu klappi. </w:t>
      </w:r>
    </w:p>
    <w:p w14:paraId="66EF51BC" w14:textId="77777777" w:rsidR="002D7E58" w:rsidRDefault="002D7E58" w:rsidP="00550738">
      <w:pPr>
        <w:pStyle w:val="LLPykala"/>
        <w:keepNext/>
        <w:keepLines/>
        <w:spacing w:before="240" w:after="240"/>
      </w:pPr>
      <w:r>
        <w:t>§ 17</w:t>
      </w:r>
    </w:p>
    <w:p w14:paraId="061F9874" w14:textId="3C8CCB76" w:rsidR="006D5BA9" w:rsidRPr="006D5BA9" w:rsidRDefault="006D5BA9" w:rsidP="00550738">
      <w:pPr>
        <w:pStyle w:val="LLPykalanOtsikko"/>
        <w:keepNext/>
        <w:keepLines/>
        <w:spacing w:after="240"/>
        <w:rPr>
          <w:i w:val="0"/>
        </w:rPr>
      </w:pPr>
      <w:r>
        <w:t>Müratase</w:t>
      </w:r>
    </w:p>
    <w:p w14:paraId="052856FC" w14:textId="5A913DDC" w:rsidR="002D7E58" w:rsidRPr="00CC2462" w:rsidRDefault="000752ED" w:rsidP="00CC2462">
      <w:pPr>
        <w:pStyle w:val="LLJohtolauseKappaleet"/>
      </w:pPr>
      <w:r>
        <w:t>Akrediteeritud katselabor mõõdab sanitaartehniliste seadmete mürataset. Mürataseme mõõtmiseks võib sanitaartehnilise seadme asendatava seadme asendada voolutakistusega. Vooluhulk tuleb valida nii, et see vastaks asendatud seadmele, et see vastaks vooluhulga nõudele kooskõlas sanitaartehniliste seadmete kasutusotstarbega.</w:t>
      </w:r>
    </w:p>
    <w:p w14:paraId="12705B3F" w14:textId="118714F4" w:rsidR="008D4D36" w:rsidRDefault="00021660" w:rsidP="00CC2462">
      <w:pPr>
        <w:pStyle w:val="LLJohtolauseKappaleet"/>
      </w:pPr>
      <w:r>
        <w:t>Sanitaartehniliste seadmete mürataset ja vastavat vooluhulka mõõdetakse vee rõhuga 0,1, 0,3 ja 0,5 megapaskalit. Segisti maksimaalse mürataseme leidmiseks käepidemete keeramisel kasutatakse mõõtmisel 0,3 megapaskali suurust rõhku, millega määratakse kindlaks sanitaartehnilise seadme mürataseme rühm. Mürataseme rühm määratakse kindlaks kolme proovi mõõtmiste põhjal.</w:t>
      </w:r>
    </w:p>
    <w:p w14:paraId="6A17592E" w14:textId="77777777" w:rsidR="002D7E58" w:rsidRDefault="002D7E58" w:rsidP="00550738">
      <w:pPr>
        <w:pStyle w:val="LLPykala"/>
        <w:keepNext/>
        <w:keepLines/>
        <w:spacing w:before="240" w:after="240"/>
      </w:pPr>
      <w:r>
        <w:t>§ 18</w:t>
      </w:r>
    </w:p>
    <w:p w14:paraId="1CC527A2" w14:textId="77777777" w:rsidR="006D5BA9" w:rsidRPr="006D5BA9" w:rsidRDefault="006D5BA9" w:rsidP="00550738">
      <w:pPr>
        <w:pStyle w:val="LLPykalanOtsikko"/>
        <w:keepNext/>
        <w:keepLines/>
        <w:spacing w:after="240"/>
        <w:rPr>
          <w:i w:val="0"/>
        </w:rPr>
      </w:pPr>
      <w:r>
        <w:t>Märgistus</w:t>
      </w:r>
    </w:p>
    <w:p w14:paraId="0BB2C61D" w14:textId="54E81564" w:rsidR="008D4D36" w:rsidRPr="00CC2462" w:rsidRDefault="00C90E99" w:rsidP="00CC2462">
      <w:pPr>
        <w:pStyle w:val="LLJohtolauseKappaleet"/>
      </w:pPr>
      <w:r>
        <w:t xml:space="preserve">Akrediteeritud katselabor kontrollib sanitaartehniliste seadmete märgistusi. </w:t>
      </w:r>
    </w:p>
    <w:p w14:paraId="1C0EA578" w14:textId="77777777" w:rsidR="002D7E58" w:rsidRDefault="002D7E58" w:rsidP="00550738">
      <w:pPr>
        <w:pStyle w:val="LLPykala"/>
        <w:keepNext/>
        <w:keepLines/>
        <w:spacing w:before="240" w:after="240"/>
      </w:pPr>
      <w:r>
        <w:t>§ 19</w:t>
      </w:r>
    </w:p>
    <w:p w14:paraId="78EEAA68" w14:textId="77777777" w:rsidR="006D5BA9" w:rsidRPr="006D5BA9" w:rsidRDefault="006D5BA9" w:rsidP="00550738">
      <w:pPr>
        <w:pStyle w:val="LLPykalanOtsikko"/>
        <w:keepNext/>
        <w:keepLines/>
        <w:spacing w:after="240"/>
        <w:rPr>
          <w:i w:val="0"/>
        </w:rPr>
      </w:pPr>
      <w:r>
        <w:t>Tüübikatsetus</w:t>
      </w:r>
    </w:p>
    <w:p w14:paraId="770C525C" w14:textId="7A3B5397" w:rsidR="0008438B" w:rsidRDefault="00CA2483" w:rsidP="00CC2462">
      <w:pPr>
        <w:pStyle w:val="LLJohtolauseKappaleet"/>
      </w:pPr>
      <w:r>
        <w:t>Akrediteeritud katselabor teeb sanitaartehniliste seadmete tüübikinnituseks tüübikatsetust kooskõlas tabelis 2.1 märgitud katse ulatusega.</w:t>
      </w:r>
    </w:p>
    <w:p w14:paraId="284AB8C0" w14:textId="5102BB65" w:rsidR="008D4D36" w:rsidRDefault="006D5BA9" w:rsidP="00CC2462">
      <w:pPr>
        <w:pStyle w:val="LLJohtolauseKappaleet"/>
      </w:pPr>
      <w:r>
        <w:lastRenderedPageBreak/>
        <w:t>Tüübikatsetuse jaoks esitab tootja lisaks proovidele ka toote joonised, sealhulgas osade loetelu ja tooraine spetsifikatsioonid, materjali spetsifikatsioonid ja sertifikaadid ning paigaldusjuhised.</w:t>
      </w:r>
    </w:p>
    <w:p w14:paraId="6375D8A5" w14:textId="77777777" w:rsidR="002D7E58" w:rsidRDefault="00ED6D8C" w:rsidP="00550738">
      <w:pPr>
        <w:pStyle w:val="LLPykala"/>
        <w:keepNext/>
        <w:keepLines/>
        <w:spacing w:before="240" w:after="240"/>
      </w:pPr>
      <w:r>
        <w:t>§ 20</w:t>
      </w:r>
    </w:p>
    <w:p w14:paraId="3B052F86" w14:textId="5205DB07" w:rsidR="006D5BA9" w:rsidRPr="006D5BA9" w:rsidRDefault="006D5BA9" w:rsidP="00550738">
      <w:pPr>
        <w:pStyle w:val="LLPykalanOtsikko"/>
        <w:keepNext/>
        <w:keepLines/>
        <w:spacing w:after="240"/>
        <w:rPr>
          <w:i w:val="0"/>
        </w:rPr>
      </w:pPr>
      <w:r>
        <w:t>Tüübikinnitusega seotud kvaliteedikontroll</w:t>
      </w:r>
    </w:p>
    <w:p w14:paraId="166038B4" w14:textId="2826FDFB" w:rsidR="007A2E38" w:rsidRPr="002148BB" w:rsidRDefault="00E22470" w:rsidP="00CC2462">
      <w:pPr>
        <w:pStyle w:val="LLJohtolauseKappaleet"/>
      </w:pPr>
      <w:r>
        <w:t>Kvaliteedikontrolli sertifitseerimisasutus tagab, et sanitaartehnilised seadmed vastavad tüübikinnituse nõuetele ja ka tüübikinnituse otsuses sätestatud tingimustele.</w:t>
      </w:r>
    </w:p>
    <w:p w14:paraId="4F451703" w14:textId="4F588639" w:rsidR="008D4D36" w:rsidRDefault="006D5BA9" w:rsidP="00CC2462">
      <w:pPr>
        <w:pStyle w:val="LLJohtolauseKappaleet"/>
      </w:pPr>
      <w:r>
        <w:t>Kvaliteedi sertifitseerimisasutus teeb tootmisettevõtte esmase ülevaatuse, teeb pidevat järelevalvet asutusesisese kvaliteedikontrolli üle ja katsetab juhuslikke tooteproove vähemalt kord aastas või sagedamini, kui tooted ei vasta tüübikinnituse nõuetele. Juhuslike proovide katsete ulatus on märgitud 2. lisa tabelis 2.2.</w:t>
      </w:r>
    </w:p>
    <w:p w14:paraId="1FE215D5" w14:textId="7AEA3C6E" w:rsidR="008D4D36" w:rsidRDefault="00DF3012" w:rsidP="00CC2462">
      <w:pPr>
        <w:pStyle w:val="LLJohtolauseKappaleet"/>
      </w:pPr>
      <w:r>
        <w:t>Tootja tehtav asutusesisene tootmise kvaliteedikontroll hõlmab vähemalt 3. lisa tabelis 3.1 märgitud kontrolle ja katseid.</w:t>
      </w:r>
    </w:p>
    <w:p w14:paraId="0662A94F" w14:textId="77777777" w:rsidR="006A1A37" w:rsidRDefault="00ED6D8C" w:rsidP="00550738">
      <w:pPr>
        <w:pStyle w:val="LLPykala"/>
        <w:keepNext/>
        <w:keepLines/>
        <w:spacing w:before="240" w:after="240"/>
      </w:pPr>
      <w:r>
        <w:t>§ 21</w:t>
      </w:r>
    </w:p>
    <w:p w14:paraId="1205E823" w14:textId="77777777" w:rsidR="006A1A37" w:rsidRDefault="006A1A37" w:rsidP="00550738">
      <w:pPr>
        <w:pStyle w:val="LLPykalanOtsikko"/>
        <w:keepNext/>
        <w:keepLines/>
        <w:spacing w:after="240"/>
      </w:pPr>
      <w:r>
        <w:t>Jõustumine</w:t>
      </w:r>
    </w:p>
    <w:p w14:paraId="07A72F2E" w14:textId="2621DB47" w:rsidR="005320F8" w:rsidRDefault="006A1A37" w:rsidP="00550738">
      <w:pPr>
        <w:pStyle w:val="LLKappalejako"/>
      </w:pPr>
      <w:r>
        <w:t>Käesolev määrus jõustub [kuupäev] 20XX.</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3E1C5055" w:rsidR="008D4D36" w:rsidRDefault="006A1A37" w:rsidP="00550738">
      <w:pPr>
        <w:pStyle w:val="LLPaivays"/>
      </w:pPr>
      <w:r>
        <w:t>Helsingi, [kuupäev] 20XX</w:t>
      </w:r>
    </w:p>
    <w:p w14:paraId="5088DC75" w14:textId="1930FD8A" w:rsidR="006A1A37" w:rsidRDefault="006A1A37" w:rsidP="00550738">
      <w:pPr>
        <w:pStyle w:val="LLPaivays"/>
      </w:pPr>
    </w:p>
    <w:p w14:paraId="2D7E651F" w14:textId="077B45BE" w:rsidR="006A1A37" w:rsidRDefault="00A37429" w:rsidP="002148BB">
      <w:pPr>
        <w:pStyle w:val="LLMinisterinAllekirjoitus"/>
        <w:keepNext/>
        <w:keepLines/>
      </w:pPr>
      <w:r>
        <w:t>Keskkonna-, energeetika- ja elamumajandusminister</w:t>
      </w:r>
    </w:p>
    <w:p w14:paraId="25EECFB6" w14:textId="77777777" w:rsidR="008D4D36" w:rsidRPr="008D4D36" w:rsidRDefault="008D4D36" w:rsidP="002148BB">
      <w:pPr>
        <w:pStyle w:val="LLNormaali"/>
        <w:keepNext/>
        <w:keepLines/>
      </w:pPr>
    </w:p>
    <w:p w14:paraId="54B4EBFD" w14:textId="723A6A76" w:rsidR="001E4DE2" w:rsidRDefault="008D4D36" w:rsidP="002148BB">
      <w:pPr>
        <w:pStyle w:val="LLMinisterinAllekirjoitus"/>
      </w:pPr>
      <w:r>
        <w:t>Vanemspetsialist</w:t>
      </w:r>
    </w:p>
    <w:p w14:paraId="3BCE37A8" w14:textId="046EEDAC"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noProof/>
          <w:kern w:val="28"/>
          <w:sz w:val="24"/>
        </w:rPr>
        <w:lastRenderedPageBreak/>
        <w:t>1. lisa</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Raskmetallide lahustumine – katsemeetod</w:t>
      </w:r>
    </w:p>
    <w:p w14:paraId="5652FD1E"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Katsetatakse raskmetallide (kaadmiumi ja plii) lahustumist veega kokkupuutuvate sanitaartehniliste seadmete messingist osadel. Katse tehakse kasutamata sanitaartehniliste seadmetega 10-päevase katseperioodi jooksul.</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Katselahus</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Katselahus (sünteetiline joogivesi) valmistatakse, kaaludes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ja 50 mg CaCO</w:t>
      </w:r>
      <w:r>
        <w:rPr>
          <w:rFonts w:ascii="Times New Roman" w:hAnsi="Times New Roman"/>
          <w:snapToGrid w:val="0"/>
          <w:sz w:val="20"/>
          <w:vertAlign w:val="subscript"/>
        </w:rPr>
        <w:t xml:space="preserve">3 </w:t>
      </w:r>
      <w:r>
        <w:rPr>
          <w:rFonts w:ascii="Times New Roman" w:hAnsi="Times New Roman"/>
          <w:snapToGrid w:val="0"/>
          <w:sz w:val="20"/>
        </w:rPr>
        <w:t>(kõik p.a. tase) ühe liitri destilleeritud ja/või deioniseeritud vee kohta. Lahust segatakse ja mullitatakse CO</w:t>
      </w:r>
      <w:r>
        <w:rPr>
          <w:rFonts w:ascii="Times New Roman" w:hAnsi="Times New Roman"/>
          <w:snapToGrid w:val="0"/>
          <w:sz w:val="20"/>
          <w:vertAlign w:val="subscript"/>
        </w:rPr>
        <w:t>2</w:t>
      </w:r>
      <w:r>
        <w:rPr>
          <w:rFonts w:ascii="Times New Roman" w:hAnsi="Times New Roman"/>
          <w:snapToGrid w:val="0"/>
          <w:sz w:val="20"/>
        </w:rPr>
        <w:t>-ga läbi kuni kogu CaCO</w:t>
      </w:r>
      <w:r>
        <w:rPr>
          <w:rFonts w:ascii="Times New Roman" w:hAnsi="Times New Roman"/>
          <w:snapToGrid w:val="0"/>
          <w:sz w:val="20"/>
          <w:vertAlign w:val="subscript"/>
        </w:rPr>
        <w:t>3</w:t>
      </w:r>
      <w:r>
        <w:rPr>
          <w:rFonts w:ascii="Times New Roman" w:hAnsi="Times New Roman"/>
          <w:snapToGrid w:val="0"/>
          <w:sz w:val="20"/>
        </w:rPr>
        <w:t xml:space="preserve"> on lahustunud. Seejärel lisatakse lahusele õhumullid, samal ajal lahust segades, kuni pH väärtus suureneb kuni 7,0 ± 0,1. Kuna CaCO</w:t>
      </w:r>
      <w:r>
        <w:rPr>
          <w:rFonts w:ascii="Times New Roman" w:hAnsi="Times New Roman"/>
          <w:snapToGrid w:val="0"/>
          <w:sz w:val="20"/>
          <w:vertAlign w:val="subscript"/>
        </w:rPr>
        <w:t>3</w:t>
      </w:r>
      <w:r>
        <w:rPr>
          <w:rFonts w:ascii="Times New Roman" w:hAnsi="Times New Roman"/>
          <w:snapToGrid w:val="0"/>
          <w:sz w:val="20"/>
        </w:rPr>
        <w:t xml:space="preserve"> lahustub väga aeglaselt, tuleb tagada, et CaCO</w:t>
      </w:r>
      <w:r>
        <w:rPr>
          <w:rFonts w:ascii="Times New Roman" w:hAnsi="Times New Roman"/>
          <w:snapToGrid w:val="0"/>
          <w:sz w:val="20"/>
          <w:vertAlign w:val="subscript"/>
        </w:rPr>
        <w:t>3</w:t>
      </w:r>
      <w:r>
        <w:rPr>
          <w:rFonts w:ascii="Times New Roman" w:hAnsi="Times New Roman"/>
          <w:snapToGrid w:val="0"/>
          <w:sz w:val="20"/>
        </w:rPr>
        <w:t xml:space="preserve"> on lahustunud enne õhumullide lisamist; vastasel juhul lahus ei stabiliseeru.</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Katselahust võib valmistada ka kaaludes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ja 37 mg Ca(OH)</w:t>
      </w:r>
      <w:r>
        <w:rPr>
          <w:rFonts w:ascii="Times New Roman" w:hAnsi="Times New Roman"/>
          <w:snapToGrid w:val="0"/>
          <w:sz w:val="20"/>
          <w:vertAlign w:val="subscript"/>
        </w:rPr>
        <w:t xml:space="preserve">2 </w:t>
      </w:r>
      <w:r>
        <w:rPr>
          <w:rFonts w:ascii="Times New Roman" w:hAnsi="Times New Roman"/>
          <w:snapToGrid w:val="0"/>
          <w:sz w:val="20"/>
        </w:rPr>
        <w:t>(kõik p.a. kvaliteet) ühe liitri destilleeritud ja/või deioniseeritud vee kohta. Lahust segatakse seni, kuni Ca(OH)</w:t>
      </w:r>
      <w:r>
        <w:rPr>
          <w:rFonts w:ascii="Times New Roman" w:hAnsi="Times New Roman"/>
          <w:snapToGrid w:val="0"/>
          <w:sz w:val="20"/>
          <w:vertAlign w:val="subscript"/>
        </w:rPr>
        <w:t>2</w:t>
      </w:r>
      <w:r>
        <w:rPr>
          <w:rFonts w:ascii="Times New Roman" w:hAnsi="Times New Roman"/>
          <w:snapToGrid w:val="0"/>
          <w:sz w:val="20"/>
        </w:rPr>
        <w:t xml:space="preserve"> on peaaegu lahustunud ja see on CO</w:t>
      </w:r>
      <w:r>
        <w:rPr>
          <w:rFonts w:ascii="Times New Roman" w:hAnsi="Times New Roman"/>
          <w:snapToGrid w:val="0"/>
          <w:sz w:val="20"/>
          <w:vertAlign w:val="subscript"/>
        </w:rPr>
        <w:t>2</w:t>
      </w:r>
      <w:r>
        <w:rPr>
          <w:rFonts w:ascii="Times New Roman" w:hAnsi="Times New Roman"/>
          <w:snapToGrid w:val="0"/>
          <w:sz w:val="20"/>
        </w:rPr>
        <w:t>-ga läbi mullitatud kuni pH väärtus on alla 5. Seejärel lisatakse lahusele õhumullid, samal ajal lahust segades, kuni pH väärtus suureneb kuni 7,0 ± 0,1. See valmistamismeetod muudab soolade lahustumise lihtsamaks.</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Sünteetiline joogivesi valmistatakse kas vahetult enne iga vee vahetamist või tagatakse, et lahus on selge ja selle pH on 7,0 ± 0,1 vähemalt seoses vee asendamisega 4., 8. ja 9. päeval. Veevahetuse 8. ja 9. päeval võetakse lahusest tühiproov.</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Analüüsiseadmed</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Aatomabsorptsioonspektromeeter, mis on varustatud grafiitahju või muu piisavalt tundliku arvestiga. Mõõtmise avastamispiir peab olema vähemalt 0,1 </w:t>
      </w:r>
      <w:r w:rsidR="00C25640" w:rsidRPr="00D33680">
        <w:rPr>
          <w:rFonts w:ascii="Times New Roman" w:eastAsia="Times New Roman" w:hAnsi="Times New Roman"/>
          <w:snapToGrid w:val="0"/>
          <w:sz w:val="20"/>
          <w:szCs w:val="20"/>
        </w:rPr>
        <w:sym w:font="Symbol" w:char="F06D"/>
      </w:r>
      <w:r>
        <w:rPr>
          <w:rFonts w:ascii="Times New Roman" w:hAnsi="Times New Roman"/>
          <w:snapToGrid w:val="0"/>
          <w:sz w:val="20"/>
        </w:rPr>
        <w:t xml:space="preserve">g/l plii (Pb) ja 0,02 </w:t>
      </w:r>
      <w:r w:rsidR="00C25640" w:rsidRPr="00D33680">
        <w:rPr>
          <w:rFonts w:ascii="Times New Roman" w:eastAsia="Times New Roman" w:hAnsi="Times New Roman"/>
          <w:snapToGrid w:val="0"/>
          <w:sz w:val="20"/>
          <w:szCs w:val="20"/>
        </w:rPr>
        <w:sym w:font="Symbol" w:char="F06D"/>
      </w:r>
      <w:r>
        <w:rPr>
          <w:rFonts w:ascii="Times New Roman" w:hAnsi="Times New Roman"/>
          <w:snapToGrid w:val="0"/>
          <w:sz w:val="20"/>
        </w:rPr>
        <w:t>g/l kaadmiumi kohta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Katsemeetod</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Joogiveega kokkupuutuva proovi osad puhastatakse määrdeainest puhta etanooliga. Seejärel viiakse kraanivesi läbi proovi ühe tunni jooksul sanitaartehniliste seadmete standardse vooluhulga juures.</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Proovi vooluavades kasutatakse värvitust polüetüleenist või polüetüleenkilega kaetud korke. Korgid võivad olla valmistatud teistest materjalidest, kui nad ei lahusta kaadmiumi ega pliid. Proov loputatakse koheselt sünteetilise joogiveega, täites selle pooleldi täis ja loksutades seda umbes pool minutit, seejärel valatakse vesi välja. Kohe pärast seda täidetakse proov sünteetilise joogiveega, nii et õhk ei jää sisse ja vooluavad oleksid suletud.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Sünteetiline joogivesi jääb proovi 1 päevaks, pärast mida see tühjendatakse, mõõdetakse vee maht ja proov täidetakse uuesti. Sünteetiline joogivesi asendatakse proovis pärast 1., 2., 3., 4., 7., 8. ja 9. päeva. Proovist väljavoolava vee kogust kontrollitakse, et tagada selle püsiv tase (± 10%).</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Kaadmiumi ja pliid analüüsitakse pärast 8. ja 9. päeva asendatavast veeproovist (katseperiood 9 ja 10 päeva). Mõõdetud kontsentratsioonid, millest on lahutatud vastavad kontsentratsioonid tühiproovis, esitatakse tulemustes (</w:t>
      </w:r>
      <w:r w:rsidR="006D5BA9" w:rsidRPr="006D5BA9">
        <w:rPr>
          <w:rFonts w:ascii="Times New Roman" w:eastAsia="Times New Roman" w:hAnsi="Times New Roman"/>
          <w:snapToGrid w:val="0"/>
          <w:sz w:val="20"/>
          <w:szCs w:val="20"/>
        </w:rPr>
        <w:sym w:font="Symbol" w:char="F06D"/>
      </w:r>
      <w:r>
        <w:rPr>
          <w:rFonts w:ascii="Times New Roman" w:hAnsi="Times New Roman"/>
          <w:snapToGrid w:val="0"/>
          <w:sz w:val="20"/>
        </w:rPr>
        <w:t>g/l). Lisaks tuleb esitada kaadmiumi ja plii (</w:t>
      </w:r>
      <w:r w:rsidR="006D5BA9" w:rsidRPr="006D5BA9">
        <w:rPr>
          <w:rFonts w:ascii="Times New Roman" w:eastAsia="Times New Roman" w:hAnsi="Times New Roman"/>
          <w:snapToGrid w:val="0"/>
          <w:sz w:val="20"/>
          <w:szCs w:val="20"/>
        </w:rPr>
        <w:sym w:font="Symbol" w:char="F06D"/>
      </w:r>
      <w:r>
        <w:rPr>
          <w:rFonts w:ascii="Times New Roman" w:hAnsi="Times New Roman"/>
          <w:snapToGrid w:val="0"/>
          <w:sz w:val="20"/>
        </w:rPr>
        <w:t>g) kogusisaldus, mis on arvutatud proovi kontsentratsioonidest ja vee mahust ja vee mahust liitrites.</w:t>
      </w:r>
    </w:p>
    <w:p w14:paraId="2C0A86BD" w14:textId="6DE40F23"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noProof/>
          <w:kern w:val="28"/>
          <w:sz w:val="24"/>
        </w:rPr>
        <w:lastRenderedPageBreak/>
        <w:t>2. lisa</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Sanitaartehniliste seadmete tüübikinnituskatse ja väline kvaliteedikontroll</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Default="006D5BA9"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Tabel 2.1. Sanitaartehniliste seadmete tüübikinnituskatsetes katsetatavad omadused ja katse ulatus.</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Katsetatav omadus</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Katse ulatus</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üksus/toode</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Materjalid, omadused</w:t>
            </w:r>
          </w:p>
          <w:p w14:paraId="7DE71C32" w14:textId="77777777" w:rsidR="00C13C32" w:rsidRPr="00C13C32" w:rsidRDefault="00C13C32" w:rsidP="002148BB">
            <w:pPr>
              <w:rPr>
                <w:rFonts w:ascii="Times New Roman" w:hAnsi="Times New Roman"/>
              </w:rPr>
            </w:pPr>
            <w:r>
              <w:rPr>
                <w:rFonts w:ascii="Times New Roman" w:hAnsi="Times New Roman"/>
                <w:spacing w:val="-4"/>
              </w:rPr>
              <w:t>Raskemetallide lahustamine</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spacing w:val="-4"/>
              </w:rPr>
              <w:t>üks kord / tooraine / segisti tüüp</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Mõõtmed</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Lekkekindlus</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Survekindlus</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Voolu tehnilised omadused</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Käepidemete väände väsimustugevus</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Vastupidavus kulumisele</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Akustika</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Pr="00C13C32" w:rsidRDefault="00C13C32" w:rsidP="00550738">
      <w:pPr>
        <w:rPr>
          <w:rFonts w:ascii="Times New Roman" w:hAnsi="Times New Roman"/>
          <w:i/>
        </w:rPr>
      </w:pPr>
    </w:p>
    <w:p w14:paraId="68847E25" w14:textId="7BE2B03D" w:rsidR="00C13C32" w:rsidRPr="00CC2462" w:rsidRDefault="00C13C32"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Tabel 2.2. Välised kvaliteedikontrolli katsed ja ülevaatused ning nende minimaalne ulatus sanitaartehniliste seadmete jaoks.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Katsetamine</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Katse ulatus</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Visuaalne ülevaatus</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üks kord / toode</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Lekkekindlus</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üks kord / aasta / tooteperekond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Survekindlus</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üks kord / aasta / tooteperekond</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Akustika</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üks kord / aasta</w:t>
            </w:r>
          </w:p>
        </w:tc>
      </w:tr>
    </w:tbl>
    <w:p w14:paraId="1097ED65" w14:textId="42CA2906" w:rsidR="00DF3012" w:rsidRDefault="00DF3012" w:rsidP="002148BB">
      <w:pPr>
        <w:pStyle w:val="LLNormaali"/>
        <w:pageBreakBefore/>
      </w:pPr>
      <w:r>
        <w:lastRenderedPageBreak/>
        <w:t>3. lisa</w:t>
      </w:r>
    </w:p>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Tootja asutusesisese kvaliteedikontrolli katsed</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08292C" w:rsidRDefault="00DF3012" w:rsidP="002148BB">
      <w:pPr>
        <w:pStyle w:val="LLNormaali"/>
        <w:keepNext/>
        <w:keepLines/>
        <w:rPr>
          <w:i/>
          <w:sz w:val="20"/>
          <w:szCs w:val="20"/>
        </w:rPr>
      </w:pPr>
      <w:r>
        <w:rPr>
          <w:i/>
          <w:sz w:val="20"/>
        </w:rPr>
        <w:t>Tabel 3.1. Asutusesisese kvaliteedikontrolli katsed ja ülevaatused ning sanitaartehniliste seadmete minimaalne ulatus.</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Katsetamine</w:t>
            </w:r>
          </w:p>
        </w:tc>
        <w:tc>
          <w:tcPr>
            <w:tcW w:w="2507" w:type="pct"/>
          </w:tcPr>
          <w:p w14:paraId="59D8D4A6" w14:textId="77777777" w:rsidR="00DF3012" w:rsidRPr="00DF3012" w:rsidRDefault="00DF3012" w:rsidP="002148BB">
            <w:pPr>
              <w:pStyle w:val="LLNormaali"/>
              <w:rPr>
                <w:b/>
              </w:rPr>
            </w:pPr>
            <w:r>
              <w:rPr>
                <w:b/>
              </w:rPr>
              <w:t>Katse ulatus</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Materjalide vastuvõtmise kontroll: toorained, tihendid, muud komponendid</w:t>
            </w:r>
          </w:p>
        </w:tc>
        <w:tc>
          <w:tcPr>
            <w:tcW w:w="2507" w:type="pct"/>
          </w:tcPr>
          <w:p w14:paraId="5A2A4E37" w14:textId="1D60DFB9" w:rsidR="00DF3012" w:rsidRPr="00DF3012" w:rsidRDefault="00DF3012" w:rsidP="002148BB">
            <w:pPr>
              <w:pStyle w:val="LLNormaali"/>
            </w:pPr>
            <w:r>
              <w:t>Iga kinnitatud partii registreeritakse ja kinnitatud materjali sobivust kontrollitakse</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Tootmisprotsess</w:t>
            </w:r>
          </w:p>
          <w:p w14:paraId="17BE3CFE" w14:textId="77777777" w:rsidR="00DF3012" w:rsidRPr="00DF3012" w:rsidRDefault="00DF3012" w:rsidP="002148BB">
            <w:pPr>
              <w:pStyle w:val="LLNormaali"/>
              <w:numPr>
                <w:ilvl w:val="0"/>
                <w:numId w:val="48"/>
              </w:numPr>
              <w:ind w:left="318" w:hanging="318"/>
            </w:pPr>
            <w:r>
              <w:t>Valamisprotsess</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Seadistamine</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Kroomimine</w:t>
            </w:r>
          </w:p>
          <w:p w14:paraId="114B7B6D" w14:textId="77777777" w:rsidR="00DF3012" w:rsidRPr="00DF3012" w:rsidRDefault="00DF3012" w:rsidP="002148BB">
            <w:pPr>
              <w:pStyle w:val="LLNormaali"/>
              <w:numPr>
                <w:ilvl w:val="0"/>
                <w:numId w:val="48"/>
              </w:numPr>
              <w:ind w:left="318" w:hanging="318"/>
            </w:pPr>
            <w:r>
              <w:t>Monteerimine</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Temperatuuri pidev jälgimine ja visuaalne jälgimine</w:t>
            </w:r>
          </w:p>
          <w:p w14:paraId="1BAF4DEE" w14:textId="77777777" w:rsidR="00DF3012" w:rsidRPr="00DF3012" w:rsidRDefault="00DF3012" w:rsidP="002148BB">
            <w:pPr>
              <w:pStyle w:val="LLNormaali"/>
              <w:numPr>
                <w:ilvl w:val="0"/>
                <w:numId w:val="48"/>
              </w:numPr>
              <w:ind w:left="318" w:hanging="318"/>
            </w:pPr>
            <w:r>
              <w:t>Kõige kriitilisemate mõõtmete kindlaks määramine ja mõõtmete stabiilsuse jälgimine</w:t>
            </w:r>
          </w:p>
          <w:p w14:paraId="2F4D6181" w14:textId="77777777" w:rsidR="00DF3012" w:rsidRPr="00DF3012" w:rsidRDefault="00DF3012" w:rsidP="002148BB">
            <w:pPr>
              <w:pStyle w:val="LLNormaali"/>
              <w:numPr>
                <w:ilvl w:val="0"/>
                <w:numId w:val="48"/>
              </w:numPr>
              <w:ind w:left="318" w:hanging="318"/>
            </w:pPr>
            <w:r>
              <w:t>Visuaalne ülevaatus</w:t>
            </w:r>
          </w:p>
          <w:p w14:paraId="46A254A0" w14:textId="77777777" w:rsidR="00DF3012" w:rsidRPr="00DF3012" w:rsidRDefault="00DF3012" w:rsidP="002148BB">
            <w:pPr>
              <w:pStyle w:val="LLNormaali"/>
              <w:numPr>
                <w:ilvl w:val="0"/>
                <w:numId w:val="48"/>
              </w:numPr>
              <w:ind w:left="318" w:hanging="318"/>
            </w:pPr>
            <w:r>
              <w:t>Visuaalne ülevaatus</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Funktsionaalsed omadused</w:t>
            </w:r>
          </w:p>
          <w:p w14:paraId="590977AA" w14:textId="77777777" w:rsidR="00DF3012" w:rsidRPr="00DF3012" w:rsidRDefault="00DF3012" w:rsidP="002148BB">
            <w:pPr>
              <w:pStyle w:val="LLNormaali"/>
              <w:numPr>
                <w:ilvl w:val="0"/>
                <w:numId w:val="48"/>
              </w:numPr>
              <w:ind w:left="318" w:hanging="318"/>
            </w:pPr>
            <w:r>
              <w:t>Lekkekindlus</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Kõik tooted</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Tööjuhised, protseduurid ja joonised</w:t>
            </w:r>
          </w:p>
        </w:tc>
        <w:tc>
          <w:tcPr>
            <w:tcW w:w="2507" w:type="pct"/>
          </w:tcPr>
          <w:p w14:paraId="52DFE6E5" w14:textId="750ED10D" w:rsidR="00DF3012" w:rsidRPr="00DF3012" w:rsidRDefault="00DF3012" w:rsidP="002148BB">
            <w:pPr>
              <w:pStyle w:val="LLNormaali"/>
              <w:numPr>
                <w:ilvl w:val="0"/>
                <w:numId w:val="48"/>
              </w:numPr>
              <w:ind w:left="318" w:hanging="318"/>
            </w:pPr>
            <w:r>
              <w:t>Tootmisetappide suunised dokumenteeritakse. Dokumentide muudatused registreeritakse ja dateeritakse.</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Kaebuste käsitlemine</w:t>
            </w:r>
          </w:p>
        </w:tc>
        <w:tc>
          <w:tcPr>
            <w:tcW w:w="2507" w:type="pct"/>
          </w:tcPr>
          <w:p w14:paraId="7CCCAAB8" w14:textId="28738B2F" w:rsidR="00DF3012" w:rsidRPr="00DF3012" w:rsidRDefault="00901757" w:rsidP="002148BB">
            <w:pPr>
              <w:pStyle w:val="LLNormaali"/>
              <w:numPr>
                <w:ilvl w:val="0"/>
                <w:numId w:val="48"/>
              </w:numPr>
              <w:ind w:left="318" w:hanging="318"/>
            </w:pPr>
            <w:r>
              <w:t>Kaebuste haldamiseks peab olema menetlus.</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B374" w14:textId="77777777" w:rsidR="00724E00" w:rsidRDefault="00724E00">
      <w:r>
        <w:separator/>
      </w:r>
    </w:p>
  </w:endnote>
  <w:endnote w:type="continuationSeparator" w:id="0">
    <w:p w14:paraId="2CE5C770" w14:textId="77777777" w:rsidR="00724E00" w:rsidRDefault="0072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147332">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AD5AE" w14:textId="77777777" w:rsidR="00724E00" w:rsidRDefault="00724E00">
      <w:r>
        <w:separator/>
      </w:r>
    </w:p>
  </w:footnote>
  <w:footnote w:type="continuationSeparator" w:id="0">
    <w:p w14:paraId="5AA77BB4" w14:textId="77777777" w:rsidR="00724E00" w:rsidRDefault="00724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97F" w14:textId="77777777" w:rsidR="00550738" w:rsidRPr="00550738" w:rsidRDefault="00550738" w:rsidP="00550738">
    <w:pPr>
      <w:pStyle w:val="Header"/>
      <w:jc w:val="right"/>
      <w:rPr>
        <w:rFonts w:ascii="Times New Roman" w:hAnsi="Times New Roman"/>
        <w:i/>
      </w:rPr>
    </w:pPr>
    <w:r>
      <w:rPr>
        <w:rFonts w:ascii="Times New Roman" w:hAnsi="Times New Roman"/>
        <w:i/>
      </w:rPr>
      <w:t>11. detsembri 2018. aasta eelnõu</w:t>
    </w:r>
  </w:p>
  <w:p w14:paraId="00B78494" w14:textId="77777777" w:rsidR="00550738" w:rsidRPr="00550738" w:rsidRDefault="00550738" w:rsidP="00550738">
    <w:pPr>
      <w:pStyle w:val="Header"/>
      <w:jc w:val="right"/>
      <w:rPr>
        <w:rFonts w:ascii="Times New Roman" w:hAnsi="Times New Roman"/>
        <w:i/>
      </w:rPr>
    </w:pPr>
  </w:p>
  <w:p w14:paraId="1B65C390" w14:textId="77777777" w:rsidR="00550738" w:rsidRPr="00550738" w:rsidRDefault="00550738" w:rsidP="00550738">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47332"/>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4E00"/>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et-E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t-EE"/>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t-EE"/>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DFD9E-ABC7-40A6-9863-1B9C415D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31</TotalTime>
  <Pages>9</Pages>
  <Words>2354</Words>
  <Characters>13418</Characters>
  <Application>Microsoft Office Word</Application>
  <DocSecurity>0</DocSecurity>
  <Lines>111</Lines>
  <Paragraphs>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5</cp:revision>
  <cp:lastPrinted>2015-09-29T15:18:00Z</cp:lastPrinted>
  <dcterms:created xsi:type="dcterms:W3CDTF">2018-12-20T07:41:00Z</dcterms:created>
  <dcterms:modified xsi:type="dcterms:W3CDTF">2019-01-08T09:52:00Z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