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6C" w:rsidRPr="00817DDD" w:rsidRDefault="00E0006C" w:rsidP="00E0006C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0471 F-- CS- ------ 20200729 --- --- PROJET</w:t>
      </w:r>
    </w:p>
    <w:p w:rsidR="00D90893" w:rsidRDefault="0082035F" w:rsidP="00E0006C">
      <w:pPr>
        <w:spacing w:after="0" w:line="240" w:lineRule="auto"/>
        <w:jc w:val="right"/>
      </w:pPr>
      <w:r>
        <w:rPr>
          <w:color w:val="000000"/>
          <w:sz w:val="24"/>
          <w:rFonts w:ascii="Times New Roman" w:hAnsi="Times New Roman"/>
        </w:rPr>
        <w:t xml:space="preserve">Dne XXXX 2020</w:t>
      </w:r>
    </w:p>
    <w:p w:rsidR="00D90893" w:rsidRDefault="00D90893" w:rsidP="00E0006C">
      <w:pPr>
        <w:spacing w:after="0" w:line="240" w:lineRule="auto"/>
        <w:jc w:val="center"/>
      </w:pPr>
    </w:p>
    <w:p w:rsidR="00D90893" w:rsidRDefault="00D90893" w:rsidP="00E0006C">
      <w:pPr>
        <w:spacing w:after="0" w:line="240" w:lineRule="auto"/>
        <w:jc w:val="center"/>
      </w:pPr>
    </w:p>
    <w:p w:rsidR="00D90893" w:rsidRDefault="0082035F" w:rsidP="00E0006C">
      <w:pPr>
        <w:spacing w:after="0" w:line="240" w:lineRule="auto"/>
        <w:jc w:val="center"/>
      </w:pPr>
      <w:r>
        <w:rPr>
          <w:b/>
          <w:color w:val="000000"/>
          <w:sz w:val="24"/>
          <w:rFonts w:ascii="Times New Roman" w:hAnsi="Times New Roman"/>
        </w:rPr>
        <w:t xml:space="preserve">Vyhláška ze dne XXXX týkající se kritérií, dílčích kritérií a systému známkování pro výpočet a zobrazení indexu opravitelnosti přenosných počítačů.</w:t>
      </w:r>
    </w:p>
    <w:p w:rsidR="00D90893" w:rsidRDefault="00D90893" w:rsidP="00E0006C">
      <w:pPr>
        <w:spacing w:after="0" w:line="240" w:lineRule="auto"/>
        <w:jc w:val="center"/>
      </w:pPr>
    </w:p>
    <w:p w:rsidR="00D90893" w:rsidRDefault="0082035F" w:rsidP="00E0006C">
      <w:pPr>
        <w:spacing w:after="0" w:line="240" w:lineRule="auto"/>
        <w:jc w:val="center"/>
      </w:pPr>
      <w:r>
        <w:rPr>
          <w:color w:val="000000"/>
          <w:sz w:val="24"/>
          <w:rFonts w:ascii="Times New Roman" w:hAnsi="Times New Roman"/>
        </w:rPr>
        <w:t xml:space="preserve">NOR: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XXXXX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Ministryně pro ekologický přechod a ministr hospodářství a financí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s ohledem na nařízení Komise (EU) č. 617/2013 ze dne 26. června 2013, kterým se provádí směrnice Evropského parlamentu a Rady 2009/125/ES, pokud jde o požadavky na ekologické navrhování přenosných počítačů a informačních serverů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S ohledem na zákon o životním prostředí, zejména jeho článek L541-9-2;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S ohledem na nařízení XXX ze dne XXXX o způsobech uplatňování indexu opravitelnosti pro elektrické a elektronické výrobky, jeho kritériích a způsobu výpočtu;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Pr="00700C01" w:rsidRDefault="0082035F" w:rsidP="00E0006C">
      <w:pPr>
        <w:keepNext/>
        <w:keepLines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Článek 1</w:t>
      </w:r>
    </w:p>
    <w:p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:rsidR="00D90893" w:rsidRDefault="0082035F" w:rsidP="00E0006C">
      <w:pPr>
        <w:autoSpaceDE w:val="0"/>
        <w:spacing w:after="0" w:line="240" w:lineRule="auto"/>
        <w:jc w:val="both"/>
      </w:pPr>
      <w:r>
        <w:rPr>
          <w:color w:val="000000"/>
          <w:sz w:val="24"/>
          <w:rFonts w:ascii="Times New Roman" w:hAnsi="Times New Roman"/>
        </w:rPr>
        <w:t xml:space="preserve">Tato vyhláška se vztahuje na počítače spadající do oblasti působnosti výše uvedeného nařízení ze dne 26. června 2013 a přenosné počítače.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:rsidR="00D90893" w:rsidRDefault="00D90893" w:rsidP="00E0006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82035F" w:rsidP="00E0006C">
      <w:pPr>
        <w:keepNext/>
        <w:keepLines/>
        <w:spacing w:after="0" w:line="240" w:lineRule="auto"/>
      </w:pPr>
      <w:r>
        <w:rPr>
          <w:b/>
          <w:color w:val="000000"/>
          <w:sz w:val="24"/>
          <w:rFonts w:ascii="Times New Roman" w:hAnsi="Times New Roman"/>
        </w:rPr>
        <w:t xml:space="preserve">Článek 2</w:t>
      </w:r>
    </w:p>
    <w:p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:rsidR="00D90893" w:rsidRDefault="0082035F" w:rsidP="00E0006C">
      <w:pPr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Kritéria, dílčí kritéria a systém známkování platný pro výrobky definované v článku 1 pro výpočet indexu opravitelnosti jsou uvedeny níže:</w:t>
      </w:r>
    </w:p>
    <w:p w:rsidR="009810E0" w:rsidRDefault="009810E0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2E5B" w:rsidRDefault="00BF2E5B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9810E0" w:rsidRDefault="0082035F" w:rsidP="00E0006C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KRITÉRIUM Č. 1 – DOKUMENTACE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Informace týkající se délky bezplatného poskytování technické dokumentace a doporučení pro použití a údržbu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55"/>
        <w:gridCol w:w="571"/>
        <w:gridCol w:w="574"/>
        <w:gridCol w:w="572"/>
        <w:gridCol w:w="574"/>
        <w:gridCol w:w="572"/>
        <w:gridCol w:w="574"/>
        <w:gridCol w:w="574"/>
        <w:gridCol w:w="584"/>
        <w:gridCol w:w="570"/>
        <w:gridCol w:w="570"/>
        <w:gridCol w:w="570"/>
        <w:gridCol w:w="566"/>
      </w:tblGrid>
      <w:tr w:rsidR="00D90893" w:rsidRPr="00AB37FA" w:rsidTr="00C37518"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D90893" w:rsidRPr="00AB37FA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</w:tr>
      <w:tr w:rsidR="00C37518" w:rsidRPr="00AB37FA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C37518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</w:tr>
      <w:tr w:rsidR="00D90893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dokumentace</w:t>
            </w: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Jednoznačná identifikace výrobku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Schéma demontáže nebo výkres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Schémata zapojení a připojení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Schémata elektronických desek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Seznam nezbytného vybavení pro opravu a test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Technický návod k použití související s opravou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Chybové a diagnostické kódy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Informace o součástkách a diagnostice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Softwarové pokyny (včetně restartování)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Přístup k hlášeným vadám uloženým v zařízení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Technické brožury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Zvláštní režim pro vlastní opravu (doporučené činnosti, bezpečnostní pokyny, pokyny pro opravu, případné dopady na záruku)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Informace o přístupu k profesionálním opravářům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Odhalování poruch a požadované činnosti (přístup pro veřejnost)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Doporučení pro použití a údržbu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</w:tbl>
    <w:p w:rsidR="00D90893" w:rsidRDefault="0082035F" w:rsidP="00E0006C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259.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bodů/259) × 10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2 – DEMONTOVATELNOST A PŘÍSTUP, NÁŘADÍ A SPOJE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2.1.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Snadnost demontáže součástek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2"/>
        <w:gridCol w:w="1249"/>
        <w:gridCol w:w="1249"/>
        <w:gridCol w:w="1249"/>
        <w:gridCol w:w="1247"/>
      </w:tblGrid>
      <w:tr w:rsidR="00D90893" w:rsidRPr="00AB37FA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kroků pro samostatný přístup k součástce</w:t>
            </w:r>
          </w:p>
        </w:tc>
      </w:tr>
      <w:tr w:rsidR="00D90893" w:rsidRPr="00AB37FA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 (1) nebo 11 nebo více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 až 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až 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6</w:t>
            </w:r>
          </w:p>
        </w:tc>
      </w:tr>
      <w:tr w:rsidR="00D90893" w:rsidRPr="00AB37FA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Součástka velkokapacitní paměti (HDD – SSD)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Zobrazovací zařízení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Baterie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Napájecí konektory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Nabíječka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ND/NA = nedemontovatelné nebo samostatně nepřístupné</w:t>
      </w:r>
    </w:p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15.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bodů/15)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2.2.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Nářadí nezbytné pro demontáž součástek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06"/>
        <w:gridCol w:w="1729"/>
        <w:gridCol w:w="1729"/>
        <w:gridCol w:w="1729"/>
        <w:gridCol w:w="1733"/>
      </w:tblGrid>
      <w:tr w:rsidR="00D90893" w:rsidRPr="00AB37FA" w:rsidTr="00E0006C"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nářadí</w:t>
            </w:r>
          </w:p>
        </w:tc>
      </w:tr>
      <w:tr w:rsidR="00D90893" w:rsidRPr="00AB37FA" w:rsidTr="00C37518"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Vlastní nářadí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Zvláštní nářadí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Bez nářadí, běžné nářadí (2)</w:t>
            </w:r>
          </w:p>
        </w:tc>
      </w:tr>
      <w:tr w:rsidR="00D90893" w:rsidRPr="00AB37FA" w:rsidTr="00E0006C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</w:t>
            </w: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 (3)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Součástka velkokapacitní paměti (HDD – SDD)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Zobrazovací zařízení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Baterie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Napájecí konektory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Nabíječka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nebo nářadí dodané s náhradním dílem</w:t>
      </w:r>
    </w:p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použijte nejpříznivější známku, pokud je zařazeno více nářadí</w:t>
      </w:r>
    </w:p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20.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bodů/20) × 10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2.3.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Parametry spojů (pro montáž součástek ze seznamů 1 a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3"/>
        <w:gridCol w:w="1663"/>
        <w:gridCol w:w="1665"/>
        <w:gridCol w:w="1665"/>
      </w:tblGrid>
      <w:tr w:rsidR="00D90893" w:rsidRPr="00AB37FA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upnutí</w:t>
            </w:r>
          </w:p>
        </w:tc>
      </w:tr>
      <w:tr w:rsidR="00D90893" w:rsidRPr="00AB37FA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Nelze demontovat, nelze používat opakovaně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Lze demontovat, nelze používat opakovaně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Lze demontovat a používat opakovaně (4)</w:t>
            </w:r>
          </w:p>
        </w:tc>
      </w:tr>
      <w:tr w:rsidR="00D90893" w:rsidRPr="00AB37FA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1 nebo ze seznamu 2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 (5)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Základní deska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Paměť RAM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Ventilátory, chladiče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Klávesnice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Porty, konektory (6)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Součástka velkokapacitní paměti (HDD – SDD)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Zobrazovací zařízení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Baterie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Napájecí konektory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Nabíječka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nebo spojovací prvky dodané s náhradním dílem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použijte nejpříznivější známku, pokud je zařazeno více spojovacích prvků</w:t>
      </w:r>
    </w:p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pro připojení externích zařízení (USB, HDMI, VGA)</w:t>
      </w:r>
    </w:p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20.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bodů/20) × 10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3 – DOSTUPNOST NÁHRADNÍCH DÍLŮ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Závazek výrobce ohledně doby dostupnosti součástek ze seznamu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6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90893" w:rsidRPr="00AB37FA" w:rsidTr="00C37518">
        <w:tc>
          <w:tcPr>
            <w:tcW w:w="8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D90893" w:rsidRPr="00AB37FA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</w:tr>
      <w:tr w:rsidR="00C37518" w:rsidRPr="00AB37FA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</w:tr>
      <w:tr w:rsidR="00D90893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Součástka velkokapacitní paměti (HDD – SDD)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Zobrazovací zařízení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Baterie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Napájecí konektory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Nabíječka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</w:tbl>
    <w:p w:rsidR="00E0006C" w:rsidRDefault="0082035F" w:rsidP="00E0006C">
      <w:pPr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rFonts w:ascii="Times New Roman" w:hAnsi="Times New Roman"/>
        </w:rPr>
        <w:t xml:space="preserve">Maximální počet bodů je 140.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bodů/140) × 10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Závazek výrobce ohledně doby dostupnosti součástek ze seznamu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4"/>
      </w:tblGrid>
      <w:tr w:rsidR="00D90893" w:rsidRPr="00AB37FA" w:rsidTr="00C37518"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D90893" w:rsidRPr="00AB37FA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Dostupnost v letech</w:t>
            </w:r>
          </w:p>
        </w:tc>
      </w:tr>
      <w:tr w:rsidR="00C37518" w:rsidRPr="00AB37FA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 až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 nebo více</w:t>
            </w:r>
          </w:p>
        </w:tc>
      </w:tr>
      <w:tr w:rsidR="00D90893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Základní deska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Paměť RAM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Ventilátory, chladiče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Klávesnice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Porty, konektory (1)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</w:t>
            </w:r>
          </w:p>
        </w:tc>
      </w:tr>
    </w:tbl>
    <w:p w:rsidR="00D90893" w:rsidRPr="00BB4C57" w:rsidRDefault="0082035F" w:rsidP="00C37518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pro připojení externích zařízení (USB, HDMI, VGA)</w:t>
      </w:r>
    </w:p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140.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bodů/140) × 10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Dodací lhůta součástek ze seznamu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AB37FA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D90893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</w:tr>
      <w:tr w:rsidR="00E0006C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</w:tr>
      <w:tr w:rsidR="00D90893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2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Součástka velkokapacitní paměti (HDD – SDD)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Zobrazovací zařízení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Baterie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Napájecí konektory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Nabíječka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pracovní dny od data objednání</w:t>
      </w:r>
    </w:p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60.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bodů/60)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3.4.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Dodací lhůta součástek ze seznamu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AB37FA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Výrobce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Distributoři náhradních dílů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D90893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Dodání v dnech (1)</w:t>
            </w:r>
          </w:p>
        </w:tc>
      </w:tr>
      <w:tr w:rsidR="00E0006C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11 a více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 až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až 5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 až 3</w:t>
            </w:r>
          </w:p>
        </w:tc>
      </w:tr>
      <w:tr w:rsidR="00D90893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Součástky ze seznamu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Základní deska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Paměť RAM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Ventilátory, chladiče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Klávesnice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Porty, konektory (2)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pracovní dny od data objednání</w:t>
      </w:r>
    </w:p>
    <w:p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rFonts w:ascii="Times New Roman" w:hAnsi="Times New Roman"/>
        </w:rPr>
        <w:t xml:space="preserve">pro připojení externích zařízení (USB, HDMI, VGA)</w:t>
      </w:r>
    </w:p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60.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bodů/60)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4 – CENA NÁHRADNÍCH DÍLŮ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Poměr ceny součástek ze seznamu 2 a ceny nového zařízení</w:t>
      </w:r>
    </w:p>
    <w:p w:rsidR="00D90893" w:rsidRDefault="0082035F" w:rsidP="00E0006C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Na základě poměru uvedeného ve vyhlášce ze dne XXXX týkající se způsobů zobrazení, štítkování a obecných parametrů pro výpočet indexu opravitelnosti je počet bodů získaných za toto kritérium stanoven následujícím způsobem:</w:t>
      </w:r>
    </w:p>
    <w:p w:rsidR="00E0006C" w:rsidRDefault="0082035F" w:rsidP="00E0006C">
      <w:pPr>
        <w:suppressAutoHyphens w:val="0"/>
        <w:contextualSpacing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pokud je výsledný poměr vyšší než 0,3, počet bodů je 0;</w:t>
      </w:r>
    </w:p>
    <w:p w:rsidR="00E0006C" w:rsidRDefault="0082035F" w:rsidP="00E0006C">
      <w:pPr>
        <w:suppressAutoHyphens w:val="0"/>
        <w:contextualSpacing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pokud je výsledný poměr nižší než 0,1, počet bodů je 100;</w:t>
      </w:r>
    </w:p>
    <w:p w:rsidR="00D90893" w:rsidRDefault="0082035F" w:rsidP="00E0006C">
      <w:pPr>
        <w:suppressAutoHyphens w:val="0"/>
        <w:contextualSpacing/>
      </w:pPr>
      <w:r>
        <w:rPr>
          <w:color w:val="000000"/>
          <w:rFonts w:ascii="Times New Roman" w:hAnsi="Times New Roman"/>
        </w:rPr>
        <w:t xml:space="preserve">– pokud je výsledný poměr v rozpětí 0,1 až 0,3, počet bodů se stanoví podle následující tabulky: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7"/>
        <w:gridCol w:w="408"/>
        <w:gridCol w:w="448"/>
        <w:gridCol w:w="448"/>
        <w:gridCol w:w="448"/>
        <w:gridCol w:w="446"/>
        <w:gridCol w:w="446"/>
        <w:gridCol w:w="445"/>
        <w:gridCol w:w="445"/>
        <w:gridCol w:w="445"/>
        <w:gridCol w:w="445"/>
        <w:gridCol w:w="35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352"/>
      </w:tblGrid>
      <w:tr w:rsidR="00D90893" w:rsidTr="00E37485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Poměr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0,3</w:t>
            </w:r>
          </w:p>
        </w:tc>
      </w:tr>
      <w:tr w:rsidR="00D90893" w:rsidTr="00E37485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Body</w:t>
            </w:r>
            <w:r>
              <w:rPr>
                <w:color w:val="000000"/>
                <w:sz w:val="18"/>
                <w:rFonts w:ascii="Liberation Serif" w:hAnsi="Liberation Serif"/>
              </w:rPr>
              <w:t xml:space="preserve"> </w:t>
            </w: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95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90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rFonts w:ascii="Liberation Serif" w:hAnsi="Liberation Serif"/>
              </w:rPr>
              <w:t xml:space="preserve">0</w:t>
            </w:r>
          </w:p>
        </w:tc>
      </w:tr>
    </w:tbl>
    <w:p w:rsidR="00D90893" w:rsidRDefault="00D90893" w:rsidP="00E0006C">
      <w:pPr>
        <w:jc w:val="both"/>
      </w:pPr>
    </w:p>
    <w:p w:rsidR="00D90893" w:rsidRDefault="0082035F" w:rsidP="007F62FD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Pravidlo zaokrouhlování je:</w:t>
      </w:r>
      <w:r>
        <w:rPr>
          <w:color w:val="000000"/>
          <w:rFonts w:ascii="Times New Roman" w:hAnsi="Times New Roman"/>
        </w:rPr>
        <w:t xml:space="preserve"> </w:t>
      </w:r>
    </w:p>
    <w:p w:rsidR="00E0006C" w:rsidRDefault="0082035F" w:rsidP="00E0006C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Pokud je číslice na místě třetího desetinného čísla nižší než 5, hodnota druhého desetinného čísla se zaokrouhlí dolů.</w:t>
      </w:r>
    </w:p>
    <w:p w:rsidR="00D90893" w:rsidRDefault="0082035F" w:rsidP="00E0006C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Pokud je číslice na místě třetího desetinného čísla vyšší než nebo rovna 5, hodnota druhého desetinného čísla se zaokrouhlí nahoru.</w:t>
      </w:r>
    </w:p>
    <w:p w:rsidR="00D90893" w:rsidRDefault="0082035F" w:rsidP="00C37518">
      <w:pPr>
        <w:jc w:val="both"/>
      </w:pPr>
      <w:r>
        <w:rPr>
          <w:color w:val="000000"/>
          <w:sz w:val="21"/>
          <w:rFonts w:ascii="Times New Roman" w:hAnsi="Times New Roman"/>
        </w:rPr>
        <w:t xml:space="preserve">Maximální počet bodů je 100.</w:t>
      </w:r>
      <w:r>
        <w:rPr>
          <w:color w:val="000000"/>
          <w:sz w:val="21"/>
          <w:rFonts w:ascii="Times New Roman" w:hAnsi="Times New Roman"/>
        </w:rPr>
        <w:t xml:space="preserve"> </w:t>
      </w:r>
      <w:r>
        <w:rPr>
          <w:color w:val="000000"/>
          <w:sz w:val="21"/>
          <w:rFonts w:ascii="Times New Roman" w:hAnsi="Times New Roman"/>
        </w:rPr>
        <w:t xml:space="preserve">Známka pro toto dílčí kritérium = (získaný počet bodů/100) × 10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KRITÉRIUM Č. 5 – ZVLÁŠTNÍ KRITÉRIUM</w:t>
      </w:r>
      <w:r>
        <w:rPr>
          <w:color w:val="00000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U výrobků, na něž se vztahuje tato vyhláška, jsou koeficienty dílčích kritérií kritéria 5 definovány takto: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9"/>
        <w:gridCol w:w="3731"/>
        <w:gridCol w:w="1099"/>
        <w:gridCol w:w="1045"/>
        <w:gridCol w:w="1198"/>
        <w:gridCol w:w="1224"/>
      </w:tblGrid>
      <w:tr w:rsidR="00D90893" w:rsidRPr="00AB37FA" w:rsidTr="00C37518"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Kritérium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Dílčí kritérium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Známka za dílčí kritérium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Koeficient dílčího kritéria</w:t>
            </w:r>
          </w:p>
        </w:tc>
        <w:tc>
          <w:tcPr>
            <w:tcW w:w="6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Známka za kritérium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Koeficient kritéria</w:t>
            </w:r>
          </w:p>
        </w:tc>
      </w:tr>
      <w:tr w:rsidR="00D90893" w:rsidRPr="00AB37FA" w:rsidTr="00C37518">
        <w:tc>
          <w:tcPr>
            <w:tcW w:w="7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5.</w:t>
            </w: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Zvláštní kritérium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5.1. Informace o druhu aktualizací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61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629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  <w:tr w:rsidR="00D90893" w:rsidRPr="00AB37FA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5.2. Bezplatná asistence na dálku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90893" w:rsidRPr="00AB37FA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Možnost restartu softwaru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0006C" w:rsidRDefault="00E0006C" w:rsidP="00E0006C">
      <w:pPr>
        <w:rPr>
          <w:rFonts w:ascii="Times New Roman" w:hAnsi="Times New Roman" w:cs="Times New Roman"/>
          <w:color w:val="000000"/>
        </w:rPr>
      </w:pP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Informace o druhu aktualizací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22"/>
        <w:gridCol w:w="2502"/>
        <w:gridCol w:w="2502"/>
      </w:tblGrid>
      <w:tr w:rsidR="00D90893" w:rsidRPr="00C37518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D90893" w:rsidRPr="00C37518" w:rsidTr="00E0006C">
        <w:tc>
          <w:tcPr>
            <w:tcW w:w="2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Informace o různých druzích aktualizací: opravy (chyby nebo bezpečnostní poruchy), vývoj nebo smíšený druh (1)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Stav</w:t>
            </w:r>
          </w:p>
        </w:tc>
      </w:tr>
      <w:tr w:rsidR="00D90893" w:rsidRPr="00C37518" w:rsidTr="00C37518">
        <w:tc>
          <w:tcPr>
            <w:tcW w:w="2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Absence informací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Přítomnost informací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D90893" w:rsidRPr="00C37518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D90893" w:rsidRPr="00C37518" w:rsidTr="00C37518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Informace doplňující aktualizaci musí být: buď „opravná aktualizace“, nebo „vývojová aktualizace“, nebo „smíšená aktualizace“.</w:t>
      </w:r>
    </w:p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1.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bodů/1)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Bezplatná asistence na dálku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98"/>
        <w:gridCol w:w="1405"/>
        <w:gridCol w:w="1394"/>
        <w:gridCol w:w="1407"/>
        <w:gridCol w:w="1408"/>
        <w:gridCol w:w="1406"/>
        <w:gridCol w:w="1408"/>
      </w:tblGrid>
      <w:tr w:rsidR="00D90893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Opraváři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2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C37518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Druh asistence na dálku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Žádná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Aktuální informace na stránce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Žádná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Informace na dálku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Pomoc pro diagnostiku na dálku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Pomoc pro opravy na dálku</w:t>
            </w:r>
          </w:p>
        </w:tc>
      </w:tr>
      <w:tr w:rsidR="00C37518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</w:tbl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5.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bodů/5)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Dílčí kritérium 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Možnost restartu softwaru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37"/>
        <w:gridCol w:w="1547"/>
        <w:gridCol w:w="1546"/>
        <w:gridCol w:w="1546"/>
        <w:gridCol w:w="1550"/>
      </w:tblGrid>
      <w:tr w:rsidR="00D90893" w:rsidRPr="00AB37FA" w:rsidTr="00E0006C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Sloupec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Spotřebitelé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Možnost restartu softwaru bez poplatku a bez omezení přístupu k těmto službám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Žádná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 pomoci interního modulu v zařízení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 pomoci disku CD-ROM nebo jiného média pro restart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 pomoci vzdáleného serveru</w:t>
            </w:r>
          </w:p>
        </w:tc>
      </w:tr>
      <w:tr w:rsidR="00D90893" w:rsidRPr="00AB37FA" w:rsidTr="00E0006C">
        <w:tc>
          <w:tcPr>
            <w:tcW w:w="18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Počet bodů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Restartování softwarů včetně operačního systému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Restartování mikro-softwarů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</w:t>
            </w:r>
          </w:p>
        </w:tc>
      </w:tr>
    </w:tbl>
    <w:p w:rsidR="00D90893" w:rsidRDefault="0082035F" w:rsidP="00C37518">
      <w:pPr>
        <w:jc w:val="both"/>
      </w:pPr>
      <w:r>
        <w:rPr>
          <w:color w:val="000000"/>
          <w:sz w:val="20"/>
          <w:rFonts w:ascii="Times New Roman" w:hAnsi="Times New Roman"/>
        </w:rPr>
        <w:t xml:space="preserve">Maximální počet bodů je 8.</w:t>
      </w:r>
      <w:r>
        <w:rPr>
          <w:color w:val="000000"/>
          <w:sz w:val="20"/>
          <w:rFonts w:ascii="Times New Roman" w:hAnsi="Times New Roman"/>
        </w:rPr>
        <w:t xml:space="preserve"> </w:t>
      </w:r>
      <w:r>
        <w:rPr>
          <w:color w:val="000000"/>
          <w:sz w:val="20"/>
          <w:rFonts w:ascii="Times New Roman" w:hAnsi="Times New Roman"/>
        </w:rPr>
        <w:t xml:space="preserve">Známka pro toto dílčí kritérium = (získaný počet bodů/8) × 10</w:t>
      </w:r>
      <w:r>
        <w:rPr>
          <w:color w:val="000000"/>
          <w:sz w:val="20"/>
          <w:rFonts w:ascii="Times New Roman" w:hAnsi="Times New Roman"/>
        </w:rPr>
        <w:t xml:space="preserve"> </w:t>
      </w: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Za ministra pro ekologický přechod a na základě pověření:</w:t>
      </w:r>
    </w:p>
    <w:p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Generální komisař pro udržitelný rozvoj,</w:t>
      </w:r>
    </w:p>
    <w:p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0006C">
      <w:pPr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T. Lesueur</w:t>
      </w: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Za ministra hospodářství a financí a na základě pověření:</w:t>
      </w:r>
    </w:p>
    <w:p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Generální ředitelka pro hospodářskou soutěž, spotřebu a stíhání podvodů</w:t>
      </w:r>
    </w:p>
    <w:p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0006C">
      <w:pPr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V. Beaumeunierová</w:t>
      </w:r>
    </w:p>
    <w:sectPr w:rsidR="00D90893" w:rsidRPr="00E0006C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9A" w:rsidRDefault="009E109A">
      <w:pPr>
        <w:spacing w:after="0" w:line="240" w:lineRule="auto"/>
      </w:pPr>
      <w:r>
        <w:separator/>
      </w:r>
    </w:p>
  </w:endnote>
  <w:endnote w:type="continuationSeparator" w:id="0">
    <w:p w:rsidR="009E109A" w:rsidRDefault="009E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9A" w:rsidRDefault="009E109A">
      <w:pPr>
        <w:spacing w:after="0" w:line="240" w:lineRule="auto"/>
      </w:pPr>
      <w:r>
        <w:separator/>
      </w:r>
    </w:p>
  </w:footnote>
  <w:footnote w:type="continuationSeparator" w:id="0">
    <w:p w:rsidR="009E109A" w:rsidRDefault="009E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35F"/>
    <w:rsid w:val="001D38D0"/>
    <w:rsid w:val="001D6A94"/>
    <w:rsid w:val="003253B8"/>
    <w:rsid w:val="006A7C43"/>
    <w:rsid w:val="00700C01"/>
    <w:rsid w:val="007C2698"/>
    <w:rsid w:val="007F62FD"/>
    <w:rsid w:val="0082035F"/>
    <w:rsid w:val="00870E36"/>
    <w:rsid w:val="009810E0"/>
    <w:rsid w:val="009E109A"/>
    <w:rsid w:val="00A07015"/>
    <w:rsid w:val="00AB37FA"/>
    <w:rsid w:val="00B91CA8"/>
    <w:rsid w:val="00BB4C57"/>
    <w:rsid w:val="00BF2E5B"/>
    <w:rsid w:val="00C37518"/>
    <w:rsid w:val="00D340B6"/>
    <w:rsid w:val="00D90893"/>
    <w:rsid w:val="00DE4F30"/>
    <w:rsid w:val="00E0006C"/>
    <w:rsid w:val="00E37485"/>
    <w:rsid w:val="00ED736E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E0C2B30-3856-4733-A6AF-5E0BE81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val="cs-CZ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val="cs-CZ" w:eastAsia="zh-C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val="cs-CZ" w:bidi="ar-SA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cs-CZ" w:eastAsia="zh-CN" w:bidi="ar-SA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subject> </dc:subject>
  <dc:creator>Ke, Tingting</dc:creator>
  <cp:keywords/>
  <cp:lastModifiedBy>Ke, Tingting</cp:lastModifiedBy>
  <cp:revision>3</cp:revision>
  <cp:lastPrinted>1899-12-31T16:00:00Z</cp:lastPrinted>
  <dcterms:created xsi:type="dcterms:W3CDTF">2020-07-22T01:03:00Z</dcterms:created>
  <dcterms:modified xsi:type="dcterms:W3CDTF">2020-07-22T04:12:00Z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