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0473 F-- FI-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xx päivänä xkuuta 2020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Määräys, annettu xx päivänä xkuuta xxxx, televisioiden korjattavuusindeksin laskemista ja ilmoittamista koskevan luokituksen alaperusteista ja järjestelmästä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NOR: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Ekologisen siirtymän ministeri ja talous- ja valtiovarainministeri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ottavat huomioon elektronisten näyttöjen ekologista suunnittelua koskevista vaatimuksista Euroopan parlamentin ja neuvoston direktiivin 2009/125/EY nojalla sekä komission asetuksen (EY) N:o 1275/2008 muuttamisesta ja komission asetuksen (EY) N:o 642/2009 kumoamisesta 1 päivänä lokakuuta 2019 annetun komission asetuksen (EU) 2019/2021,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ottavat huomioon ympäristölain ja erityisesti sen L. 541-9-2 §:n ja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ottavat huomioon sähkö- ja elektroniikkalaitteiden korjattavuusindeksin soveltamisehdoista, sen perusteista ja sen laskemistavasta xx päivänä xkuuta xxxx annetun asetuksen nro xxx.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1 §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Tätä määräystä sovelletaan edellä mainitun 1 päivänä lokakuuta 2019 soveltamisalaan kuuluviin televisioihin.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2 §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Edellä 1 §:ssä määritettyihin tuotteisiin sovelletaan mallikohtaisen korjattavuusindeksin laskemiseksi seuraavia perusteita, alaperusteita ja luokitusjärjestelmää: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PERUSTE NRO 1 − ASIAKIRJAT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Alaperuste 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Sitoumus antaa tekniset asiakirjat ja käyttö- ja huolto-ohjeisiin liittyvät asiakirjat saataville maksutta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Valmistaja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Korjaajat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Asiakirjojen tyyppi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Tuotteen yksiselitteinen määrittäminen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Asennuskaava tai hajotuskuva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Johdotus- ja liitoskaavat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Piirikorttikaaviot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 tarvittavista korjaus- ja testausmateriaaleista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Korjaukseen liittyvät tekniset ohjekirjat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Virhekoodit ja diagnostiikka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Rakenneosia ja diagnostiikkaa koskevat tiedot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Ohjelmistoa koskevat ohjeet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Pääsy laitteessa ilmoitettuihin ja rekisteröityihin häiriöihin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Tekniset selosteet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Itse tehtävää korjausta koskevat erityisohjeet (suositellut toimet, turvallisuus- ja korjausohjeet, mahdolliset vaikutukset takuuseen)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Tiedot ammattimaisten korjaajien saatavuudesta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Vikojen määrittäminen ja vaaditut toimet (suurta yleisöä koskeva toimintamalli)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Käyttö- ja huolto-ohjeet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407.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407)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PERUSTE NRO 2 – PURETTAVUUS JA PÄÄSY, TYÖKALUT, KIINNITYKSET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Alaperuste 2.1.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Osien purkamisen helppous (luettelo 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Yksittäistä pääsyä osaan koskevien vaiheiden määrä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tai vähintään 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2 osat (ulkoiset osat)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Kauko-ohjain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Ulkoiset syöttölähteet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Yksittäistä pääsyä osaan koskevien vaiheiden määrä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tai vähintään 12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10–11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8–9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2 osat (sisäiset osat)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Sisäiset syöttölähteet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Päälevy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Laatta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ND/NA = ei purettavissa tai ei saavutettavissa yksistään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Paristojen tai akun poistaminen riittää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ulkoisista syöttölähteistä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Jos kyse on sisäisistä syöttölähteistä, enimmäispistemäärä on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Jos kyse on ulkoisista syöttölähteistä, enimmäispistemäärä on 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9)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Alaperuste 2.2.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Osien purkamiseen tarvittavat työkalut: (luettelo 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Työkalujen tyypit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Omistusoikeudelliset työkalut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Erityistyökalut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Ei työkalua, yhteiset työkalut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2 osat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Kauko-ohjain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Ulkoiset syöttölähteet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Sisäiset syöttölähteet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Päälevy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Laatta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ulkoisista syöttölähteistä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tai vaihto-osan tai tuotteen kanssa toimitettu työkalu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käytetään epäsuotuisinta luokitusta, jos mainitaan useita työkaluja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Jos kyse on sisäisistä syöttölähteistä, enimmäispistemäärä on 16.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16) x 10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Jos kyse on ulkoisista syöttölähteistä, enimmäispistemäärä on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Alaperuste 2.3.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Kiinnitysten ominaisuudet: (luettelon 1 ja 2 osien kokoonpanoa varten)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Kiinnityksen tyyppi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Irrottamaton ja kertakäyttöinen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Irrotettava, kertakäyttöinen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Irrotettava ja uudelleenkäytettävä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1 tai luettelon 2 osat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Takasuojus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Langattoman verkon moduuli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Bluetooth-moduuli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Infrapunavastaanotin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Kaiuttimet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Liittimet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Kauko-ohjain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Sisäiset syöttölähteet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Ulkoiset syöttölähteet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Päälevy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Laatta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tai vaihto-osan kanssa toimitettu kiinnitys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käytetään epäsuotuisinta luokitusta, jos mainitaan useita kiinnityksiä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ei ole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ei ole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ulkoisiin laitteisiin (kaapeli, antenni, USB, DVD ja Blue Ray) yhdistämistä varten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ulkoisista syöttölähteistä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sisäisistä syöttölähteistä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20)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PERUSTE NRO 3 – VARAOSIEN SAATAVUUS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Alaperuste 3.1.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Valmistajan sitoutuminen luettelossa 2 olevien osien saatavuuden kestoon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Valmistaja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Varaosien jakelijat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Korjaajat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2 osat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Kauko-ohjain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Sisäiset syöttölähteet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Ulkoiset syöttölähteet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Päälevy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Laatta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ulkoisista syöttölähteistä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sisäisistä syöttölähteistä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176.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176) x 10</w:t>
      </w:r>
    </w:p>
    <w:p w:rsidR="004A1972" w:rsidRDefault="00294EF2" w:rsidP="004B6AF5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Alaperuste 3.2.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Valmistajan sitoutuminen luettelossa 1 olevien osien saatavuuden kestoon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Valmistaja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Varaosien jakelijat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Korjaajat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Saatavuus vuosina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ja yli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1 osat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Takasuojus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Langattoman verkon moduuli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Bluetooth-moduuli (4)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Infrapunavastaanotin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Kaiuttimet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Liittimet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ei ole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ei ole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ulkoisiin laitteisiin (kaapeli, antenni, USB, DVD ja Blue Ray) yhdistämistä varten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264.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264) x 10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Alaperuste 3.3.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Luettelossa 2 olevien osien toimitusaika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Valmistaja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Varaosien jakelijat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Korjaajat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2 osat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Kauko-ohjain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Sisäiset syöttölähteet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Ulkoiset syöttölähteet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Päälevy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Laatta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arkipäivää alkaen tilauspäivästä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ulkoisista syöttölähteistä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Merkittävä, jos kyse on sisäisistä syöttölähteistä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48.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48)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Alaperuste 3.4.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Luettelossa 1 olevien osien toimitusaika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Valmistaja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Varaosien jakelijat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Korjaajat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Toimituspäivät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tai enemmän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Luettelon 1 osa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Takasuojus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Langattoman verkon moduuli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Bluetooth-moduuli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Infrapunavastaanotin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Kaiuttimet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Liittimet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arkipäivää alkaen tilauspäivästä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ulkoisiin laitteisiin (kaapeli, antenni, USB, DVD ja Blue Ray) yhdistämistä varten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72.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72)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PERUSTE NRO 4 – VARAOSIEN HINTA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Alaperuste 4.1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Luettelossa 2 olevien osien hinnan ja uuden tuotteen hinnan erotus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Perustana käytetään korjattavuusindeksin esittämisehdoista, symboleista ja laskennan yleisistä muuttujista xx päivänä xkuuta xxxx annetussa määräyksessä kuvattua eroa, ja tästä perusteesta saatu pistemäärä määritetään seuraavasti: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− jos ero on yli 0,3, pistemäärä on 0;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− jos ero on alle 0,1, pistemäärä on 100;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− jos ero on 0,1−0,3, pistemäärä määritetään seuraavan taulukon mukaisesti: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Ero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Pisteet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Pyöristyssääntö on seuraava: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Jos kolmannen desimaalin luku on alle 5, pyöristetään toiseen alempaan desimaaliin.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- Jos kolmannen desimaalin luku on vähintään 5, pyöristetään toiseen ylempään desimaaliin</w:t>
      </w:r>
    </w:p>
    <w:p w:rsidR="004A1972" w:rsidRDefault="00294EF2" w:rsidP="004B6AF5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Enimmäispistemäärä on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Tämän alaperusteen luokitus = (saatu pistemäärä / 100)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PERUSTE NRO 5 – ERITYISPERUSTE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Tämän määräyksen soveltamisalaan kuuluvien tuotteiden osalta perusteen 5 alaperusteiden kertoimet määritetään seuraavasti: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Peruste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Alaperuste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Alaperusteen pisteet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Alaperusteen kerroin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Perusteen pisteet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Perusteen kerroin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Erityisperuste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Käyttölaskimen saavutettavuus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Maksuton etätuki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0,5.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Mahdollisuus ohjelmiston uudelleenalustukseen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0,5.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Alaperuste 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Käyttölaskimen saavutettavuus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Käyttölaskin on kuluttajalle tarkoitettu ilmoituslaite, joka rekisteröi tuotteen käytön yhteenlasketusti yksiköiden määränä.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Tässä määräyksessä huomioon otettava yksikkö on laitteiston toiminnan tuntimäärä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Käyttölaskimen saavutettavuus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Tilanne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Ei ole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Vaikeasti saavutettavissa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Näkyvissä tai helposti saavutettavissa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Kuluttaja saa tietoonsa käyttölaskimessa ilmoitetun arvon napsauttamalla sitä yli kolme kertaa.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Kuluttaja saa tietoonsa käyttölaskimessa ilmoitetun arvon napsauttamalla sitä enintään kolme kertaa.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Alaperuste 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Maksuton etätuki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Korjaajat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Etätuen tyyppi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Ei ole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Tiedot sivustolla ajan tasalla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Ei ole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Etätiedot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Diagnostiikan etätuki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Korjauksen etätuki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Alaperuste 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Mahdollisuus ohjelmiston uudelleenalustukseen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Valmistaja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Korjaajat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Sarake 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Kuluttajat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Mahdollisuus ohjelmiston uudelleenalustukseen maksutta ja rajoitukseton pääsy näihin palveluihin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Mahdoton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Mahdollinen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Mahdoton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Mahdollinen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Mahdoton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Mahdollinen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Pistemäärä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Käyttöjärjestelmän uudelleenalustus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Mikro-ohjelmistojen uudelleenalustus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Enimmäispistemäärä on 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Tämän alaperusteen luokitus = (saatu pistemäärä / 6)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Ekologisen siirtymän ministeri: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ministerin puolesta ja valtuutuksella, kestävästä kehityksestä vastaava pääjohtaja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Talous- ja valtiovarainministeri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Ministerin puolesta ja valtuutettuna, kilpailusta, kuluttaja-asioista ja petosten torjunnasta vastaava pääjohtaja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fi-FI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fi-FI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fi-FI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fi-FI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