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49" w:rsidRPr="00817DDD" w:rsidRDefault="00C75D49" w:rsidP="00C75D49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0473 F-- FR- ------ 20200729 --- --- PROJET</w:t>
      </w:r>
    </w:p>
    <w:p w:rsidR="004A1972" w:rsidRDefault="00294EF2" w:rsidP="00C75D49">
      <w:pPr>
        <w:autoSpaceDE w:val="0"/>
        <w:spacing w:after="0" w:line="240" w:lineRule="auto"/>
        <w:jc w:val="right"/>
      </w:pPr>
      <w:r>
        <w:rPr>
          <w:color w:val="000000"/>
          <w:sz w:val="24"/>
          <w:szCs w:val="24"/>
          <w:rFonts w:ascii="Times New Roman" w:hAnsi="Times New Roman"/>
        </w:rPr>
        <w:t xml:space="preserve">Kelt: 2020. XX. XX.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XXXX-i rendelet a televíziók javíthatósági indexének feltüntetéséről, illetve az index számításához használt szempontokról, alszempontokról és pontszámrendszerről.</w:t>
      </w:r>
    </w:p>
    <w:p w:rsidR="004A1972" w:rsidRDefault="004A1972" w:rsidP="00C75D49">
      <w:pPr>
        <w:autoSpaceDE w:val="0"/>
        <w:spacing w:after="0" w:line="240" w:lineRule="auto"/>
        <w:jc w:val="center"/>
      </w:pPr>
    </w:p>
    <w:p w:rsidR="004A1972" w:rsidRDefault="00294EF2" w:rsidP="00C75D49">
      <w:pPr>
        <w:autoSpaceDE w:val="0"/>
        <w:spacing w:after="0" w:line="240" w:lineRule="auto"/>
        <w:jc w:val="center"/>
      </w:pPr>
      <w:r>
        <w:rPr>
          <w:color w:val="000000"/>
          <w:sz w:val="24"/>
          <w:szCs w:val="24"/>
          <w:rFonts w:ascii="Times New Roman" w:hAnsi="Times New Roman"/>
        </w:rPr>
        <w:t xml:space="preserve">NOR:</w:t>
      </w:r>
      <w:r>
        <w:rPr>
          <w:color w:val="000000"/>
          <w:sz w:val="24"/>
          <w:szCs w:val="24"/>
          <w:rFonts w:ascii="Times New Roman" w:hAnsi="Times New Roman"/>
        </w:rPr>
        <w:t xml:space="preserve"> </w:t>
      </w:r>
      <w:r>
        <w:rPr>
          <w:color w:val="000000"/>
          <w:sz w:val="24"/>
          <w:szCs w:val="24"/>
          <w:rFonts w:ascii="Times New Roman" w:hAnsi="Times New Roman"/>
        </w:rPr>
        <w:t xml:space="preserve">XXXXX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Az ökológiai átmenetért felelős miniszter, és a gazdasági és pénzügyminiszter,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FE0B04" w:rsidRDefault="00294EF2" w:rsidP="00C75D49">
      <w:pPr>
        <w:autoSpaceDE w:val="0"/>
        <w:spacing w:after="0" w:line="240" w:lineRule="auto"/>
        <w:jc w:val="both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tekintettel az elektronikus kijelzőkre vonatkozó környezettudatos tervezési követelményeknek a 2009/125/EK európai parlamenti és tanácsi irányelv szerinti megállapításáról, az 1275/2008/EK bizottsági rendelet módosításáról és a 642/2009/EK bizottsági rendelet hatályon kívül helyezéséről szóló, 2019 október 1-jei (EU) 2019/2021/EU bizottsági rendeletre,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tekintettel a Környezetvédelmi Törvénykönyvre, különösen annak L. 541-9-2 cikkére,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tekintettel az elektromos és elektronikus termékek javíthatósági indexének alkalmazási módjáról, annak szempontjairól és kiszámítási módjáról szóló, XXXX-i XXX kormányrendeletre,</w:t>
      </w: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Default="004A1972" w:rsidP="00C75D49">
      <w:pPr>
        <w:autoSpaceDE w:val="0"/>
        <w:spacing w:after="0" w:line="240" w:lineRule="auto"/>
        <w:jc w:val="both"/>
      </w:pPr>
    </w:p>
    <w:p w:rsidR="004A1972" w:rsidRPr="00474213" w:rsidRDefault="00294EF2" w:rsidP="00C75D49">
      <w:pPr>
        <w:keepNext/>
        <w:keepLines/>
        <w:autoSpaceDE w:val="0"/>
        <w:spacing w:after="0" w:line="240" w:lineRule="auto"/>
        <w:rPr>
          <w:b/>
          <w:bCs/>
          <w:color w:val="000000"/>
          <w:sz w:val="24"/>
          <w:szCs w:val="24"/>
          <w:rFonts w:ascii="Times New Roman" w:hAnsi="Times New Roman" w:cs="Times New Roman"/>
        </w:rPr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1. cikk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A jelen rendelet a fent említett 2019. október 1-jei rendelet hatálya alá tartozó televíziókra vonatkozik.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294EF2" w:rsidP="00C75D49">
      <w:pPr>
        <w:keepNext/>
        <w:keepLines/>
        <w:autoSpaceDE w:val="0"/>
        <w:spacing w:after="0" w:line="240" w:lineRule="auto"/>
      </w:pPr>
      <w:r>
        <w:rPr>
          <w:b/>
          <w:bCs/>
          <w:color w:val="000000"/>
          <w:sz w:val="24"/>
          <w:szCs w:val="24"/>
          <w:rFonts w:ascii="Times New Roman" w:hAnsi="Times New Roman"/>
        </w:rPr>
        <w:t xml:space="preserve">2. cikk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color w:val="000000"/>
        </w:rPr>
      </w:pPr>
    </w:p>
    <w:p w:rsidR="004A1972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Az 1. cikkben meghatározott termékek javíthatósági indexének megállapítására szolgáló szempontok, alszempontok és pontszámrendszer a következőkben olvasható:</w:t>
      </w: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75D49" w:rsidRDefault="00C75D49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1A0D10" w:rsidRDefault="00294EF2" w:rsidP="00C75D49">
      <w:pPr>
        <w:keepNext/>
        <w:keepLines/>
        <w:jc w:val="center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1. SZEMPONT – DOKUMENTÁCIÓ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1.1. alszempont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 műszaki dokumentáció, valamint a használati és karbantartási útmutató díjmentes rendelkezésre bocsátásának vállalt időtartama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63"/>
        <w:gridCol w:w="552"/>
        <w:gridCol w:w="552"/>
        <w:gridCol w:w="551"/>
        <w:gridCol w:w="553"/>
        <w:gridCol w:w="551"/>
        <w:gridCol w:w="551"/>
        <w:gridCol w:w="551"/>
        <w:gridCol w:w="551"/>
        <w:gridCol w:w="551"/>
        <w:gridCol w:w="551"/>
        <w:gridCol w:w="551"/>
        <w:gridCol w:w="548"/>
      </w:tblGrid>
      <w:tr w:rsidR="004A1972" w:rsidRPr="004B6AF5" w:rsidTr="005A33D1">
        <w:tc>
          <w:tcPr>
            <w:tcW w:w="14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17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</w:tr>
      <w:tr w:rsidR="005A33D1" w:rsidRPr="004B6AF5" w:rsidTr="005A33D1">
        <w:tc>
          <w:tcPr>
            <w:tcW w:w="14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</w:tr>
      <w:tr w:rsidR="004A1972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Dokumentáció típusa</w:t>
            </w:r>
          </w:p>
        </w:tc>
        <w:tc>
          <w:tcPr>
            <w:tcW w:w="117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1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1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termék egyértelmű azonosítása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Szétszerelési vázlat vagy robbantott nézet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Huzalozási és kapcsolási vázlat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Elektronikus kártyák vázlatai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javításhoz és teszteléshez szükséges felszerelések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javításhoz szükséges műszaki útmutató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Hiba- és diagnosztikai kódok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Információ az alkatrészekről és a diagnosztikáról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Szoftverutasítások (beleértve a gyári beállításokra való visszaállítást)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Hozzáférés a berendezésben jelzett és rögzített incidensekhez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5A33D1" w:rsidRPr="004B6AF5" w:rsidTr="005A33D1"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Műszaki közlönyök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Támogatási dokumentáció az önállóan végzett javításhoz (javasolt műveletek, biztonsági és javítási utasítások, a jótállást érintő esetleges következmények)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Információ a szervizek elérhetőségeiről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Hibaészlelés és szükséges intézkedések (közérthető módon)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A1972" w:rsidRPr="004B6AF5" w:rsidTr="005A33D1">
        <w:tc>
          <w:tcPr>
            <w:tcW w:w="382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Használati és karbantartási útmutató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407.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száma/407)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2. SZEMPONT– SZÉTSZERELHETŐSÉG ÉS HOZZÁFÉRÉS, SZERSZÁMOK, RÖGZÍTÉSEK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2.1.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 2. listán szereplő alkatrészek szétszerelésének egyszerűsége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Lépések száma az adott alkatrészhez való hozzáféréshez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NSZ/NE (1) vagy 4 vagy több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2. listán szereplő alkatrészek (külső alkatrészek)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Távirányító (2)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Külső tápegységek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A1972" w:rsidRDefault="004A1972" w:rsidP="00C75D49">
      <w:pPr>
        <w:rPr>
          <w:rFonts w:ascii="Times New Roman" w:hAnsi="Times New Roman" w:cs="Times New Roman"/>
          <w:color w:val="000000"/>
          <w:sz w:val="2"/>
          <w:szCs w:val="20"/>
        </w:rPr>
      </w:pP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200"/>
        <w:gridCol w:w="1200"/>
        <w:gridCol w:w="1200"/>
        <w:gridCol w:w="1200"/>
      </w:tblGrid>
      <w:tr w:rsidR="004A1972" w:rsidRPr="004B6AF5" w:rsidTr="00C75D49">
        <w:tc>
          <w:tcPr>
            <w:tcW w:w="2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Lépések száma az adott alkatrészhez való hozzáféréshez</w:t>
            </w:r>
          </w:p>
        </w:tc>
      </w:tr>
      <w:tr w:rsidR="004A1972" w:rsidRPr="004B6AF5" w:rsidTr="005A33D1">
        <w:tc>
          <w:tcPr>
            <w:tcW w:w="2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NSZ/NE (1) vagy 12 vagy több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10–11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8–9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1–7</w:t>
            </w:r>
          </w:p>
        </w:tc>
      </w:tr>
      <w:tr w:rsidR="004A1972" w:rsidRPr="004B6AF5" w:rsidTr="00C75D49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2. listán szereplő alkatrészek (belső alkatrészek)</w:t>
            </w:r>
          </w:p>
        </w:tc>
        <w:tc>
          <w:tcPr>
            <w:tcW w:w="256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Belső tápegységek (3)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Alaplap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4A1972" w:rsidRPr="004B6AF5" w:rsidTr="005A33D1">
        <w:tc>
          <w:tcPr>
            <w:tcW w:w="2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Képernyő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NSZ/NE = nem szétszerelhető vagy nem elérhető alkatrész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Elegendő eltávolítani az elemeket vagy az akkumulátort.</w:t>
      </w:r>
    </w:p>
    <w:p w:rsidR="004A1972" w:rsidRPr="004B6AF5" w:rsidRDefault="00294EF2" w:rsidP="004B6AF5">
      <w:pPr>
        <w:pStyle w:val="ListParagraph"/>
        <w:numPr>
          <w:ilvl w:val="0"/>
          <w:numId w:val="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szürkére színezendő.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Belső tápegységek esetén a maximális pontszám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a maximális pontszám 9.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száma/9)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2.2.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Az alkatrészek szétszereléséhez szükséges szerszámok (2. lista)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16"/>
        <w:gridCol w:w="1665"/>
        <w:gridCol w:w="1665"/>
        <w:gridCol w:w="1665"/>
        <w:gridCol w:w="1665"/>
      </w:tblGrid>
      <w:tr w:rsidR="004A1972" w:rsidRPr="004B6AF5" w:rsidTr="00C75D49">
        <w:tc>
          <w:tcPr>
            <w:tcW w:w="1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Szerszámok típusai</w:t>
            </w:r>
          </w:p>
        </w:tc>
      </w:tr>
      <w:tr w:rsidR="004A1972" w:rsidRPr="004B6AF5" w:rsidTr="005A33D1">
        <w:tc>
          <w:tcPr>
            <w:tcW w:w="1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NSZ/NE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Saját fejlesztésű szerszámok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Speciális szerszámok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Szerszám nélkül, általános szerszámokkal (4)</w:t>
            </w:r>
          </w:p>
        </w:tc>
      </w:tr>
      <w:tr w:rsidR="004A1972" w:rsidRPr="004B6AF5" w:rsidTr="00C75D49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2. listán szereplő alkatrészek</w:t>
            </w:r>
          </w:p>
        </w:tc>
        <w:tc>
          <w:tcPr>
            <w:tcW w:w="35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 (5)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Távirányító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Külső tápegységek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4A1972" w:rsidRDefault="004A1972" w:rsidP="00C75D4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144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Belső tápegységek (3)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Alaplap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  <w:tr w:rsidR="004A1972" w:rsidRPr="004B6AF5" w:rsidTr="005A33D1"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Képernyő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vagy a cserealkatrészhez vagy termékhez mellékelt szerszám</w:t>
      </w:r>
    </w:p>
    <w:p w:rsidR="004A1972" w:rsidRPr="004B6AF5" w:rsidRDefault="00294EF2" w:rsidP="004B6AF5">
      <w:pPr>
        <w:pStyle w:val="ListParagraph"/>
        <w:numPr>
          <w:ilvl w:val="0"/>
          <w:numId w:val="13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több szerszám esetén a legkedvezőtlenebbet kell figyelembe venni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Belső tápegységek esetén a maximális pontszám 16.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száma/16) x 10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a maximális pontszám 12.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száma/12)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2.3.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Rögzítések jellemzői (az 1. és 2. listán szereplő alkatrészek összeszereléséhez)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76"/>
        <w:gridCol w:w="1600"/>
        <w:gridCol w:w="1600"/>
        <w:gridCol w:w="1600"/>
      </w:tblGrid>
      <w:tr w:rsidR="004A1972" w:rsidRPr="004B6AF5" w:rsidTr="00C75D49">
        <w:tc>
          <w:tcPr>
            <w:tcW w:w="2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Rögzítés típusa</w:t>
            </w:r>
          </w:p>
        </w:tc>
      </w:tr>
      <w:tr w:rsidR="004A1972" w:rsidRPr="004B6AF5" w:rsidTr="005A33D1">
        <w:tc>
          <w:tcPr>
            <w:tcW w:w="2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Nem eltávolítható, nem újrahasználható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Eltávolítható, nem újrahasználható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Eltávolítható és újrahasználható (3)</w:t>
            </w:r>
          </w:p>
        </w:tc>
      </w:tr>
      <w:tr w:rsidR="004A1972" w:rsidRPr="004B6AF5" w:rsidTr="00C75D49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Az 1. vagy 2. listán szereplő alkatrészek</w:t>
            </w:r>
          </w:p>
        </w:tc>
        <w:tc>
          <w:tcPr>
            <w:tcW w:w="25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 (4)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Hátsó burkolat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WiFi-modul (5)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Bluetooth-modul (6)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Infravörös vevő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Hangszórók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Csatlakozók (7)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Távirányító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Belső tápegységek (8)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Külső tápegységek (9)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Alaplap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  <w:tr w:rsidR="004A1972" w:rsidRPr="004B6AF5" w:rsidTr="005A33D1"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Képernyő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vagy a cserealkatrészhez mellékelt rögzítőelem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több rögzítőelem esetén a legkedvezőtlenebbet kell figyelembe venni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Hiánya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Hiánya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külső eszközök csatlakoztatásához (kábel, antenna, USB, DVD és Blue-Ray)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2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Belső tápegységek esetén szürkére színezendő.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20.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száma/20)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3. SZEMPONT - CSEREALKATRÉSZEK ELÉRHETŐSÉGE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3.1.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 2. listán szereplő alkatrészek elérhetőségének a gyártó által vállalt időtartama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Cserealkatrészek forgalmazója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2. listán szereplő alkatrészek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Távirányító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Belső tápegységek (1)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Külső tápegységek (2)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Alaplap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Képernyő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1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Belső tápegységek esetén szürkére színezendő.</w:t>
      </w:r>
    </w:p>
    <w:p w:rsidR="004B6AF5" w:rsidRDefault="00294EF2" w:rsidP="004B6AF5">
      <w:pPr>
        <w:jc w:val="both"/>
        <w:rPr>
          <w:color w:val="000000"/>
          <w:sz w:val="20"/>
          <w:szCs w:val="20"/>
          <w:rFonts w:ascii="Times New Roman" w:hAnsi="Times New Roman" w:cs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176.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száma/176) x 10</w:t>
      </w:r>
    </w:p>
    <w:p w:rsidR="004A1972" w:rsidRDefault="00294EF2" w:rsidP="004B6AF5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3.2.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Az 1. listán szereplő alkatrészek elérhetőségének a gyártó által vállalt időtartama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54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61"/>
      </w:tblGrid>
      <w:tr w:rsidR="004A1972" w:rsidRPr="004B6AF5" w:rsidTr="005A33D1"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Cserealkatrészek forgalmazója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  <w:tc>
          <w:tcPr>
            <w:tcW w:w="10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Elérhetőség időtartama (év)</w:t>
            </w:r>
          </w:p>
        </w:tc>
      </w:tr>
      <w:tr w:rsidR="004B6AF5" w:rsidRPr="004B6AF5" w:rsidTr="005A33D1">
        <w:tc>
          <w:tcPr>
            <w:tcW w:w="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0–6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7–8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9–10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vagy több</w:t>
            </w:r>
          </w:p>
        </w:tc>
      </w:tr>
      <w:tr w:rsidR="004A1972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Az 1. listán szereplő alkatrészek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Hátsó burkolat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WiFi-modul (3)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Bluetooth-modul (4)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Infravörös vevő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Hangszórók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  <w:tr w:rsidR="004B6AF5" w:rsidRPr="004B6AF5" w:rsidTr="005A33D1">
        <w:tc>
          <w:tcPr>
            <w:tcW w:w="98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Csatlakozók (5)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7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9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</w:t>
            </w:r>
          </w:p>
        </w:tc>
      </w:tr>
    </w:tbl>
    <w:p w:rsidR="00C75D49" w:rsidRDefault="00C75D49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Hiánya esetén szürkére színezendő.</w:t>
      </w:r>
    </w:p>
    <w:p w:rsidR="00C75D49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Hiánya esetén szürkére színezendő.</w:t>
      </w:r>
    </w:p>
    <w:p w:rsidR="004A1972" w:rsidRPr="004B6AF5" w:rsidRDefault="00294EF2" w:rsidP="004B6AF5">
      <w:pPr>
        <w:pStyle w:val="ListParagraph"/>
        <w:numPr>
          <w:ilvl w:val="0"/>
          <w:numId w:val="10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külső eszközök csatlakoztatásához (kábel, antenna, USB, DVD és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264.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száma/264) x 10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3.3.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 2. listán szereplő alkatrészek szállítási ideje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Cserealkatrészek forgalmazója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2. listán szereplő alkatrészek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Távirányító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Belső tápegységek (2)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Külső tápegységek (3)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Alaplap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Képernyő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a rendelés napjától számított munkanapok száma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Külső tápegységek esetén szürkére színezendő.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pStyle w:val="ListParagraph"/>
        <w:numPr>
          <w:ilvl w:val="0"/>
          <w:numId w:val="8"/>
        </w:numPr>
        <w:tabs>
          <w:tab w:val="clear" w:pos="0"/>
          <w:tab w:val="left" w:pos="360"/>
        </w:tabs>
        <w:ind w:left="360"/>
      </w:pPr>
      <w:r>
        <w:rPr>
          <w:color w:val="000000"/>
          <w:sz w:val="20"/>
          <w:szCs w:val="20"/>
          <w:rFonts w:ascii="Times New Roman" w:hAnsi="Times New Roman"/>
        </w:rPr>
        <w:t xml:space="preserve">Belső tápegységek esetén szürkére színezendő.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48.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száma/48)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szCs w:val="20"/>
          <w:rFonts w:ascii="Times New Roman" w:hAnsi="Times New Roman"/>
        </w:rPr>
        <w:t xml:space="preserve">3.4. alszempont</w:t>
      </w:r>
      <w:r>
        <w:rPr>
          <w:color w:val="000000"/>
          <w:szCs w:val="20"/>
          <w:rFonts w:ascii="Times New Roman" w:hAnsi="Times New Roman"/>
        </w:rPr>
        <w:t xml:space="preserve"> </w:t>
      </w:r>
      <w:r>
        <w:rPr>
          <w:color w:val="000000"/>
          <w:szCs w:val="20"/>
          <w:rFonts w:ascii="Times New Roman" w:hAnsi="Times New Roman"/>
        </w:rPr>
        <w:t xml:space="preserve">Az 1. listán szereplő alkatrészek szállítási ideje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64"/>
        <w:gridCol w:w="475"/>
        <w:gridCol w:w="477"/>
        <w:gridCol w:w="477"/>
        <w:gridCol w:w="476"/>
        <w:gridCol w:w="476"/>
        <w:gridCol w:w="476"/>
        <w:gridCol w:w="476"/>
        <w:gridCol w:w="476"/>
        <w:gridCol w:w="474"/>
        <w:gridCol w:w="476"/>
        <w:gridCol w:w="476"/>
        <w:gridCol w:w="476"/>
        <w:gridCol w:w="476"/>
        <w:gridCol w:w="476"/>
        <w:gridCol w:w="476"/>
        <w:gridCol w:w="473"/>
      </w:tblGrid>
      <w:tr w:rsidR="004A1972" w:rsidRPr="004B6AF5" w:rsidTr="005A33D1">
        <w:tc>
          <w:tcPr>
            <w:tcW w:w="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Cserealkatrészek forgalmazója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Szállítási idő (nap) (1)</w:t>
            </w:r>
          </w:p>
        </w:tc>
      </w:tr>
      <w:tr w:rsidR="00C75D49" w:rsidRPr="004B6AF5" w:rsidTr="005A33D1">
        <w:tc>
          <w:tcPr>
            <w:tcW w:w="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4–5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11 és annál több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6–10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4−5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1–3</w:t>
            </w:r>
          </w:p>
        </w:tc>
      </w:tr>
      <w:tr w:rsidR="004A1972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Az 1. listán szereplő alkatrész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Hátsó burkolat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WiFi-modul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Bluetooth-modul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Infravörös vevő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Hangszórók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  <w:tr w:rsidR="00C75D49" w:rsidRPr="004B6AF5" w:rsidTr="005A33D1">
        <w:tc>
          <w:tcPr>
            <w:tcW w:w="9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Csatlakozók (2)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2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3</w:t>
            </w:r>
          </w:p>
        </w:tc>
      </w:tr>
    </w:tbl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rendelés napjától számított munkanapok száma</w:t>
      </w:r>
    </w:p>
    <w:p w:rsidR="004A1972" w:rsidRPr="004B6AF5" w:rsidRDefault="00294EF2" w:rsidP="004B6AF5">
      <w:pPr>
        <w:pStyle w:val="ListParagraph"/>
        <w:numPr>
          <w:ilvl w:val="0"/>
          <w:numId w:val="7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külső eszközök csatlakoztatásához (kábel, antenna, USB, DVD és Blue-Ray)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72.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száma/72)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4. SZEMPONT - CSEREALKATRÉSZEK ÁRA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4.1. alszempont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 2. listán szereplő alkatrészek ára az új termék árához képest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A javíthatósági index feltüntetésének módjáról, a jelzésekről és a kiszámításához szükséges általános paraméterekről szóló XXXX rendelet alapján az e szemponthoz tartozó pontszámot a következő módon kell meghatározni: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ha a kapott arány 0,3-nál nagyobb, akkor a pontszám 0,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ha a kapott arány 0,1-nél kisebb, akkor a pontszám 100,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ha a kapott arány 0,1 és 0,3 között van, akkor a pontszámot az alábbi megfelelési táblázat alapján kell meghatározni: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65"/>
        <w:gridCol w:w="387"/>
        <w:gridCol w:w="429"/>
        <w:gridCol w:w="430"/>
        <w:gridCol w:w="430"/>
        <w:gridCol w:w="430"/>
        <w:gridCol w:w="430"/>
        <w:gridCol w:w="430"/>
        <w:gridCol w:w="430"/>
        <w:gridCol w:w="429"/>
        <w:gridCol w:w="429"/>
        <w:gridCol w:w="343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53"/>
      </w:tblGrid>
      <w:tr w:rsidR="004A1972" w:rsidTr="001E034C"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Arány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0,19</w:t>
            </w:r>
          </w:p>
        </w:tc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0,21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0,22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0,23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0,26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0,28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0,29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keepNext/>
              <w:keepLines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0,3</w:t>
            </w:r>
          </w:p>
        </w:tc>
      </w:tr>
      <w:tr w:rsidR="004A1972" w:rsidTr="001E034C">
        <w:tc>
          <w:tcPr>
            <w:tcW w:w="3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Pontszám</w:t>
            </w: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 </w:t>
            </w:r>
          </w:p>
        </w:tc>
        <w:tc>
          <w:tcPr>
            <w:tcW w:w="20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100</w:t>
            </w:r>
          </w:p>
        </w:tc>
        <w:tc>
          <w:tcPr>
            <w:tcW w:w="22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90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80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70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60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55</w:t>
            </w:r>
          </w:p>
        </w:tc>
        <w:tc>
          <w:tcPr>
            <w:tcW w:w="18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40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30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20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15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10</w:t>
            </w:r>
          </w:p>
        </w:tc>
        <w:tc>
          <w:tcPr>
            <w:tcW w:w="22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5</w:t>
            </w:r>
          </w:p>
        </w:tc>
        <w:tc>
          <w:tcPr>
            <w:tcW w:w="1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972" w:rsidRDefault="00294EF2" w:rsidP="001E034C">
            <w:pPr>
              <w:pStyle w:val="Contenudetableau"/>
              <w:suppressLineNumbers w:val="0"/>
              <w:suppressAutoHyphens w:val="0"/>
              <w:jc w:val="center"/>
            </w:pPr>
            <w:r>
              <w:rPr>
                <w:color w:val="000000"/>
                <w:sz w:val="18"/>
                <w:szCs w:val="18"/>
                <w:rFonts w:ascii="Liberation Serif" w:hAnsi="Liberation Serif"/>
              </w:rPr>
              <w:t xml:space="preserve">0</w:t>
            </w:r>
          </w:p>
        </w:tc>
      </w:tr>
    </w:tbl>
    <w:p w:rsidR="004A1972" w:rsidRDefault="004A1972" w:rsidP="00C75D49">
      <w:pPr>
        <w:jc w:val="both"/>
      </w:pPr>
    </w:p>
    <w:p w:rsidR="004A1972" w:rsidRDefault="00294EF2" w:rsidP="004B6AF5">
      <w:pPr>
        <w:keepNext/>
        <w:keepLines/>
        <w:contextualSpacing/>
        <w:jc w:val="both"/>
      </w:pPr>
      <w:r>
        <w:rPr>
          <w:color w:val="000000"/>
          <w:rFonts w:ascii="Times New Roman" w:hAnsi="Times New Roman"/>
        </w:rPr>
        <w:t xml:space="preserve">A kerekítési szabály a következő:</w:t>
      </w:r>
      <w:r>
        <w:rPr>
          <w:color w:val="000000"/>
          <w:rFonts w:ascii="Times New Roman" w:hAnsi="Times New Roman"/>
        </w:rPr>
        <w:t xml:space="preserve"> </w:t>
      </w:r>
    </w:p>
    <w:p w:rsidR="00C75D49" w:rsidRDefault="00294EF2" w:rsidP="004B6AF5">
      <w:pPr>
        <w:contextualSpacing/>
        <w:jc w:val="both"/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- Ha a harmadik tizedesjegy 5-nél kisebb, akkor a második tizedes értékét lefelé kell kerekíteni.</w:t>
      </w:r>
    </w:p>
    <w:p w:rsidR="004A1972" w:rsidRDefault="00294EF2" w:rsidP="004B6AF5">
      <w:pPr>
        <w:contextualSpacing/>
        <w:jc w:val="both"/>
      </w:pPr>
      <w:r>
        <w:rPr>
          <w:color w:val="000000"/>
          <w:rFonts w:ascii="Times New Roman" w:hAnsi="Times New Roman"/>
        </w:rPr>
        <w:t xml:space="preserve">- Ha a harmadik tizedesjegy 5 vagy annál nagyobb, akkor a második tizedes értékét felfelé kell kerekíteni.</w:t>
      </w:r>
    </w:p>
    <w:p w:rsidR="004A1972" w:rsidRDefault="00294EF2" w:rsidP="004B6AF5">
      <w:pPr>
        <w:jc w:val="both"/>
      </w:pPr>
      <w:r>
        <w:rPr>
          <w:color w:val="000000"/>
          <w:sz w:val="21"/>
          <w:szCs w:val="21"/>
          <w:rFonts w:ascii="Times New Roman" w:hAnsi="Times New Roman"/>
        </w:rPr>
        <w:t xml:space="preserve">A maximális pontszám 100.</w:t>
      </w:r>
      <w:r>
        <w:rPr>
          <w:color w:val="000000"/>
          <w:sz w:val="21"/>
          <w:szCs w:val="21"/>
          <w:rFonts w:ascii="Times New Roman" w:hAnsi="Times New Roman"/>
        </w:rPr>
        <w:t xml:space="preserve"> </w:t>
      </w:r>
      <w:r>
        <w:rPr>
          <w:color w:val="000000"/>
          <w:sz w:val="21"/>
          <w:szCs w:val="21"/>
          <w:rFonts w:ascii="Times New Roman" w:hAnsi="Times New Roman"/>
        </w:rPr>
        <w:t xml:space="preserve">Jelen alszempont pontszáma = (elért pontok száma/100) x 10</w:t>
      </w:r>
    </w:p>
    <w:p w:rsidR="004A1972" w:rsidRDefault="00294EF2" w:rsidP="00C75D49">
      <w:pPr>
        <w:keepNext/>
        <w:keepLines/>
        <w:jc w:val="center"/>
      </w:pPr>
      <w:r>
        <w:rPr>
          <w:color w:val="000000"/>
          <w:rFonts w:ascii="Times New Roman" w:hAnsi="Times New Roman"/>
        </w:rPr>
        <w:t xml:space="preserve">5. SZEMPONT - SPECIÁLIS SZEMPONT</w:t>
      </w:r>
      <w:r>
        <w:rPr>
          <w:color w:val="00000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A jelen rendelet által érintett termékekre vonatkozó 5. szempont alszempontjainak együtthatóit a következők szerint kell meghatározni: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422"/>
        <w:gridCol w:w="3709"/>
        <w:gridCol w:w="1091"/>
        <w:gridCol w:w="1039"/>
        <w:gridCol w:w="1061"/>
        <w:gridCol w:w="1054"/>
      </w:tblGrid>
      <w:tr w:rsidR="004A1972" w:rsidRPr="004B6AF5" w:rsidTr="005A33D1">
        <w:tc>
          <w:tcPr>
            <w:tcW w:w="7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Szempont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Alszempont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Alszempont értéke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Alszempont együtthatója</w:t>
            </w:r>
          </w:p>
        </w:tc>
        <w:tc>
          <w:tcPr>
            <w:tcW w:w="5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Szempont értéke</w:t>
            </w:r>
          </w:p>
        </w:tc>
        <w:tc>
          <w:tcPr>
            <w:tcW w:w="5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Szempont együtthatója</w:t>
            </w:r>
          </w:p>
        </w:tc>
      </w:tr>
      <w:tr w:rsidR="004A1972" w:rsidRPr="004B6AF5" w:rsidTr="005A33D1">
        <w:tc>
          <w:tcPr>
            <w:tcW w:w="75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b/>
                <w:bCs/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5.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rFonts w:ascii="Times New Roman" w:hAnsi="Times New Roman"/>
              </w:rPr>
              <w:t xml:space="preserve">Speciális szempontok</w:t>
            </w: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5.1.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Hozzáférés a használati számlálóhoz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6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▀▀/20</w:t>
            </w:r>
          </w:p>
        </w:tc>
        <w:tc>
          <w:tcPr>
            <w:tcW w:w="562" w:type="pct"/>
            <w:vMerge w:val="restar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5.2.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Díjmentes távoli segítségnyújtás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1972" w:rsidRPr="004B6AF5" w:rsidTr="005A33D1">
        <w:tc>
          <w:tcPr>
            <w:tcW w:w="75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7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5.3.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szoftver gyári beállításokra való visszaállításának lehetősége</w:t>
            </w:r>
          </w:p>
        </w:tc>
        <w:tc>
          <w:tcPr>
            <w:tcW w:w="58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▀▀/10</w:t>
            </w:r>
          </w:p>
        </w:tc>
        <w:tc>
          <w:tcPr>
            <w:tcW w:w="554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0,5</w:t>
            </w:r>
          </w:p>
        </w:tc>
        <w:tc>
          <w:tcPr>
            <w:tcW w:w="566" w:type="pct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5D49" w:rsidRDefault="00C75D49" w:rsidP="00C75D49">
      <w:pPr>
        <w:rPr>
          <w:rFonts w:ascii="Times New Roman" w:hAnsi="Times New Roman" w:cs="Times New Roman"/>
          <w:color w:val="000000"/>
        </w:rPr>
      </w:pP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5.1. alszempont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Hozzáférés a használati számlálóhoz</w:t>
      </w:r>
      <w:r>
        <w:rPr>
          <w:color w:val="000000"/>
          <w:rFonts w:ascii="Times New Roman" w:hAnsi="Times New Roman"/>
        </w:rPr>
        <w:t xml:space="preserve"> </w:t>
      </w:r>
    </w:p>
    <w:p w:rsidR="004A1972" w:rsidRPr="000D3914" w:rsidRDefault="00294EF2" w:rsidP="00C75D49">
      <w:pPr>
        <w:rPr>
          <w:color w:val="000000"/>
          <w:rFonts w:ascii="Times New Roman" w:hAnsi="Times New Roman" w:cs="Times New Roman"/>
        </w:rPr>
      </w:pPr>
      <w:r>
        <w:rPr>
          <w:color w:val="000000"/>
          <w:rFonts w:ascii="Times New Roman" w:hAnsi="Times New Roman"/>
        </w:rPr>
        <w:t xml:space="preserve">A használati számláló a fogyasztónak szóló kijelző egység, amely összesítve rögzíti a termék használatát, és azt egy adott egységben kijelzi.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 jelen rendelet értelmében ezen egység alatt a képernyő üzemóráinak száma értendő.</w:t>
      </w:r>
      <w:r>
        <w:rPr>
          <w:color w:val="000000"/>
          <w:rFonts w:ascii="Times New Roman" w:hAnsi="Times New Roman"/>
        </w:rPr>
        <w:t xml:space="preserve"> 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827"/>
        <w:gridCol w:w="1849"/>
        <w:gridCol w:w="1849"/>
        <w:gridCol w:w="1851"/>
      </w:tblGrid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C75D49"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Hozzáférés a használati számlálóhoz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Helyzet</w:t>
            </w:r>
          </w:p>
        </w:tc>
      </w:tr>
      <w:tr w:rsidR="004A1972" w:rsidRPr="004B6AF5" w:rsidTr="005A33D1"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Nincs jelen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Nehezen hozzáférhető (1)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Látható vagy könnyen hozzáférhető (2)</w:t>
            </w:r>
          </w:p>
        </w:tc>
      </w:tr>
      <w:tr w:rsidR="004A1972" w:rsidRPr="004B6AF5" w:rsidTr="00C75D49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A1972" w:rsidRPr="004B6AF5" w:rsidTr="005A33D1">
        <w:tc>
          <w:tcPr>
            <w:tcW w:w="2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</w:tr>
    </w:tbl>
    <w:p w:rsidR="00C75D49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használati számláló által kijelzett érték megjelenítéséhez a felhasználónak háromnál több kattintást kell végeznie.</w:t>
      </w:r>
    </w:p>
    <w:p w:rsidR="004A1972" w:rsidRPr="004B6AF5" w:rsidRDefault="00294EF2" w:rsidP="004B6AF5">
      <w:pPr>
        <w:pStyle w:val="ListParagraph"/>
        <w:numPr>
          <w:ilvl w:val="0"/>
          <w:numId w:val="6"/>
        </w:numPr>
        <w:tabs>
          <w:tab w:val="clear" w:pos="0"/>
          <w:tab w:val="left" w:pos="360"/>
        </w:tabs>
        <w:ind w:left="360"/>
        <w:rPr>
          <w:color w:val="000000"/>
          <w:sz w:val="20"/>
          <w:szCs w:val="20"/>
          <w:rFonts w:ascii="Times New Roman" w:hAnsi="Times New Roman"/>
        </w:rPr>
      </w:pPr>
      <w:r>
        <w:rPr>
          <w:color w:val="000000"/>
          <w:sz w:val="20"/>
          <w:szCs w:val="20"/>
          <w:rFonts w:ascii="Times New Roman" w:hAnsi="Times New Roman"/>
        </w:rPr>
        <w:t xml:space="preserve">A használati számláló által kijelzett érték megjelenítéséhez a felhasználónak három vagy kevesebb kattintást kell végeznie.</w:t>
      </w:r>
    </w:p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2.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száma/2)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5.2. alszempont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Díjmentes távoli segítségnyújtás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21"/>
        <w:gridCol w:w="1293"/>
        <w:gridCol w:w="1270"/>
        <w:gridCol w:w="1316"/>
        <w:gridCol w:w="1292"/>
        <w:gridCol w:w="1292"/>
        <w:gridCol w:w="1292"/>
      </w:tblGrid>
      <w:tr w:rsidR="004A1972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27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49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eastAsia="Calibri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Távoli segítségnyújtás típusa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Nincs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Naprakész információk helyben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Nincs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Távoli tájékoztatásnyújtás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Távoli segítségnyújtás a diagnosztikához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Távoli segítségnyújtás a javításhoz</w:t>
            </w:r>
          </w:p>
        </w:tc>
      </w:tr>
      <w:tr w:rsidR="005A33D1" w:rsidTr="005A33D1"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2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Default="00294EF2" w:rsidP="00C75D49">
            <w:pPr>
              <w:suppressAutoHyphens w:val="0"/>
              <w:spacing w:after="0" w:line="240" w:lineRule="auto"/>
              <w:jc w:val="center"/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4</w:t>
            </w:r>
          </w:p>
        </w:tc>
      </w:tr>
    </w:tbl>
    <w:p w:rsidR="004A1972" w:rsidRDefault="00294EF2" w:rsidP="00C75D49">
      <w:pPr>
        <w:pStyle w:val="Paragraphedeliste"/>
        <w:ind w:left="450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5.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száma/5)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Default="00294EF2" w:rsidP="00C75D49">
      <w:pPr>
        <w:keepNext/>
        <w:keepLines/>
      </w:pPr>
      <w:r>
        <w:rPr>
          <w:color w:val="000000"/>
          <w:rFonts w:ascii="Times New Roman" w:hAnsi="Times New Roman"/>
        </w:rPr>
        <w:t xml:space="preserve">5.3. alszempont</w:t>
      </w:r>
      <w:r>
        <w:rPr>
          <w:color w:val="000000"/>
          <w:rFonts w:ascii="Times New Roman" w:hAnsi="Times New Roman"/>
        </w:rPr>
        <w:t xml:space="preserve"> </w:t>
      </w:r>
      <w:r>
        <w:rPr>
          <w:color w:val="000000"/>
          <w:rFonts w:ascii="Times New Roman" w:hAnsi="Times New Roman"/>
        </w:rPr>
        <w:t xml:space="preserve">A szoftver gyári beállításokra való visszaállításának lehetősége</w:t>
      </w:r>
    </w:p>
    <w:tbl>
      <w:tblPr>
        <w:tblW w:w="5000" w:type="pct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21"/>
        <w:gridCol w:w="1077"/>
        <w:gridCol w:w="1076"/>
        <w:gridCol w:w="1076"/>
        <w:gridCol w:w="1076"/>
        <w:gridCol w:w="1076"/>
        <w:gridCol w:w="1074"/>
      </w:tblGrid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Gyártó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B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Szervizek</w:t>
            </w: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 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6AF5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C oszlop</w:t>
            </w:r>
          </w:p>
          <w:p w:rsidR="004A1972" w:rsidRPr="004B6AF5" w:rsidRDefault="00294EF2" w:rsidP="004B6AF5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Fogyasztók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 szoftver gyári beállításokra való visszaállításának lehetősége díjmentesen és e szolgáltatásokhoz való hozzáférés korlátozása nélkül.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Nem lehetséges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Lehetséges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Nem lehetséges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Lehetséges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Nem lehetséges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Lehetséges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4A1972" w:rsidP="00C75D49">
            <w:pPr>
              <w:keepNext/>
              <w:keepLines/>
              <w:suppressAutoHyphens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  <w:tc>
          <w:tcPr>
            <w:tcW w:w="1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keepNext/>
              <w:keepLines/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Pontszám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Az operációs rendszer gyári beállításainak visszaállítása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  <w:tr w:rsidR="004A1972" w:rsidRPr="004B6AF5" w:rsidTr="005A33D1"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Mikroszoftverek visszaállítása a gyári beállításokra (2)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0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1972" w:rsidRPr="004B6AF5" w:rsidRDefault="00294EF2" w:rsidP="00C75D49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rFonts w:ascii="Times New Roman" w:hAnsi="Times New Roman" w:cs="Times New Roman"/>
              </w:rPr>
            </w:pPr>
            <w:r>
              <w:rPr>
                <w:color w:val="000000"/>
                <w:sz w:val="20"/>
                <w:szCs w:val="20"/>
                <w:rFonts w:ascii="Times New Roman" w:hAnsi="Times New Roman"/>
              </w:rPr>
              <w:t xml:space="preserve">1</w:t>
            </w:r>
          </w:p>
        </w:tc>
      </w:tr>
    </w:tbl>
    <w:p w:rsidR="004A1972" w:rsidRDefault="00294EF2" w:rsidP="004B6AF5">
      <w:pPr>
        <w:jc w:val="both"/>
      </w:pPr>
      <w:r>
        <w:rPr>
          <w:color w:val="000000"/>
          <w:sz w:val="20"/>
          <w:szCs w:val="20"/>
          <w:rFonts w:ascii="Times New Roman" w:hAnsi="Times New Roman"/>
        </w:rPr>
        <w:t xml:space="preserve">A maximális pontszám 6.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  <w:r>
        <w:rPr>
          <w:color w:val="000000"/>
          <w:sz w:val="20"/>
          <w:szCs w:val="20"/>
          <w:rFonts w:ascii="Times New Roman" w:hAnsi="Times New Roman"/>
        </w:rPr>
        <w:t xml:space="preserve">Jelen alszempont pontszáma = (elért pontok száma/6) x 10</w:t>
      </w:r>
      <w:r>
        <w:rPr>
          <w:color w:val="000000"/>
          <w:sz w:val="20"/>
          <w:szCs w:val="20"/>
          <w:rFonts w:ascii="Times New Roman" w:hAnsi="Times New Roman"/>
        </w:rPr>
        <w:t xml:space="preserve"> </w:t>
      </w: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Az ökológiai átmenetért felelős miniszter:</w:t>
      </w:r>
    </w:p>
    <w:p w:rsidR="004A1972" w:rsidRPr="00C75D49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 miniszter nevében és megbízásából, a fenntartható fejlődésért felelős általános biztos,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T. Lesueur</w:t>
      </w: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Default="004A1972" w:rsidP="00C75D49">
      <w:pPr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 gazdasági és pénzügyminiszter: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294EF2" w:rsidP="00C75D49">
      <w:pPr>
        <w:keepNext/>
        <w:keepLines/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A miniszter nevében és megbízásából, a versenypolitikáért, a fogyasztási ügyekért és a csalás elleni küzdelemért felelős főigazgató,</w:t>
      </w:r>
    </w:p>
    <w:p w:rsidR="004A1972" w:rsidRDefault="004A1972" w:rsidP="00C75D49">
      <w:pPr>
        <w:keepNext/>
        <w:keepLines/>
        <w:autoSpaceDE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1972" w:rsidRPr="00C75D49" w:rsidRDefault="00C75D49" w:rsidP="00C75D49">
      <w:pPr>
        <w:autoSpaceDE w:val="0"/>
        <w:spacing w:after="0" w:line="240" w:lineRule="auto"/>
        <w:rPr>
          <w:color w:val="000000"/>
          <w:sz w:val="24"/>
          <w:szCs w:val="24"/>
          <w:rFonts w:ascii="Times New Roman" w:hAnsi="Times New Roman" w:cs="Times New Roman"/>
        </w:rPr>
      </w:pPr>
      <w:r>
        <w:rPr>
          <w:color w:val="000000"/>
          <w:sz w:val="24"/>
          <w:szCs w:val="24"/>
          <w:rFonts w:ascii="Times New Roman" w:hAnsi="Times New Roman"/>
        </w:rPr>
        <w:t xml:space="preserve">V. Beaumeunier</w:t>
      </w:r>
    </w:p>
    <w:sectPr w:rsidR="004A1972" w:rsidRPr="00C75D49">
      <w:pgSz w:w="11906" w:h="16838"/>
      <w:pgMar w:top="1416" w:right="1133" w:bottom="1133" w:left="1483" w:header="11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5F9" w:rsidRDefault="00D465F9">
      <w:pPr>
        <w:spacing w:after="0" w:line="240" w:lineRule="auto"/>
      </w:pPr>
      <w:r>
        <w:separator/>
      </w:r>
    </w:p>
  </w:endnote>
  <w:endnote w:type="continuationSeparator" w:id="0">
    <w:p w:rsidR="00D465F9" w:rsidRDefault="00D4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LT Std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5F9" w:rsidRDefault="00D465F9">
      <w:pPr>
        <w:spacing w:after="0" w:line="240" w:lineRule="auto"/>
      </w:pPr>
      <w:r>
        <w:separator/>
      </w:r>
    </w:p>
  </w:footnote>
  <w:footnote w:type="continuationSeparator" w:id="0">
    <w:p w:rsidR="00D465F9" w:rsidRDefault="00D4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  <w:highlight w:val="darkYell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CA2336"/>
    <w:multiLevelType w:val="hybridMultilevel"/>
    <w:tmpl w:val="AC5A7054"/>
    <w:lvl w:ilvl="0" w:tplc="BCFA4E92">
      <w:start w:val="1"/>
      <w:numFmt w:val="decimal"/>
      <w:lvlText w:val="(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9C526F3"/>
    <w:multiLevelType w:val="hybridMultilevel"/>
    <w:tmpl w:val="FB70B6EA"/>
    <w:name w:val="WW8Num24"/>
    <w:lvl w:ilvl="0" w:tplc="4A3C44D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2139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33AE54B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43D61F76"/>
    <w:multiLevelType w:val="hybridMultilevel"/>
    <w:tmpl w:val="3B4C5FCC"/>
    <w:name w:val="WW8Num23"/>
    <w:lvl w:ilvl="0" w:tplc="99C211F0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47030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0" w15:restartNumberingAfterBreak="0">
    <w:nsid w:val="5FAB7132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685C5B18"/>
    <w:multiLevelType w:val="hybridMultilevel"/>
    <w:tmpl w:val="088AEBD2"/>
    <w:name w:val="WW8Num22"/>
    <w:lvl w:ilvl="0" w:tplc="D6AAFA52">
      <w:start w:val="3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30C8F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EF2"/>
    <w:rsid w:val="000D3914"/>
    <w:rsid w:val="001A0D10"/>
    <w:rsid w:val="001E034C"/>
    <w:rsid w:val="00294EF2"/>
    <w:rsid w:val="00330BFC"/>
    <w:rsid w:val="00355B57"/>
    <w:rsid w:val="00474213"/>
    <w:rsid w:val="004A1972"/>
    <w:rsid w:val="004B6AF5"/>
    <w:rsid w:val="005A33D1"/>
    <w:rsid w:val="00704354"/>
    <w:rsid w:val="00B3211D"/>
    <w:rsid w:val="00C5191A"/>
    <w:rsid w:val="00C75D49"/>
    <w:rsid w:val="00D465F9"/>
    <w:rsid w:val="00DD21EA"/>
    <w:rsid w:val="00E97009"/>
    <w:rsid w:val="00FE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FDE5743-163D-445D-9AAE-5055825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hAnsi="Calibri" w:cs="Calibri"/>
      <w:kern w:val="2"/>
      <w:sz w:val="22"/>
      <w:szCs w:val="22"/>
      <w:lang w:val="hu-HU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0"/>
      <w:szCs w:val="20"/>
      <w:highlight w:val="darkYellow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 w:hint="default"/>
      <w:sz w:val="20"/>
      <w:szCs w:val="20"/>
    </w:rPr>
  </w:style>
  <w:style w:type="character" w:customStyle="1" w:styleId="WW8Num3z0">
    <w:name w:val="WW8Num3z0"/>
    <w:rPr>
      <w:rFonts w:ascii="Times New Roman" w:hAnsi="Times New Roman" w:cs="Times New Roman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cs="Times New Roman"/>
    </w:rPr>
  </w:style>
  <w:style w:type="character" w:customStyle="1" w:styleId="WW8Num7z0">
    <w:name w:val="WW8Num7z0"/>
    <w:rPr>
      <w:rFonts w:ascii="Times New Roman" w:hAnsi="Times New Roman" w:cs="Times New Roman" w:hint="default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Policepardfaut">
    <w:name w:val="Police par défaut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olicepardfaut2">
    <w:name w:val="Police par défaut2"/>
  </w:style>
  <w:style w:type="character" w:customStyle="1" w:styleId="WW8Num10z0">
    <w:name w:val="WW8Num10z0"/>
    <w:rPr>
      <w:rFonts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Policepardfaut1">
    <w:name w:val="Police par défaut1"/>
  </w:style>
  <w:style w:type="character" w:customStyle="1" w:styleId="En-tteCar">
    <w:name w:val="En-tête Car"/>
    <w:rPr>
      <w:rFonts w:eastAsia="Calibri"/>
    </w:rPr>
  </w:style>
  <w:style w:type="character" w:customStyle="1" w:styleId="PieddepageCar">
    <w:name w:val="Pied de page Car"/>
    <w:rPr>
      <w:rFonts w:eastAsia="Calibri"/>
    </w:rPr>
  </w:style>
  <w:style w:type="character" w:customStyle="1" w:styleId="TextedebullesCar">
    <w:name w:val="Texte de bulles Car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0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sz w:val="20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Times New Roman" w:hAnsi="Times New Roman" w:cs="Times New Roman"/>
      <w:sz w:val="20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Times New Roman" w:hAnsi="Times New Roman" w:cs="Times New Roman"/>
      <w:sz w:val="20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Times New Roman" w:hAnsi="Times New Roman" w:cs="Times New Roman"/>
      <w:sz w:val="20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hAnsi="Times New Roman" w:cs="Times New Roman"/>
      <w:sz w:val="20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Times New Roman" w:hAnsi="Times New Roman" w:cs="Times New Roman"/>
      <w:sz w:val="20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Times New Roman" w:hAnsi="Times New Roman" w:cs="Times New Roman"/>
      <w:sz w:val="20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orpsdetexteCar">
    <w:name w:val="Corps de texte Car"/>
    <w:rPr>
      <w:rFonts w:ascii="Calibri" w:eastAsia="Times New Roman" w:hAnsi="Calibri" w:cs="Calibri"/>
      <w:lang w:eastAsia="zh-CN"/>
    </w:rPr>
  </w:style>
  <w:style w:type="character" w:customStyle="1" w:styleId="En-tteCar1">
    <w:name w:val="En-tête Car1"/>
    <w:rPr>
      <w:rFonts w:ascii="Calibri" w:eastAsia="Calibri" w:hAnsi="Calibri" w:cs="Calibri"/>
      <w:lang w:eastAsia="zh-CN"/>
    </w:rPr>
  </w:style>
  <w:style w:type="character" w:customStyle="1" w:styleId="PieddepageCar1">
    <w:name w:val="Pied de page Car1"/>
    <w:rPr>
      <w:rFonts w:ascii="Calibri" w:eastAsia="Calibri" w:hAnsi="Calibri" w:cs="Calibri"/>
      <w:lang w:eastAsia="zh-CN"/>
    </w:rPr>
  </w:style>
  <w:style w:type="character" w:customStyle="1" w:styleId="TextedebullesCar1">
    <w:name w:val="Texte de bulles Car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ListLabel100">
    <w:name w:val="ListLabel 100"/>
    <w:rPr>
      <w:rFonts w:cs="Times New Roman"/>
      <w:sz w:val="20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sz w:val="20"/>
    </w:rPr>
  </w:style>
  <w:style w:type="character" w:customStyle="1" w:styleId="ListLabel110">
    <w:name w:val="ListLabel 110"/>
    <w:rPr>
      <w:sz w:val="20"/>
    </w:rPr>
  </w:style>
  <w:style w:type="character" w:customStyle="1" w:styleId="ListLabel111">
    <w:name w:val="ListLabel 111"/>
    <w:rPr>
      <w:sz w:val="20"/>
    </w:rPr>
  </w:style>
  <w:style w:type="character" w:customStyle="1" w:styleId="ListLabel112">
    <w:name w:val="ListLabel 112"/>
    <w:rPr>
      <w:sz w:val="20"/>
    </w:rPr>
  </w:style>
  <w:style w:type="character" w:customStyle="1" w:styleId="ListLabel113">
    <w:name w:val="ListLabel 113"/>
    <w:rPr>
      <w:rFonts w:cs="Times New Roman"/>
      <w:sz w:val="20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sz w:val="20"/>
    </w:rPr>
  </w:style>
  <w:style w:type="character" w:customStyle="1" w:styleId="ListLabel123">
    <w:name w:val="ListLabel 123"/>
    <w:rPr>
      <w:sz w:val="20"/>
    </w:rPr>
  </w:style>
  <w:style w:type="character" w:customStyle="1" w:styleId="ListLabel124">
    <w:name w:val="ListLabel 124"/>
    <w:rPr>
      <w:sz w:val="20"/>
    </w:rPr>
  </w:style>
  <w:style w:type="character" w:customStyle="1" w:styleId="ListLabel125">
    <w:name w:val="ListLabel 125"/>
    <w:rPr>
      <w:sz w:val="20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PrformatHTMLCar">
    <w:name w:val="Préformaté HTML Car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Titre">
    <w:name w:val="Titre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2">
    <w:name w:val="Titre2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  <w:rPr>
      <w:rFonts w:eastAsia="Calibri"/>
    </w:rPr>
  </w:style>
  <w:style w:type="paragraph" w:customStyle="1" w:styleId="Paragraphedeliste">
    <w:name w:val="Paragraphe de liste"/>
    <w:basedOn w:val="Normal"/>
    <w:pPr>
      <w:ind w:left="720"/>
      <w:contextualSpacing/>
    </w:pPr>
    <w:rPr>
      <w:rFonts w:eastAsia="Calibri"/>
    </w:rPr>
  </w:style>
  <w:style w:type="paragraph" w:customStyle="1" w:styleId="Textedebulles">
    <w:name w:val="Texte de bulles"/>
    <w:basedOn w:val="Normal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Default">
    <w:name w:val="Default"/>
    <w:pPr>
      <w:widowControl w:val="0"/>
      <w:suppressAutoHyphens/>
    </w:pPr>
    <w:rPr>
      <w:rFonts w:ascii="Times LT Std" w:eastAsia="NSimSun" w:hAnsi="Times LT Std" w:cs="Lucida Sans"/>
      <w:color w:val="000000"/>
      <w:kern w:val="2"/>
      <w:sz w:val="24"/>
      <w:szCs w:val="24"/>
      <w:lang w:val="hu-HU" w:eastAsia="zh-CN"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eastAsia="Segoe UI" w:hAnsi="Calibri" w:cs="Calibri"/>
      <w:kern w:val="2"/>
      <w:sz w:val="22"/>
      <w:szCs w:val="22"/>
      <w:lang w:val="hu-HU" w:eastAsia="zh-CN" w:bidi="ar-SA"/>
    </w:rPr>
  </w:style>
  <w:style w:type="paragraph" w:customStyle="1" w:styleId="TableGrid1">
    <w:name w:val="Table Grid1"/>
    <w:basedOn w:val="DocumentMap"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NSignatureGauche">
    <w:name w:val="SNSignatureGauche"/>
    <w:basedOn w:val="Normal"/>
    <w:pPr>
      <w:spacing w:before="120" w:after="1680"/>
      <w:ind w:left="720" w:right="-6" w:firstLine="1080"/>
      <w:jc w:val="right"/>
    </w:pPr>
    <w:rPr>
      <w:rFonts w:cs="Times New Roman"/>
      <w:sz w:val="24"/>
      <w:szCs w:val="24"/>
    </w:rPr>
  </w:style>
  <w:style w:type="paragraph" w:customStyle="1" w:styleId="Rvision">
    <w:name w:val="Révision"/>
    <w:pPr>
      <w:suppressAutoHyphens/>
    </w:pPr>
    <w:rPr>
      <w:rFonts w:ascii="Calibri" w:hAnsi="Calibri" w:cs="Calibri"/>
      <w:kern w:val="2"/>
      <w:sz w:val="22"/>
      <w:szCs w:val="22"/>
      <w:lang w:val="hu-HU" w:eastAsia="zh-CN" w:bidi="ar-S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2060</Words>
  <Characters>11745</Characters>
  <Application>Microsoft Office Word</Application>
  <DocSecurity>0</DocSecurity>
  <Lines>97</Lines>
  <Paragraphs>27</Paragraphs>
  <ScaleCrop>false</ScaleCrop>
  <Company>Microsoft</Company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officiel de la République française - N° 35 du 11 février 2020</dc:title>
  <dc:subject>Lois et décrets</dc:subject>
  <dc:creator>BARRAUD Flavien</dc:creator>
  <cp:keywords>ISSN:0373-0425</cp:keywords>
  <cp:lastModifiedBy>Ke, Tingting</cp:lastModifiedBy>
  <cp:revision>4</cp:revision>
  <cp:lastPrinted>1899-12-31T16:00:00Z</cp:lastPrinted>
  <dcterms:created xsi:type="dcterms:W3CDTF">2020-07-22T01:04:00Z</dcterms:created>
  <dcterms:modified xsi:type="dcterms:W3CDTF">2020-07-22T04:15:00Z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Fri Mar 20 10:24:27 CET 2020</vt:lpwstr>
  </property>
  <property fmtid="{D5CDD505-2E9C-101B-9397-08002B2CF9AE}" pid="3" name="jforVersion">
    <vt:lpwstr>jfor V0.7.2rc1 - see http://www.jfor.org</vt:lpwstr>
  </property>
</Properties>
</file>