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49" w:rsidRPr="00817DDD" w:rsidRDefault="00C75D49" w:rsidP="00C75D49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0473 F-- MT- ------ 20200729 --- --- PROJET</w:t>
      </w:r>
    </w:p>
    <w:p w:rsidR="004A1972" w:rsidRDefault="00294EF2" w:rsidP="00C75D49">
      <w:pPr>
        <w:autoSpaceDE w:val="0"/>
        <w:spacing w:after="0" w:line="240" w:lineRule="auto"/>
        <w:jc w:val="right"/>
      </w:pPr>
      <w:r>
        <w:rPr>
          <w:color w:val="000000"/>
          <w:sz w:val="24"/>
          <w:szCs w:val="24"/>
          <w:rFonts w:ascii="Times New Roman" w:hAnsi="Times New Roman"/>
        </w:rPr>
        <w:t xml:space="preserve">XXXX 2020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Ordni ta’ XXXX dwar il-kriterji, is-sottokriterji u s-sistema ta’ għoti ta’ marki għall-kalkolu u l-wiri tal-indiċi tar-riparabilità ta’ televiżjonijiet.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color w:val="000000"/>
          <w:sz w:val="24"/>
          <w:szCs w:val="24"/>
          <w:rFonts w:ascii="Times New Roman" w:hAnsi="Times New Roman"/>
        </w:rPr>
        <w:t xml:space="preserve">NOR:</w:t>
      </w:r>
      <w:r>
        <w:rPr>
          <w:color w:val="000000"/>
          <w:sz w:val="24"/>
          <w:szCs w:val="24"/>
          <w:rFonts w:ascii="Times New Roman" w:hAnsi="Times New Roman"/>
        </w:rPr>
        <w:t xml:space="preserve"> </w:t>
      </w:r>
      <w:r>
        <w:rPr>
          <w:color w:val="000000"/>
          <w:sz w:val="24"/>
          <w:szCs w:val="24"/>
          <w:rFonts w:ascii="Times New Roman" w:hAnsi="Times New Roman"/>
        </w:rPr>
        <w:t xml:space="preserve">XXXXX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Il-Ministru għat-Tranżizzjoni Ekoloġika u l-Ministru għall-Ekonomija u l-Finanzi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FE0B04" w:rsidRDefault="00294EF2" w:rsidP="00C75D49">
      <w:pPr>
        <w:autoSpaceDE w:val="0"/>
        <w:spacing w:after="0" w:line="240" w:lineRule="auto"/>
        <w:jc w:val="both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Wara li kkunsidraw ir-Regolament (UE) 2019/2021 tal-Kummissjoni tal-1 ta’ Ottubru 2019 li jistabbilixxi rekwiżiti tal-ekodisinn għall-unitajiet tal-wiri elettroniċi skont id-Direttiva 2009/125/KE tal-Parlament Ewropew u tal-Kunsill, li jemenda r-Regolament tal-Kummissjoni (KE) Nru 1275/2008 u li jħassar ir-Regolament tal-Kummissjoni (KE) Nru 642/2009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Wara li kkunsidraw il-Kodiċi tal-Ambjent, b’mod partikolari l-Artikolu L. 541-9-2 tiegħu;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Wara li kkunsidraw id-Digriet Nru XXX ta’ XXXX dwar il-modi ta’ applikazzjoni tal-indiċi tar-riparabilità għall-prodotti elettriċi u elettroniċi, għall-kriterji u l-metodu ta’ kalkolu tiegħu;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474213" w:rsidRDefault="00294EF2" w:rsidP="00C75D49">
      <w:pPr>
        <w:keepNext/>
        <w:keepLines/>
        <w:autoSpaceDE w:val="0"/>
        <w:spacing w:after="0" w:line="240" w:lineRule="auto"/>
        <w:rPr>
          <w:b/>
          <w:bCs/>
          <w:color w:val="000000"/>
          <w:sz w:val="24"/>
          <w:szCs w:val="24"/>
          <w:rFonts w:ascii="Times New Roman" w:hAnsi="Times New Roman" w:cs="Times New Roman"/>
        </w:rPr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Artikolu 1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Din l-Ordni tapplika għatteleviżjonijiet li jaqgħu fil-kamp ta’ applikazzjoni tar-Regolament tal-1 ta’ Ottubru 2019 msemmi hawn fuq.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294EF2" w:rsidP="00C75D49">
      <w:pPr>
        <w:keepNext/>
        <w:keepLines/>
        <w:autoSpaceDE w:val="0"/>
        <w:spacing w:after="0" w:line="240" w:lineRule="auto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Artikolu 2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Il-kriterji, is-sottokriterji u s-sistema ta’ għoti ta’ marki applikabbli għall-prodotti ddefiniti fl-Artikolu 1 għall-kalkolu tal-indiċi tar-riparabilità huma speċifikati hawn taħt:</w:t>
      </w: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1A0D10" w:rsidRDefault="00294EF2" w:rsidP="00C75D49">
      <w:pPr>
        <w:keepNext/>
        <w:keepLines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KRITERJU NRU 1 – DOKUMENTAZZJONI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Sottokriterju 1.1.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L-impenn tal-prodottur fir-rigward tal-perjodu tad-disponibilità mingħajr ħlas tad-dokumentazzjoni teknika u dik dwar il-pariri dwar l-użu u l-manutenzjoni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63"/>
        <w:gridCol w:w="552"/>
        <w:gridCol w:w="552"/>
        <w:gridCol w:w="551"/>
        <w:gridCol w:w="553"/>
        <w:gridCol w:w="551"/>
        <w:gridCol w:w="551"/>
        <w:gridCol w:w="551"/>
        <w:gridCol w:w="551"/>
        <w:gridCol w:w="551"/>
        <w:gridCol w:w="551"/>
        <w:gridCol w:w="551"/>
        <w:gridCol w:w="548"/>
      </w:tblGrid>
      <w:tr w:rsidR="004A1972" w:rsidRPr="004B6AF5" w:rsidTr="005A33D1">
        <w:tc>
          <w:tcPr>
            <w:tcW w:w="1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Produttur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Sewwejja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Ċ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Konsumaturi</w:t>
            </w:r>
          </w:p>
        </w:tc>
      </w:tr>
      <w:tr w:rsidR="004A1972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Snin ta’ disponibilità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Snin ta’ disponibilità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Snin ta’ disponibilità</w:t>
            </w:r>
          </w:p>
        </w:tc>
      </w:tr>
      <w:tr w:rsidR="005A33D1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sa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sa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sa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aktar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sa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sa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sa 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aktar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sa 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sa 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sa 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aktar</w:t>
            </w:r>
          </w:p>
        </w:tc>
      </w:tr>
      <w:tr w:rsidR="004A1972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Tip ta’ dokumentazzjoni</w:t>
            </w:r>
          </w:p>
        </w:tc>
        <w:tc>
          <w:tcPr>
            <w:tcW w:w="11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1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Identifikazzjoni tal-prodott mingħajr ambigwità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Skema taż-żarmar jew dehra mkabbra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Skemi tal-kejbils u tal-konnessjonijiet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Skemi tal-bords elettroniċi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Lista tal-materjal ta’ tiswija u tat-test meħtieġ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Manwal tekniku tal-istruzzjonijiet dwar it-tiswija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Kodiċi tal-iżbalji u tad-dijanjostika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Informazzjoni dwar il-komponenti u d-dijanjostika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Istruzzjonijiet dwar is-software (li jinkludu r-risettjar)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Aċċess għall-inċidenti indikati u rreġistrati fit-tagħmir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Bullettini tekniċi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Qafas speċifiku għat-tiswija mill-konsumatur stess (operazzjonijiet rakkomandati, istruzzjonijiet dwar is-sigurtà u t-tiswija, riperkussjonijiet possibbli fuq il-garanzija)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Informazzjoni dwar l-aċċess għas-sewwejja professjonali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Detezzjoni tal-ħsarat u azzjonijiet meħtieġa (approċċ tal-pubbliku ġenerali)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Pariri dwar l-użu u l-manutenzjoni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In-numru massimu ta’ punti huwa 407.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miksuba/407)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KRITERJU NRU 2 – KAPAĊITÀ TAŻ-ŻARMAR U AĊĊESS, GĦODOD, IRBIT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Sottokriterju 2.1.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Kemm hu faċli li jiżżarmaw il-parts (lista 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passi għall-aċċess unitarju għall-part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MJ/MA (1) jew 4 jew iktar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Parts tal-lista 2 (parts esterni)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Kontroll mill-bogħod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Sorsi ta’ elettriku esterni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1972" w:rsidRDefault="004A1972" w:rsidP="00C75D49">
      <w:pPr>
        <w:rPr>
          <w:rFonts w:ascii="Times New Roman" w:hAnsi="Times New Roman" w:cs="Times New Roman"/>
          <w:color w:val="000000"/>
          <w:sz w:val="2"/>
          <w:szCs w:val="20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passi għall-aċċess unitarju għall-part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MJ/MA (1) jew 12 jew iktar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10 sa 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8 sa 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sa 7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Parts tal-lista 2 (parts interni)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Sorsi ta’ elettriku interni (3)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Bord prinċipali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Pannella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MJ/MA = ma jiżżarmax jew mhux aċċessibbli b’mod unitarju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Huwa biżżejjed li tneħħi l-batterij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Ikun ikkulurit bil-griż f’każ ta’ sorsi ta’ elettriku esterni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F’każ ta’ sorsi ta’ elettriku interni, in-numru massimu ta’ punti huwa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miksuba/12)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F’każ ta’ sorsi ta’ elettriku esterni, in-numru massimu ta’ punti huwa 9.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miksuba/9)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Sottokriterju 2.2.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Għodod meħtieġa biex jiżżarmaw il-parts (lista 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16"/>
        <w:gridCol w:w="1665"/>
        <w:gridCol w:w="1665"/>
        <w:gridCol w:w="1665"/>
        <w:gridCol w:w="1665"/>
      </w:tblGrid>
      <w:tr w:rsidR="004A1972" w:rsidRPr="004B6AF5" w:rsidTr="00C75D49"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Tipi ta’ għodod</w:t>
            </w:r>
          </w:p>
        </w:tc>
      </w:tr>
      <w:tr w:rsidR="004A1972" w:rsidRPr="004B6AF5" w:rsidTr="005A33D1"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MJ/MA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Għodod proprjetarji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Għodod speċifiċi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Mingħajr għodda, għodod komuni (4)</w:t>
            </w:r>
          </w:p>
        </w:tc>
      </w:tr>
      <w:tr w:rsidR="004A1972" w:rsidRPr="004B6AF5" w:rsidTr="00C75D49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Parts tal-lista 2</w:t>
            </w: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 (5)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Kontroll mill-bogħod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Sorsi ta’ elettriku esterni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14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Sorsi ta’ elettriku interni (3)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Bord prinċipali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Pannella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Bil-griż f’każ ta’ sorsi ta’ elettriku esterni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jew għodda fornuta mal-part ta’ sostituzzjoni jew mal-prodott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tittieħed l-agħar marka jekk huma involuti bosta għodod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F’każ ta’ sorsi ta’ elettriku interni, in-numru massimu ta’ punti huwa 16.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miksuba/16) x 10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F’każ ta’ sorsi ta’ elettriku esterni, in-numru massimu ta’ punti huwa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miksuba/12)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Sottokriterju 2.3.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Karatteristiċi tal-irbit (għall-assemblaġġ tal-parts tal-listi 1 u 2)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600"/>
        <w:gridCol w:w="1600"/>
        <w:gridCol w:w="1600"/>
      </w:tblGrid>
      <w:tr w:rsidR="004A1972" w:rsidRPr="004B6AF5" w:rsidTr="00C75D49"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Tip ta’ rbit</w:t>
            </w:r>
          </w:p>
        </w:tc>
      </w:tr>
      <w:tr w:rsidR="004A1972" w:rsidRPr="004B6AF5" w:rsidTr="005A33D1">
        <w:tc>
          <w:tcPr>
            <w:tcW w:w="2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Ma jistax jitneħħa, ma jerġax jintuża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Jista’ jitneħħa, ma jerġax jintuża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Jista’ jitneħħa u jerġa’ jintuża (3)</w:t>
            </w:r>
          </w:p>
        </w:tc>
      </w:tr>
      <w:tr w:rsidR="004A1972" w:rsidRPr="004B6AF5" w:rsidTr="00C75D49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Parts tal-lista 1 jew tal-lista 2</w:t>
            </w: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 (4)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Kaver ta’ wara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Modulu tal-Wi-Fi (5)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Modulu tal-Bluetooth (6)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Riċettur tal-infraaħmar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Spikers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Konnessjonijiet (7)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Kontroll mill-bogħod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Sorsi ta’ elettriku interni (8)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Sorsi ta’ elettriku esterni (9)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Bord prinċipali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Pannella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jew irbit fornut mal-part ta’ sostituzzjoni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tittieħed l-agħar marka jekk huma involuti bosta elementi tal-irbit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Bil-griż f’każ ta’ nuqqas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Bil-griż f’każ ta’ nuqqas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biex jitqabbad it-tagħmir estern (kejbil, antenna, USB, DVD u Blu-Ray)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Bil-griż f’każ ta’ sorsi ta’ elettriku esterni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Bil-griż f’każ ta’ sorsi ta’ elettriku interni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In-numru massimu ta’ punti huwa 20.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miksuba/20)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KRITERJU NRU 3 – ID-DISPONIBILITÀ TAL-PARTS TAL-BDIL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Sottokriterju 3.1.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L-impenn tal-produttur fir-rigward tal-perjodu ta’ disponibilità tal-parts tal-lista 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Produttur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Distributuri tal-parts tal-bdil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Ċ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Sewwejja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Konsumaturi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Snin ta’ disponibilità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Snin ta’ disponibilità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Snin ta’ disponibilità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Snin ta’ disponibilità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sa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sa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sa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aktar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sa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sa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sa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aktar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sa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sa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sa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aktar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sa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sa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sa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aktar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Parts tal-lista 2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Kontroll mill-bogħod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Sorsi ta’ elettriku interni (1)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Sorsi ta’ elettriku esterni (2)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Bord prinċipali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Pannella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Bil-griż f’każ ta’ sorsi ta’ elettriku esterni</w:t>
      </w:r>
    </w:p>
    <w:p w:rsidR="004A1972" w:rsidRP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Bil-griż f’każ ta’ sorsi ta’ elettriku interni</w:t>
      </w:r>
    </w:p>
    <w:p w:rsidR="004B6AF5" w:rsidRDefault="00294EF2" w:rsidP="004B6AF5">
      <w:pPr>
        <w:jc w:val="both"/>
        <w:rPr>
          <w:color w:val="000000"/>
          <w:sz w:val="20"/>
          <w:szCs w:val="20"/>
          <w:rFonts w:ascii="Times New Roman" w:hAnsi="Times New Roman" w:cs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In-numru massimu ta’ punti huwa 176.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miksuba/176) x 10</w:t>
      </w:r>
    </w:p>
    <w:p w:rsidR="004A1972" w:rsidRDefault="00294EF2" w:rsidP="004B6AF5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Sottokriterju 3.2.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L-impenn tal-produttur fir-rigward tal-perjodu ta’ disponibilità tal-parts tal-lista 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Produttur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Distributuri tal-parts tal-bdil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Ċ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Sewwejja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Konsumaturi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Snin ta’ disponibilità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Snin ta’ disponibilità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Snin ta’ disponibilità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Snin ta’ disponibilità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sa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sa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sa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aktar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sa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sa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sa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aktar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sa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sa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sa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aktar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 sa 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 sa 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 sa 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aktar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Parts tal-lista 1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Kaver ta’ wara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Modulu tal-Wi-Fi (3)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Modulu tal-Bluetooth (4)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Riċettur tal-infraaħmar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Spikers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Konnessjonijiet (5)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C75D49" w:rsidRDefault="00C75D49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Bil-griż f’każ ta’ nuqqas</w:t>
      </w:r>
    </w:p>
    <w:p w:rsidR="00C75D49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Bil-griż f’każ ta’ nuqqas</w:t>
      </w:r>
    </w:p>
    <w:p w:rsidR="004A1972" w:rsidRPr="004B6AF5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biex jitqabbad it-tagħmir estern (kejbil, antenna, USB, DVD u Blu-Ray)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In-numru massimu ta’ punti huwa 264.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miksuba/264) x 10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Sottokriterju 3.3.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Iż-żmien tal-kunsinna tal-parts tal-lista 2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Produttur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Distributuri tal-parts tal-bdil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Ċ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Sewwejja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Konsumaturi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Ġranet ta’ kunsinna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Ġranet ta’ kunsinna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Ġranet ta’ kunsinna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Ġranet ta’ kunsinna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iżjed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sa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sa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sa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iżjed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sa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sa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sa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iżjed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sa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sa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sa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iżjed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sa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sa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sa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Parts tal-lista 2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Kontroll mill-bogħod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Sorsi ta’ elettriku interni (2)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Sorsi ta’ elettriku esterni (3)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Bord prinċipali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Pannella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ġranet tax-xogħol minn dakinhar tal-ordni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Bil-griż f’każ ta’ sorsi ta’ elettriku esterni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Bil-griż f’każ ta’ sorsi ta’ elettriku interni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In-numru massimu ta’ punti huwa 48.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miksuba/48)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Sottokriterju 3.4.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Iż-żmien tal-kunsinna tal-parts tal-lista 1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A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Produttur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B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Distributuri tal-parts tal-bdil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Ċ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Sewwejja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D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Konsumaturi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Ġranet ta’ kunsinna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Ġranet ta’ kunsinna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Ġranet ta’ kunsinna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Ġranet ta’ kunsinna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iżjed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sa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sa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sa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iżjed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sa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sa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sa 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iżjed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sa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sa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sa 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jew iżjed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 sa 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 sa 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 sa 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parts tal-lista 1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Kaver ta’ wara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Modulu tal-Wi-Fi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Modulu tal-Bluetooth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Riċettur tal-infraaħmar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Spikers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Konnessjonijiet (2)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ġranet tax-xogħol minn dakinhar tal-ordni</w:t>
      </w:r>
    </w:p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biex jitqabbad it-tagħmir estern (kejbil, antenna, USB, DVD u Blu-Ray)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In-numru massimu ta’ punti huwa 72.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miksuba/72)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KRITERJU NRU 4 – IL-PREZZ TAL-PARTS TAL-BDIL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Sottokriterju 4.1.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Il-proporzjon tal-prezz tal-parts tal-lista 2 mal-prezz ta’ prodott ġdid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Abbażi tal-proporzjon deskritt fl-Ordni ta’ XXXX dwar il-modi għall-wiri, is-sinjalar u l-parametri ġenerali għall-kalkolu tal-indiċi tar-riparabilità, in-numru ta’ punti miksuba għal dan il-kriterju huwa ddeterminat bil-mod li ġej: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- jekk ir-riżultat tal-proporzjon huwa ogħla minn 0.3, in-numru ta’ punti huwa 0;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- jekk ir-riżultat tal-proporzjon huwa inqas minn 0.1, in-numru ta’ punti huwa 100;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- jekk ir-riżultat tal-proporzjon huwa bejn 0.1 u 0.3, in-numru ta’ punti jiġi ddeterminat skont it-tabella ta’ korrispondenza li ġejja: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5"/>
        <w:gridCol w:w="387"/>
        <w:gridCol w:w="429"/>
        <w:gridCol w:w="430"/>
        <w:gridCol w:w="430"/>
        <w:gridCol w:w="430"/>
        <w:gridCol w:w="430"/>
        <w:gridCol w:w="430"/>
        <w:gridCol w:w="430"/>
        <w:gridCol w:w="429"/>
        <w:gridCol w:w="429"/>
        <w:gridCol w:w="34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53"/>
      </w:tblGrid>
      <w:tr w:rsidR="004A1972" w:rsidTr="001E034C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Proporzjon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0.19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0.29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0.3</w:t>
            </w:r>
          </w:p>
        </w:tc>
      </w:tr>
      <w:tr w:rsidR="004A1972" w:rsidTr="001E034C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Punti</w:t>
            </w: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 </w:t>
            </w: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</w:t>
            </w: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</w:t>
            </w:r>
          </w:p>
        </w:tc>
      </w:tr>
    </w:tbl>
    <w:p w:rsidR="004A1972" w:rsidRDefault="004A1972" w:rsidP="00C75D49">
      <w:pPr>
        <w:jc w:val="both"/>
      </w:pPr>
    </w:p>
    <w:p w:rsidR="004A1972" w:rsidRDefault="00294EF2" w:rsidP="004B6AF5">
      <w:pPr>
        <w:keepNext/>
        <w:keepLines/>
        <w:contextualSpacing/>
        <w:jc w:val="both"/>
      </w:pPr>
      <w:r>
        <w:rPr>
          <w:color w:val="000000"/>
          <w:rFonts w:ascii="Times New Roman" w:hAnsi="Times New Roman"/>
        </w:rPr>
        <w:t xml:space="preserve">Ir-regola tat-tqarrib hija li ġejja:</w:t>
      </w:r>
      <w:r>
        <w:rPr>
          <w:color w:val="000000"/>
          <w:rFonts w:ascii="Times New Roman" w:hAnsi="Times New Roman"/>
        </w:rPr>
        <w:t xml:space="preserve"> 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- Jekk iċ-ċifra wara t-tielet deċimali tkun inqas minn 5, tiġi mqarrba għat-tieni deċimali l-baxx.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- Jekk iċ-ċifra wara t-tielet deċimali tkun 5 jew iktar, tiġi mqarrba għat-tieni deċimali l-għoli</w:t>
      </w:r>
    </w:p>
    <w:p w:rsidR="004A1972" w:rsidRDefault="00294EF2" w:rsidP="004B6AF5">
      <w:pPr>
        <w:jc w:val="both"/>
      </w:pPr>
      <w:r>
        <w:rPr>
          <w:color w:val="000000"/>
          <w:sz w:val="21"/>
          <w:szCs w:val="21"/>
          <w:rFonts w:ascii="Times New Roman" w:hAnsi="Times New Roman"/>
        </w:rPr>
        <w:t xml:space="preserve">In-numru massimu ta’ punti huwa 100.</w:t>
      </w:r>
      <w:r>
        <w:rPr>
          <w:color w:val="000000"/>
          <w:sz w:val="21"/>
          <w:szCs w:val="21"/>
          <w:rFonts w:ascii="Times New Roman" w:hAnsi="Times New Roman"/>
        </w:rPr>
        <w:t xml:space="preserve"> </w:t>
      </w:r>
      <w:r>
        <w:rPr>
          <w:color w:val="000000"/>
          <w:sz w:val="21"/>
          <w:szCs w:val="21"/>
          <w:rFonts w:ascii="Times New Roman" w:hAnsi="Times New Roman"/>
        </w:rPr>
        <w:t xml:space="preserve">Marka għal dan is-sottokriterju = (numru ta’ punti miksuba/100)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KRITERJU NRU 5 – KRITERJU SPEĊIFIKU</w:t>
      </w:r>
      <w:r>
        <w:rPr>
          <w:color w:val="00000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Għall-prodotti inkwistjoni f’din l-Ordni, il-koeffiċjenti tas-sottokriterju 5 huma ddefiniti bil-mod li ġej: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2"/>
        <w:gridCol w:w="3709"/>
        <w:gridCol w:w="1091"/>
        <w:gridCol w:w="1039"/>
        <w:gridCol w:w="1061"/>
        <w:gridCol w:w="1054"/>
      </w:tblGrid>
      <w:tr w:rsidR="004A1972" w:rsidRPr="004B6AF5" w:rsidTr="005A33D1">
        <w:tc>
          <w:tcPr>
            <w:tcW w:w="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Kriterju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Sottokriterju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Marka tas-sottokriterju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Koeffiċjent tas-sottokriterju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Marka tal-kriterju</w:t>
            </w:r>
          </w:p>
        </w:tc>
        <w:tc>
          <w:tcPr>
            <w:tcW w:w="5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Koeffiċjent tal-kriterju</w:t>
            </w:r>
          </w:p>
        </w:tc>
      </w:tr>
      <w:tr w:rsidR="004A1972" w:rsidRPr="004B6AF5" w:rsidTr="005A33D1">
        <w:tc>
          <w:tcPr>
            <w:tcW w:w="75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5.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Kriterju speċifiku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5.1.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Aċċessibilità tal-arloġġ tal-użu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6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▀▀/20</w:t>
            </w:r>
          </w:p>
        </w:tc>
        <w:tc>
          <w:tcPr>
            <w:tcW w:w="562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5.2.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Għajnuna mill-bogħod mingħajr ħlas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0.5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5.3.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Possibilità ta’ risettjar tas-software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0.5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5D49" w:rsidRDefault="00C75D49" w:rsidP="00C75D49">
      <w:pPr>
        <w:rPr>
          <w:rFonts w:ascii="Times New Roman" w:hAnsi="Times New Roman" w:cs="Times New Roman"/>
          <w:color w:val="000000"/>
        </w:rPr>
      </w:pP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Sottokriterju 5.1.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Aċċessibilità tal-arloġġ tal-użu</w:t>
      </w:r>
      <w:r>
        <w:rPr>
          <w:color w:val="000000"/>
          <w:rFonts w:ascii="Times New Roman" w:hAnsi="Times New Roman"/>
        </w:rPr>
        <w:t xml:space="preserve"> </w:t>
      </w:r>
    </w:p>
    <w:p w:rsidR="004A1972" w:rsidRPr="000D3914" w:rsidRDefault="00294EF2" w:rsidP="00C75D49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Arloġġ tal-użu huwa displej għall-konsumatur li jirreġistra b’mod kumulattiv l-użu tal-prodott f’numru ta’ unitajiet.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L-unità kkunsidrata f’din l-Ordni hija n-numru ta’ sigħat ta’ tħaddim tal-pannella.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27"/>
        <w:gridCol w:w="1849"/>
        <w:gridCol w:w="1849"/>
        <w:gridCol w:w="1851"/>
      </w:tblGrid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Ċ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Konsumaturi</w:t>
            </w:r>
          </w:p>
        </w:tc>
      </w:tr>
      <w:tr w:rsidR="004A1972" w:rsidRPr="004B6AF5" w:rsidTr="00C75D49">
        <w:tc>
          <w:tcPr>
            <w:tcW w:w="2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Aċċessibilità tal-arloġġ tal-użu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Sitwazzjoni</w:t>
            </w:r>
          </w:p>
        </w:tc>
      </w:tr>
      <w:tr w:rsidR="004A1972" w:rsidRPr="004B6AF5" w:rsidTr="005A33D1">
        <w:tc>
          <w:tcPr>
            <w:tcW w:w="2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Nuqqas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Diffiċli taċċessah (1)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Viżibbli jew faċilment aċċessibbli (2)</w:t>
            </w:r>
          </w:p>
        </w:tc>
      </w:tr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</w:tr>
      <w:tr w:rsidR="004A1972" w:rsidRPr="004B6AF5" w:rsidTr="005A33D1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C75D49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il-konsumatur jieħu nota tal-valur muri mill-arloġġ tal-użu billi jikklikkja strettament iktar minn tliet darbiet.</w:t>
      </w:r>
    </w:p>
    <w:p w:rsidR="004A1972" w:rsidRPr="004B6AF5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il-konsumatur jieħu nota tal-valur muri mill-arloġġ tal-użu billi jikklikkja strettament tliet darbiet jew inqas.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In-numru massimu ta’ punti huwa 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Sottokriterju 5.2.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Għajnuna mill-bogħod mingħajr ħlas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1"/>
        <w:gridCol w:w="1293"/>
        <w:gridCol w:w="1270"/>
        <w:gridCol w:w="1316"/>
        <w:gridCol w:w="1292"/>
        <w:gridCol w:w="1292"/>
        <w:gridCol w:w="1292"/>
      </w:tblGrid>
      <w:tr w:rsidR="004A1972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B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Sewwejja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7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Ċ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Konsumaturi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Tip ta’ għajnuna mill-bogħod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Xejn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Informazzjoni aġġornata fuq is-sit web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Xejn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Informazzjoni mill-bogħod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Għajnuna dijanjostika mill-bogħod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Għajnuna għat-tiswija mill-bogħod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Default="00294EF2" w:rsidP="00C75D49">
      <w:pPr>
        <w:pStyle w:val="Paragraphedeliste"/>
        <w:ind w:left="450"/>
      </w:pPr>
      <w:r>
        <w:rPr>
          <w:color w:val="000000"/>
          <w:sz w:val="20"/>
          <w:szCs w:val="20"/>
          <w:rFonts w:ascii="Times New Roman" w:hAnsi="Times New Roman"/>
        </w:rPr>
        <w:t xml:space="preserve">In-numru massimu ta’ punti huwa 5.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miksuba/5)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Sottokriterju 5.3.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Possibilità ta’ risettjar tas-software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21"/>
        <w:gridCol w:w="1077"/>
        <w:gridCol w:w="1076"/>
        <w:gridCol w:w="1076"/>
        <w:gridCol w:w="1076"/>
        <w:gridCol w:w="1076"/>
        <w:gridCol w:w="1074"/>
      </w:tblGrid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A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Produttur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B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Sewwejja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Kolonna Ċ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Konsumaturi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Il-possibilità ta’ risettjar tas-software mingħajr ħlas u mingħajr restrizzjoni ta’ aċċess għas-servizzi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Impossibbli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Possibbli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Impossibbli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Possibbli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Impossibbli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Possibbli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Numru ta’ punti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Risettjar tas-sistema operattiva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Risettjar tal-firmware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In-numru massimu ta’ punti huwa 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Marka għal dan is-sottokriterju = (numru ta’ punti miksuba/6)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Il-Ministru għat-Tranżizzjoni Ekoloġika:</w:t>
      </w:r>
    </w:p>
    <w:p w:rsidR="004A1972" w:rsidRPr="00C75D49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Għall-Ministru u b’delega, il-Kummissarju Ġenerali għall-Iżvilupp Sostenibbli,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T. Lesueur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Il-Ministru għall-Ekonomija u l-Finanzi: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Għall-Ministru u b’delega, id-Direttriċi Ġenerali għall-Kompetizzjoni, il-Konsum u l-Prevenzjoni tal-Frodi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C75D49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V. Beaumeunier</w:t>
      </w:r>
    </w:p>
    <w:sectPr w:rsidR="004A1972" w:rsidRPr="00C75D49">
      <w:pgSz w:w="11906" w:h="16838"/>
      <w:pgMar w:top="1416" w:right="1133" w:bottom="1133" w:left="148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F9" w:rsidRDefault="00D465F9">
      <w:pPr>
        <w:spacing w:after="0" w:line="240" w:lineRule="auto"/>
      </w:pPr>
      <w:r>
        <w:separator/>
      </w:r>
    </w:p>
  </w:endnote>
  <w:endnote w:type="continuationSeparator" w:id="0">
    <w:p w:rsidR="00D465F9" w:rsidRDefault="00D4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F9" w:rsidRDefault="00D465F9">
      <w:pPr>
        <w:spacing w:after="0" w:line="240" w:lineRule="auto"/>
      </w:pPr>
      <w:r>
        <w:separator/>
      </w:r>
    </w:p>
  </w:footnote>
  <w:footnote w:type="continuationSeparator" w:id="0">
    <w:p w:rsidR="00D465F9" w:rsidRDefault="00D4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highlight w:val="darkYell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CA2336"/>
    <w:multiLevelType w:val="hybridMultilevel"/>
    <w:tmpl w:val="AC5A7054"/>
    <w:lvl w:ilvl="0" w:tplc="BCFA4E92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9C526F3"/>
    <w:multiLevelType w:val="hybridMultilevel"/>
    <w:tmpl w:val="FB70B6EA"/>
    <w:name w:val="WW8Num24"/>
    <w:lvl w:ilvl="0" w:tplc="4A3C44D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139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33AE54B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43D61F76"/>
    <w:multiLevelType w:val="hybridMultilevel"/>
    <w:tmpl w:val="3B4C5FCC"/>
    <w:name w:val="WW8Num23"/>
    <w:lvl w:ilvl="0" w:tplc="99C211F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703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5FAB713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685C5B18"/>
    <w:multiLevelType w:val="hybridMultilevel"/>
    <w:tmpl w:val="088AEBD2"/>
    <w:name w:val="WW8Num22"/>
    <w:lvl w:ilvl="0" w:tplc="D6AAFA52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0C8F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EF2"/>
    <w:rsid w:val="000D3914"/>
    <w:rsid w:val="001A0D10"/>
    <w:rsid w:val="001E034C"/>
    <w:rsid w:val="00294EF2"/>
    <w:rsid w:val="00330BFC"/>
    <w:rsid w:val="00355B57"/>
    <w:rsid w:val="00474213"/>
    <w:rsid w:val="004A1972"/>
    <w:rsid w:val="004B6AF5"/>
    <w:rsid w:val="005A33D1"/>
    <w:rsid w:val="00704354"/>
    <w:rsid w:val="00B3211D"/>
    <w:rsid w:val="00C5191A"/>
    <w:rsid w:val="00C75D49"/>
    <w:rsid w:val="00D465F9"/>
    <w:rsid w:val="00DD21EA"/>
    <w:rsid w:val="00E97009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FDE5743-163D-445D-9AAE-5055825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t-MT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mt-MT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">
    <w:name w:val="Police par défaut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val="mt-MT" w:eastAsia="zh-C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val="mt-MT" w:eastAsia="zh-CN" w:bidi="ar-SA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mt-MT" w:eastAsia="zh-CN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2060</Words>
  <Characters>11745</Characters>
  <Application>Microsoft Office Word</Application>
  <DocSecurity>0</DocSecurity>
  <Lines>97</Lines>
  <Paragraphs>27</Paragraphs>
  <ScaleCrop>false</ScaleCrop>
  <Company>Microsoft</Company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Ke, Tingting</cp:lastModifiedBy>
  <cp:revision>4</cp:revision>
  <cp:lastPrinted>1899-12-31T16:00:00Z</cp:lastPrinted>
  <dcterms:created xsi:type="dcterms:W3CDTF">2020-07-22T01:04:00Z</dcterms:created>
  <dcterms:modified xsi:type="dcterms:W3CDTF">2020-07-22T04:15:00Z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