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szCs w:val="20"/>
          <w:rFonts w:ascii="Courier New" w:hAnsi="Courier New" w:cs="Courier New"/>
        </w:rPr>
      </w:pPr>
      <w:r>
        <w:rPr>
          <w:szCs w:val="20"/>
          <w:rFonts w:ascii="Courier New" w:hAnsi="Courier New"/>
        </w:rPr>
        <w:t xml:space="preserve">1.</w:t>
      </w:r>
      <w:r>
        <w:rPr>
          <w:szCs w:val="20"/>
          <w:rFonts w:ascii="Courier New" w:hAnsi="Courier New"/>
        </w:rPr>
        <w:t xml:space="preserve"> </w:t>
      </w:r>
      <w:r>
        <w:rPr>
          <w:szCs w:val="20"/>
          <w:rFonts w:ascii="Courier New" w:hAnsi="Courier New"/>
        </w:rPr>
        <w:t xml:space="preserve">------IND- 2020 0609 DK-- RO-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szCs w:val="32"/>
        </w:rPr>
        <w:t xml:space="preserve">PROIECT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szCs w:val="32"/>
        </w:rPr>
        <w:t xml:space="preserve">Ordin privind interzicerea publicității și a plasării și expunerii vizibile etc. ale țigărilor electronice și ale flacoanelor de reumplere cu și fără nicotină</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rPr>
        <w:t xml:space="preserve">În temeiul articolului 18a alineatul (4) din Legea privind interzicerea țigărilor electronice etc., conform Legii nr. 426 din 18 mai 2016 privind țigările electronice etc., astfel cum a fost modificată prin articolul 2 din Legea nr. 1558 din 18 decembrie 2018 și prin articolul 3 din Legea nr. xx din xx 2020, se stabilesc următoarele: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1</w:t>
      </w:r>
    </w:p>
    <w:p w14:paraId="38A24641" w14:textId="77777777" w:rsidR="00BB6654" w:rsidRPr="00704E6A" w:rsidRDefault="00BB6654" w:rsidP="00704E6A">
      <w:pPr>
        <w:keepNext/>
        <w:keepLines/>
        <w:autoSpaceDE w:val="0"/>
        <w:autoSpaceDN w:val="0"/>
        <w:adjustRightInd w:val="0"/>
        <w:spacing w:after="0" w:line="240" w:lineRule="auto"/>
        <w:jc w:val="center"/>
        <w:rPr>
          <w:i/>
          <w:sz w:val="24"/>
          <w:szCs w:val="24"/>
          <w:rFonts w:eastAsia="TimesNewRomanPSMT" w:cstheme="minorHAnsi"/>
        </w:rPr>
      </w:pPr>
      <w:r>
        <w:rPr>
          <w:i/>
          <w:sz w:val="24"/>
          <w:szCs w:val="24"/>
        </w:rPr>
        <w:t xml:space="preserve">Definiții</w:t>
      </w:r>
    </w:p>
    <w:p w14:paraId="446E03A7"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Articolul 1</w:t>
      </w:r>
      <w:r>
        <w:rPr>
          <w:sz w:val="24"/>
          <w:szCs w:val="24"/>
          <w:b/>
          <w:bCs/>
        </w:rPr>
        <w:t xml:space="preserve"> </w:t>
      </w:r>
      <w:r>
        <w:rPr>
          <w:sz w:val="24"/>
          <w:szCs w:val="24"/>
        </w:rPr>
        <w:t xml:space="preserve">În sensul prezentului ordin, se aplică următoarele definiții:</w:t>
      </w:r>
    </w:p>
    <w:p w14:paraId="4B8F07EA" w14:textId="77777777" w:rsidR="00BB6654" w:rsidRPr="00D543FF"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„țigară electronică”</w:t>
      </w:r>
      <w:r>
        <w:rPr>
          <w:sz w:val="24"/>
          <w:szCs w:val="24"/>
        </w:rPr>
        <w:t xml:space="preserve"> </w:t>
      </w:r>
      <w:r>
        <w:rPr>
          <w:sz w:val="24"/>
          <w:szCs w:val="24"/>
        </w:rPr>
        <w:t xml:space="preserve">însemnă un produs care poate fi utilizat pentru consumul de vapori cu conținut de nicotină cu un muștiuc, sau orice component al unui astfel de produs, inclusiv un cartuș, un rezervor de reumplere și un dispozitiv fără cartuș sau rezervor de reumplere.</w:t>
      </w:r>
      <w:r>
        <w:rPr>
          <w:sz w:val="24"/>
          <w:szCs w:val="24"/>
        </w:rPr>
        <w:t xml:space="preserve"> </w:t>
      </w:r>
      <w:r>
        <w:rPr>
          <w:sz w:val="24"/>
          <w:szCs w:val="24"/>
        </w:rPr>
        <w:t xml:space="preserve">Țigările electronice pot fi de unică folosință sau reîncărcate prin intermediul unui flacon de reumplere și a unui rezervor de reumplere sau pot fi reîncărcate cu cartușe de unică folosință;</w:t>
      </w:r>
    </w:p>
    <w:p w14:paraId="492F8B93"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rPr>
        <w:t xml:space="preserve">2. „flacon de reumplere cu nicotină”</w:t>
      </w:r>
      <w:r>
        <w:rPr>
          <w:sz w:val="24"/>
          <w:szCs w:val="24"/>
        </w:rPr>
        <w:t xml:space="preserve"> </w:t>
      </w:r>
      <w:r>
        <w:rPr>
          <w:sz w:val="24"/>
          <w:szCs w:val="24"/>
        </w:rPr>
        <w:t xml:space="preserve">înseamnă un receptacul care conține un lichid cu conținut de nicotină, care poate fi utilizat pentru reumplerea unei țigări electronice cu nicotină;</w:t>
      </w:r>
    </w:p>
    <w:p w14:paraId="400A7200"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rPr>
        <w:t xml:space="preserve">3. „flacon de reumplere fără nicotină”</w:t>
      </w:r>
      <w:r>
        <w:rPr>
          <w:sz w:val="24"/>
          <w:szCs w:val="24"/>
        </w:rPr>
        <w:t xml:space="preserve"> </w:t>
      </w:r>
      <w:r>
        <w:rPr>
          <w:sz w:val="24"/>
          <w:szCs w:val="24"/>
        </w:rPr>
        <w:t xml:space="preserve">înseamnă un receptacul care conține un lichid fără conținut de nicotină, care poate fi utilizat pentru reumplerea unei țigări electronice fără nicotină.</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2</w:t>
      </w:r>
    </w:p>
    <w:p w14:paraId="7A51CD03" w14:textId="34822FC0"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Publicitatea</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b/>
          <w:bCs/>
        </w:rPr>
        <w:t xml:space="preserve">Articolul 2</w:t>
      </w:r>
      <w:r>
        <w:rPr>
          <w:sz w:val="24"/>
          <w:szCs w:val="24"/>
          <w:b/>
          <w:bCs/>
        </w:rPr>
        <w:t xml:space="preserve"> </w:t>
      </w:r>
      <w:r>
        <w:rPr>
          <w:sz w:val="24"/>
          <w:szCs w:val="24"/>
        </w:rPr>
        <w:t xml:space="preserve">Toate formele de publicitate pentru țigările electronice și flacoanele de reumplere cu și fără nicotină sunt interzise, în conformitate cu articolul 16 alineatul (1) din Legea privind țigările electronice etc.</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i/>
          <w:iCs/>
          <w:i/>
          <w:iCs/>
        </w:rPr>
        <w:t xml:space="preserve">(2)</w:t>
      </w:r>
      <w:r>
        <w:rPr>
          <w:sz w:val="24"/>
          <w:szCs w:val="24"/>
        </w:rPr>
        <w:t xml:space="preserve"> </w:t>
      </w:r>
      <w:r>
        <w:rPr>
          <w:sz w:val="24"/>
          <w:szCs w:val="24"/>
        </w:rPr>
        <w:t xml:space="preserve">Interdicția privind publicitatea prevăzută la alineatul (1) include interzicerea:</w:t>
      </w:r>
    </w:p>
    <w:p w14:paraId="12B97FB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utilizării unui nume, a unei mărci, a unui simbol sau a unei alte caracteristici asociate în principal țigărilor electronice și flacoanelor de reumplere, în anunțurile publicitare pentru alte produse și servicii;</w:t>
      </w:r>
    </w:p>
    <w:p w14:paraId="71659EAA"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2. comercializării țigărilor electronice și a flacoanelor de reumplere cu ajutorul unui nume, al unei mărci, al unui simbol sau al unei alte caracteristici asociate cu marca altor bunuri și servicii sau utilizate pentru aceasta;</w:t>
      </w:r>
    </w:p>
    <w:p w14:paraId="6284E46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3. comercializării țigărilor electronice și a flacoanelor de reumplere cu ajutorul unui nume, al unei mărci, al unui simbol sau al unei alte caracteristici sau similar, care se adresează în principal copiilor și tinerilor sub 18 ani;</w:t>
      </w:r>
    </w:p>
    <w:p w14:paraId="1F3A4A90"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4. utilizării machetelor, a designului sau a unor combinații speciale de culori asociate cu anumite țigări electronice și flacoane de reumplere cu și fără nicotină;</w:t>
      </w:r>
    </w:p>
    <w:p w14:paraId="1A4B2A5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5. utilizării țigărilor electronice și a flacoanelor de reumplere recognoscibile în anunțurile publicitare pentru alte produse și servicii.</w:t>
      </w:r>
    </w:p>
    <w:p w14:paraId="50A31B26"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i/>
          <w:iCs/>
          <w:i/>
          <w:iCs/>
        </w:rPr>
        <w:t xml:space="preserve">(3)</w:t>
      </w:r>
      <w:r>
        <w:rPr>
          <w:sz w:val="24"/>
          <w:szCs w:val="24"/>
          <w:i/>
          <w:iCs/>
        </w:rPr>
        <w:t xml:space="preserve"> </w:t>
      </w:r>
      <w:r>
        <w:rPr>
          <w:sz w:val="24"/>
          <w:szCs w:val="24"/>
        </w:rPr>
        <w:t xml:space="preserve">Cu toate acestea, interdicția prevăzută la alineatul (1) nu se aplică următoarelor:</w:t>
      </w:r>
    </w:p>
    <w:p w14:paraId="1C5563B6"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1. notificărilor adresate exclusiv profesioniștilor din domeniu;</w:t>
      </w:r>
    </w:p>
    <w:p w14:paraId="12DF0DF8"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2. utilizării unei denumiri care înainte de 7 iunie 2016 a fost utilizată atât pentru țigările electronice, cât și pentru flacoanele de reumplere și alte bunuri sau servicii, pentru a face publicitate acestor alte produse, atât timp cât denumirea apare într-o formă care este clar distinctă de modul în care apare numele pe țigara electronică și pe flaconul de reumplere;</w:t>
      </w:r>
    </w:p>
    <w:p w14:paraId="12279633"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rPr>
        <w:t xml:space="preserve">3. utilizării unei denumiri cunoscute asociate cu produsele din tutun în anunțurile publicitare pentru alte bunuri și servicii, dacă celelalte bunuri sau servicii sunt introduse pe piață numai într-o zonă geografică limitată.</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3</w:t>
      </w:r>
    </w:p>
    <w:p w14:paraId="006DAB7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Interzicerea plasării și expunerii vizibile</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Articolul 3</w:t>
      </w:r>
      <w:r>
        <w:rPr>
          <w:sz w:val="24"/>
          <w:szCs w:val="24"/>
          <w:b/>
          <w:bCs/>
        </w:rPr>
        <w:t xml:space="preserve"> </w:t>
      </w:r>
      <w:r>
        <w:rPr>
          <w:sz w:val="24"/>
          <w:szCs w:val="24"/>
        </w:rPr>
        <w:t xml:space="preserve">Plasarea și expunerea vizibile ale țigărilor electronice și flacoanelor de reumplere cu și fără nicotină la punctele de vânzare, inclusiv pe internet, sunt interzise.</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sz w:val="24"/>
          <w:szCs w:val="24"/>
          <w:rFonts w:eastAsia="TimesNewRomanPSMT" w:cstheme="minorHAnsi"/>
        </w:rPr>
      </w:pPr>
      <w:r>
        <w:rPr>
          <w:sz w:val="24"/>
          <w:szCs w:val="24"/>
          <w:i/>
          <w:i/>
          <w:iCs/>
        </w:rPr>
        <w:t xml:space="preserve">(2)</w:t>
      </w:r>
      <w:r>
        <w:rPr>
          <w:sz w:val="24"/>
          <w:szCs w:val="24"/>
          <w:i/>
        </w:rPr>
        <w:t xml:space="preserve"> </w:t>
      </w:r>
      <w:r>
        <w:rPr>
          <w:sz w:val="24"/>
          <w:szCs w:val="24"/>
        </w:rPr>
        <w:t xml:space="preserve">Produsele destinate a fi utilizate împreună cu produsele menționate la alineatul (1) sunt, de asemenea, incluse în interdicția prevăzută la alineatul (1).</w:t>
      </w:r>
    </w:p>
    <w:p w14:paraId="6C243789" w14:textId="77777777" w:rsidR="00BB6654" w:rsidRPr="00704E6A" w:rsidRDefault="00BB6654" w:rsidP="00BB6654">
      <w:pPr>
        <w:rPr>
          <w:sz w:val="24"/>
          <w:szCs w:val="24"/>
          <w:rFonts w:cstheme="minorHAnsi"/>
        </w:rPr>
      </w:pPr>
      <w:r>
        <w:rPr>
          <w:sz w:val="24"/>
          <w:szCs w:val="24"/>
          <w:i/>
          <w:i/>
          <w:iCs/>
        </w:rPr>
        <w:t xml:space="preserve">(3)</w:t>
      </w:r>
      <w:r>
        <w:rPr>
          <w:sz w:val="24"/>
          <w:szCs w:val="24"/>
        </w:rPr>
        <w:t xml:space="preserve"> </w:t>
      </w:r>
      <w:r>
        <w:rPr>
          <w:sz w:val="24"/>
          <w:szCs w:val="24"/>
        </w:rPr>
        <w:t xml:space="preserve">Interdicția prevăzută la alineatul (2) include, dar nu se limitează la încărcătoare, flacoanele de reumplere goale, ambalaje, baterii sau arome.</w:t>
      </w:r>
      <w:r>
        <w:rPr>
          <w:sz w:val="24"/>
          <w:szCs w:val="24"/>
        </w:rPr>
        <w:t xml:space="preserve"> </w:t>
      </w:r>
      <w:r>
        <w:rPr>
          <w:sz w:val="24"/>
          <w:szCs w:val="24"/>
        </w:rPr>
        <w:t xml:space="preserve">Interdicția prevăzută la alineatul (2) nu include produsele destinate unei utilizări mai generale, cu excepția cazului în care sunt concepute sau comercializate în mod special cu referire la țigările electronice și flacoanele de reumplere cu sau fără nicotină.</w:t>
      </w:r>
    </w:p>
    <w:p w14:paraId="44736DC4" w14:textId="77777777" w:rsidR="00BB6654" w:rsidRPr="00704E6A" w:rsidRDefault="00BB6654" w:rsidP="00704E6A">
      <w:pPr>
        <w:keepNext/>
        <w:keepLines/>
        <w:rPr>
          <w:rStyle w:val="tlid-translation"/>
          <w:color w:val="000000" w:themeColor="text1"/>
          <w:sz w:val="24"/>
          <w:szCs w:val="24"/>
          <w:rFonts w:cstheme="minorHAnsi"/>
        </w:rPr>
      </w:pPr>
      <w:r>
        <w:rPr>
          <w:sz w:val="24"/>
          <w:szCs w:val="24"/>
          <w:i/>
          <w:i/>
          <w:iCs/>
        </w:rPr>
        <w:t xml:space="preserve">(4)</w:t>
      </w:r>
      <w:r>
        <w:rPr>
          <w:sz w:val="24"/>
          <w:szCs w:val="24"/>
          <w:i/>
        </w:rPr>
        <w:t xml:space="preserve"> </w:t>
      </w:r>
      <w:r>
        <w:rPr>
          <w:sz w:val="24"/>
          <w:szCs w:val="24"/>
        </w:rPr>
        <w:t xml:space="preserve">În conformitate cu interdicția prevăzută la alineatele (1) și (2), sunt interzise:</w:t>
      </w:r>
    </w:p>
    <w:p w14:paraId="1B46E0BB" w14:textId="77A26A6A"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publicitatea sau anunțarea directă sau indirectă a vânzării de țigări electronice și de flacoane de reumplere cu sau fără nicotină la punctul de vânzare;</w:t>
      </w:r>
    </w:p>
    <w:p w14:paraId="09282853" w14:textId="2CD96E31"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utilizarea de ilustrații, imagini, culori, logouri, simboluri sau alte mijloace menite să creeze pentru consumator impresia că se face referire la produsele sau categoriile de produse menționate la alineatele (1) și (2) sau să creeze impresia că astfel de produse sunt benefice pentru sănătate, mai puțin dăunătoare decât alte produse, că acționează ca un ajutor pentru renunțarea la fumat sau au alte efecte sau avantaje benefice; sau</w:t>
      </w:r>
    </w:p>
    <w:p w14:paraId="649FA914" w14:textId="693EE4C4"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szCs w:val="24"/>
        </w:rPr>
        <w:t xml:space="preserve">scoaterea în evidență a acestor produse prin culoare, iluminat sau similar, prin comparație cu restul produselor de la punctul de vânzare.</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4</w:t>
      </w:r>
    </w:p>
    <w:p w14:paraId="1CF1B6D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Informații neutre privind produsele și prețurile</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b/>
          <w:bCs/>
        </w:rPr>
        <w:t xml:space="preserve">Articolul 4</w:t>
      </w:r>
      <w:r>
        <w:rPr>
          <w:sz w:val="24"/>
          <w:szCs w:val="24"/>
          <w:b/>
          <w:bCs/>
        </w:rPr>
        <w:t xml:space="preserve"> </w:t>
      </w:r>
      <w:r>
        <w:rPr>
          <w:sz w:val="24"/>
          <w:szCs w:val="24"/>
        </w:rPr>
        <w:t xml:space="preserve">Punctele de vânzare pot oferi cumpărătorului informații neutre cu privire la țigările electronice și flacoanele de reumplere cu și fără nicotină care sunt vândute la punctul de vânzare și la prețul produselor.</w:t>
      </w:r>
    </w:p>
    <w:p w14:paraId="58C115B8"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i/>
          <w:i/>
          <w:iCs/>
        </w:rPr>
        <w:t xml:space="preserve">(2)</w:t>
      </w:r>
      <w:r>
        <w:rPr>
          <w:sz w:val="24"/>
          <w:szCs w:val="24"/>
        </w:rPr>
        <w:t xml:space="preserve"> </w:t>
      </w:r>
      <w:r>
        <w:rPr>
          <w:sz w:val="24"/>
          <w:szCs w:val="24"/>
        </w:rPr>
        <w:t xml:space="preserve">Informațiile permise în temeiul alineatului (1) includ:</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marca produsului și denumirea produsului;</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numărul, greutatea și volumul; și</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szCs w:val="24"/>
        </w:rPr>
        <w:t xml:space="preserve">prețul.</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sz w:val="24"/>
          <w:szCs w:val="24"/>
          <w:rFonts w:cstheme="minorHAnsi"/>
        </w:rPr>
      </w:pPr>
      <w:r>
        <w:rPr>
          <w:sz w:val="24"/>
          <w:szCs w:val="24"/>
          <w:i/>
          <w:i/>
          <w:iCs/>
        </w:rPr>
        <w:t xml:space="preserve">(3)</w:t>
      </w:r>
      <w:r>
        <w:rPr>
          <w:sz w:val="24"/>
          <w:szCs w:val="24"/>
          <w:i/>
        </w:rPr>
        <w:t xml:space="preserve"> </w:t>
      </w:r>
      <w:r>
        <w:rPr>
          <w:sz w:val="24"/>
          <w:szCs w:val="24"/>
        </w:rPr>
        <w:t xml:space="preserve">Informațiile incluse la alineatul (2) se afișează pe o listă neutră.</w:t>
      </w:r>
      <w:r>
        <w:rPr>
          <w:sz w:val="24"/>
          <w:szCs w:val="24"/>
        </w:rPr>
        <w:t xml:space="preserve"> </w:t>
      </w:r>
      <w:r>
        <w:rPr>
          <w:sz w:val="24"/>
          <w:szCs w:val="24"/>
        </w:rPr>
        <w:t xml:space="preserve">Informațiile de pe listă trebuie afișate într-un text de culoare neagră pe o foaie albă de tip A4 care nu poate avea ilustrații, imagini, caractere aldine, culori, logouri, simboluri sau alt text, cu excepția celor prevăzute alineatul (4).</w:t>
      </w:r>
      <w:r>
        <w:rPr>
          <w:sz w:val="24"/>
          <w:szCs w:val="24"/>
        </w:rPr>
        <w:t xml:space="preserve"> </w:t>
      </w:r>
      <w:r>
        <w:rPr>
          <w:sz w:val="24"/>
          <w:szCs w:val="24"/>
        </w:rPr>
        <w:t xml:space="preserve">Nicio informație de pe listă nu poate fi evidențiată suplimentar, iar informațiile trebuie:</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să fie scrise în ordine alfabetică, în funcție de denumirea produsului;</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să fie scrise în secvența:</w:t>
      </w:r>
      <w:r>
        <w:rPr>
          <w:sz w:val="24"/>
          <w:szCs w:val="24"/>
        </w:rPr>
        <w:t xml:space="preserve"> </w:t>
      </w:r>
      <w:r>
        <w:rPr>
          <w:sz w:val="24"/>
          <w:szCs w:val="24"/>
        </w:rPr>
        <w:t xml:space="preserve">marca produsului, denumirea produsului, numărul, greutatea și volumul și prețul;</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szCs w:val="24"/>
        </w:rPr>
        <w:t xml:space="preserve">să fie scrise cu fontul Helvetica cu dimensiunea maximă de 14 puncte; și</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i/>
          <w:sz w:val="24"/>
          <w:szCs w:val="24"/>
          <w:rFonts w:cstheme="minorHAnsi"/>
        </w:rPr>
      </w:pPr>
      <w:r>
        <w:rPr>
          <w:sz w:val="24"/>
          <w:szCs w:val="24"/>
        </w:rPr>
        <w:t xml:space="preserve">să fie aliniate spre stânga.</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(4)</w:t>
      </w:r>
      <w:r>
        <w:rPr>
          <w:sz w:val="24"/>
          <w:szCs w:val="24"/>
          <w:i/>
        </w:rPr>
        <w:t xml:space="preserve"> </w:t>
      </w:r>
      <w:r>
        <w:rPr>
          <w:sz w:val="24"/>
          <w:szCs w:val="24"/>
        </w:rPr>
        <w:t xml:space="preserve">Lista neutră, în conformitate cu alineatul (3), trebuie să conțină informații privind vârsta-limită pentru vânzarea țigărilor electronice și a flacoanelor de reumplere cu și fără nicotină, conform articolului 15 alineatul (1) din Legea privind țigările electronice etc., stabilită de Autoritatea Daneză a Sănătății.</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i/>
          <w:sz w:val="24"/>
          <w:szCs w:val="24"/>
          <w:rFonts w:cstheme="minorHAnsi"/>
        </w:rPr>
      </w:pPr>
      <w:r>
        <w:rPr>
          <w:sz w:val="24"/>
          <w:szCs w:val="24"/>
          <w:i/>
          <w:i/>
          <w:iCs/>
        </w:rPr>
        <w:t xml:space="preserve">(5)</w:t>
      </w:r>
      <w:r>
        <w:rPr>
          <w:sz w:val="24"/>
          <w:szCs w:val="24"/>
          <w:i/>
        </w:rPr>
        <w:t xml:space="preserve"> </w:t>
      </w:r>
      <w:r>
        <w:rPr>
          <w:sz w:val="24"/>
          <w:szCs w:val="24"/>
        </w:rPr>
        <w:t xml:space="preserve">Fiecărui produs care figurează pe lista neutră prevăzută la alineatul (3) i se poate atribui un număr.</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sz w:val="24"/>
          <w:szCs w:val="24"/>
          <w:rFonts w:cstheme="minorHAnsi"/>
        </w:rPr>
      </w:pPr>
      <w:r>
        <w:rPr>
          <w:sz w:val="24"/>
          <w:szCs w:val="24"/>
          <w:i/>
          <w:i/>
          <w:iCs/>
        </w:rPr>
        <w:t xml:space="preserve">(6)</w:t>
      </w:r>
      <w:r>
        <w:rPr>
          <w:sz w:val="24"/>
          <w:szCs w:val="24"/>
        </w:rPr>
        <w:t xml:space="preserve"> </w:t>
      </w:r>
      <w:r>
        <w:rPr>
          <w:sz w:val="24"/>
          <w:szCs w:val="24"/>
        </w:rPr>
        <w:t xml:space="preserve">Lista neutră prevăzută la alineatul (3) poate fi împărțită în una sau mai multe dintre următoarele categorii:</w:t>
      </w:r>
      <w:r>
        <w:rPr>
          <w:sz w:val="24"/>
          <w:szCs w:val="24"/>
        </w:rPr>
        <w:t xml:space="preserve"> </w:t>
      </w:r>
      <w:r>
        <w:rPr>
          <w:sz w:val="24"/>
          <w:szCs w:val="24"/>
        </w:rPr>
        <w:t xml:space="preserve">„țigară electronică”, „flacoane de reumplere cu e-lichid”, „ambalaje combinate” și „altele”.</w:t>
      </w:r>
      <w:r>
        <w:rPr>
          <w:sz w:val="24"/>
          <w:szCs w:val="24"/>
        </w:rPr>
        <w:t xml:space="preserve"> </w:t>
      </w:r>
      <w:r>
        <w:rPr>
          <w:sz w:val="24"/>
          <w:szCs w:val="24"/>
        </w:rPr>
        <w:t xml:space="preserve">Un produs trebuie să fie inclus în categoria căreia îi aparține.</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(7)</w:t>
      </w:r>
      <w:r>
        <w:rPr>
          <w:sz w:val="24"/>
          <w:szCs w:val="24"/>
        </w:rPr>
        <w:t xml:space="preserve"> </w:t>
      </w:r>
      <w:r>
        <w:rPr>
          <w:sz w:val="24"/>
          <w:szCs w:val="24"/>
        </w:rPr>
        <w:t xml:space="preserve">La punctele de vânzare fizice, lista neutră prevăzută la alineatul (3) poate fi prezentată la cererea adresată de un cumpărător sau poate fi afișată pe o cutie de vânzare.</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5</w:t>
      </w:r>
    </w:p>
    <w:p w14:paraId="4308304F" w14:textId="77777777" w:rsidR="00BB6654" w:rsidRPr="00704E6A" w:rsidRDefault="00BB6654" w:rsidP="00704E6A">
      <w:pPr>
        <w:keepNext/>
        <w:keepLines/>
        <w:jc w:val="center"/>
        <w:rPr>
          <w:i/>
          <w:iCs/>
          <w:sz w:val="24"/>
          <w:szCs w:val="24"/>
          <w:rFonts w:cstheme="minorHAnsi"/>
        </w:rPr>
      </w:pPr>
      <w:r>
        <w:rPr>
          <w:i/>
          <w:iCs/>
          <w:sz w:val="24"/>
          <w:szCs w:val="24"/>
        </w:rPr>
        <w:t xml:space="preserve">Vânzarea prin soluții digitale și online</w:t>
      </w:r>
    </w:p>
    <w:p w14:paraId="2C3211DB" w14:textId="7F63D302" w:rsidR="00BB6654" w:rsidRPr="00704E6A" w:rsidRDefault="00BB6654" w:rsidP="00BB6654">
      <w:pPr>
        <w:autoSpaceDE w:val="0"/>
        <w:autoSpaceDN w:val="0"/>
        <w:adjustRightInd w:val="0"/>
        <w:spacing w:after="0" w:line="240" w:lineRule="auto"/>
        <w:rPr>
          <w:sz w:val="24"/>
          <w:szCs w:val="24"/>
          <w:rFonts w:cstheme="minorHAnsi"/>
        </w:rPr>
      </w:pPr>
      <w:r>
        <w:rPr>
          <w:sz w:val="24"/>
          <w:szCs w:val="24"/>
          <w:b/>
        </w:rPr>
        <w:t xml:space="preserve">Articolul 5</w:t>
      </w:r>
      <w:r>
        <w:rPr>
          <w:sz w:val="24"/>
          <w:szCs w:val="24"/>
        </w:rPr>
        <w:t xml:space="preserve"> </w:t>
      </w:r>
      <w:r>
        <w:rPr>
          <w:sz w:val="24"/>
          <w:szCs w:val="24"/>
        </w:rPr>
        <w:t xml:space="preserve">Interzicerea plasării și expunerii vizibile ale țigărilor electronice și ale flacoanelor de reumplere cu și fără nicotină la punctele de vânzare în conformitate cu articolul 3 alineatele (1) și (2) se aplică și vânzării cu ajutorul soluțiilor digitale, cum ar fi paginile de pornire ale distribuitorului, magazinele online, paginile de pornire ale companiei, paginile de pornire ale companiei de pe platformele de comunicare socială și aplicațiile.</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(2)</w:t>
      </w:r>
      <w:r>
        <w:rPr>
          <w:sz w:val="24"/>
          <w:szCs w:val="24"/>
          <w:i/>
        </w:rPr>
        <w:t xml:space="preserve"> </w:t>
      </w:r>
      <w:r>
        <w:rPr>
          <w:sz w:val="24"/>
          <w:szCs w:val="24"/>
        </w:rPr>
        <w:t xml:space="preserve">Punctele de vânzare incluse la alineatul (1) pot oferi cumpărătorului informații neutre cu privire la țigările electronice și flacoanele de reumplere cu și fără nicotină care sunt vândute la punctul de vânzare și la prețul produselor.</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szCs w:val="24"/>
          <w:i/>
          <w:i/>
          <w:iCs/>
        </w:rPr>
        <w:t xml:space="preserve">(3)</w:t>
      </w:r>
      <w:r>
        <w:rPr>
          <w:sz w:val="24"/>
          <w:szCs w:val="24"/>
        </w:rPr>
        <w:t xml:space="preserve"> </w:t>
      </w:r>
      <w:r>
        <w:rPr>
          <w:sz w:val="24"/>
          <w:szCs w:val="24"/>
        </w:rPr>
        <w:t xml:space="preserve">Informațiile permise în temeiul alineatului (2) includ:</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marca produsului și denumirea produsului;</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numărul, greutatea și volumul; și</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szCs w:val="24"/>
        </w:rPr>
        <w:t xml:space="preserve">prețul.</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sz w:val="24"/>
          <w:szCs w:val="24"/>
          <w:rFonts w:cstheme="minorHAnsi"/>
        </w:rPr>
      </w:pPr>
      <w:r>
        <w:rPr>
          <w:sz w:val="24"/>
          <w:szCs w:val="24"/>
          <w:i/>
          <w:i/>
          <w:iCs/>
        </w:rPr>
        <w:t xml:space="preserve">(4)</w:t>
      </w:r>
      <w:r>
        <w:rPr>
          <w:sz w:val="24"/>
          <w:szCs w:val="24"/>
          <w:i/>
        </w:rPr>
        <w:t xml:space="preserve"> </w:t>
      </w:r>
      <w:r>
        <w:rPr>
          <w:sz w:val="24"/>
          <w:szCs w:val="24"/>
        </w:rPr>
        <w:t xml:space="preserve">Informațiile incluse la alineatul (3) nu pot fi afișate cu sau însoțite de ilustrații, imagini, culori, logouri, simboluri sau alt text.</w:t>
      </w:r>
      <w:r>
        <w:rPr>
          <w:sz w:val="24"/>
          <w:szCs w:val="24"/>
        </w:rPr>
        <w:t xml:space="preserve"> </w:t>
      </w:r>
      <w:r>
        <w:rPr>
          <w:sz w:val="24"/>
          <w:szCs w:val="24"/>
        </w:rPr>
        <w:t xml:space="preserve">Totuși, acest lucru nu se aplică simbolului pentru „Adaugă în coș”.</w:t>
      </w:r>
      <w:r>
        <w:rPr>
          <w:sz w:val="24"/>
          <w:szCs w:val="24"/>
        </w:rPr>
        <w:t xml:space="preserve"> </w:t>
      </w:r>
      <w:r>
        <w:rPr>
          <w:sz w:val="24"/>
          <w:szCs w:val="24"/>
        </w:rPr>
        <w:t xml:space="preserve">Nicio informație nu poate fi evidențiată. Informațiile trebuie să fie afișate în culoarea neagră cu același tip de font și cu aceeași dimensiune a acestuia ca și în descrierea produselor de pe pagina de pornire.</w:t>
      </w:r>
    </w:p>
    <w:p w14:paraId="44E7930B" w14:textId="6B3D423B" w:rsidR="007A2FDC" w:rsidRPr="00704E6A" w:rsidRDefault="007A2FDC" w:rsidP="007A2FDC">
      <w:pPr>
        <w:autoSpaceDE w:val="0"/>
        <w:autoSpaceDN w:val="0"/>
        <w:adjustRightInd w:val="0"/>
        <w:spacing w:after="0" w:line="240" w:lineRule="auto"/>
        <w:rPr>
          <w:sz w:val="24"/>
          <w:szCs w:val="24"/>
          <w:rFonts w:cstheme="minorHAnsi"/>
        </w:rPr>
      </w:pPr>
      <w:r>
        <w:rPr>
          <w:sz w:val="24"/>
          <w:szCs w:val="24"/>
          <w:i/>
          <w:i/>
          <w:iCs/>
        </w:rPr>
        <w:t xml:space="preserve">(5)</w:t>
      </w:r>
      <w:r>
        <w:rPr>
          <w:sz w:val="24"/>
          <w:szCs w:val="24"/>
        </w:rPr>
        <w:t xml:space="preserve"> </w:t>
      </w:r>
      <w:r>
        <w:rPr>
          <w:sz w:val="24"/>
          <w:szCs w:val="24"/>
        </w:rPr>
        <w:t xml:space="preserve">Informațiile prevăzute la alineatul (4) nu pot crea impresia că țigările electronice și flacoanele de reumplere cu sau fără nicotină sunt benefice pentru sănătate, mai puțin dăunătoare decât alte produse sau au alte efecte sau avantaje benefice.</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(6)</w:t>
      </w:r>
      <w:r>
        <w:rPr>
          <w:sz w:val="24"/>
          <w:szCs w:val="24"/>
        </w:rPr>
        <w:t xml:space="preserve"> </w:t>
      </w:r>
      <w:r>
        <w:rPr>
          <w:sz w:val="24"/>
          <w:szCs w:val="24"/>
        </w:rPr>
        <w:t xml:space="preserve">Punctele de vânzare prevăzute la alineatul (1) unde se vând țigări electronice și flacoane de reumplere cu sau fără nicotină sau se încurajează vânzarea acestora, nu pot oferi clienților sau vizitatorilor paginii posibilitatea de a revizuia, de a acorda un rating sau similar produselor menționate la alineatul (1), în cazul în care revizuirea etc. devine în orice mod vizibilă sau accesibilă pentru evaluatorul însuși sau pentru alte persoane care nu sunt implicate în vânzarea produselor.</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iCs/>
          <w:sz w:val="24"/>
          <w:szCs w:val="24"/>
        </w:rPr>
        <w:t xml:space="preserve">Capitolul 6</w:t>
      </w:r>
    </w:p>
    <w:p w14:paraId="39F0F3E5" w14:textId="77777777" w:rsidR="00BB6654" w:rsidRPr="00704E6A" w:rsidRDefault="00BB6654" w:rsidP="00704E6A">
      <w:pPr>
        <w:keepNext/>
        <w:keepLines/>
        <w:spacing w:line="240" w:lineRule="auto"/>
        <w:jc w:val="center"/>
        <w:rPr>
          <w:i/>
          <w:iCs/>
          <w:sz w:val="24"/>
          <w:szCs w:val="24"/>
          <w:rFonts w:cstheme="minorHAnsi"/>
        </w:rPr>
      </w:pPr>
      <w:r>
        <w:rPr>
          <w:i/>
          <w:iCs/>
          <w:sz w:val="24"/>
          <w:szCs w:val="24"/>
        </w:rPr>
        <w:t xml:space="preserve">Punctele de vânzare fizice specializate în vânzarea țigărilor electronice și a flacoanelor de reumplere cu și fără nicotină</w:t>
      </w:r>
    </w:p>
    <w:p w14:paraId="6BC97759" w14:textId="59447DCF" w:rsidR="00BB6654" w:rsidRPr="00D543FF" w:rsidRDefault="00BB6654" w:rsidP="00BB6654">
      <w:pPr>
        <w:autoSpaceDE w:val="0"/>
        <w:autoSpaceDN w:val="0"/>
        <w:adjustRightInd w:val="0"/>
        <w:spacing w:after="0" w:line="240" w:lineRule="auto"/>
        <w:rPr>
          <w:sz w:val="24"/>
          <w:szCs w:val="24"/>
          <w:rFonts w:cstheme="minorHAnsi"/>
        </w:rPr>
      </w:pPr>
      <w:r>
        <w:rPr>
          <w:sz w:val="24"/>
          <w:szCs w:val="24"/>
          <w:b/>
        </w:rPr>
        <w:t xml:space="preserve">Articolul 6</w:t>
      </w:r>
      <w:r>
        <w:rPr>
          <w:sz w:val="24"/>
          <w:szCs w:val="24"/>
          <w:b/>
        </w:rPr>
        <w:t xml:space="preserve"> </w:t>
      </w:r>
      <w:r>
        <w:rPr>
          <w:sz w:val="24"/>
          <w:szCs w:val="24"/>
        </w:rPr>
        <w:t xml:space="preserve">Interdicția împotriva plasării și expunerii vizibile în temeiul articolului 3 alineatele (1) și (2) nu se aplică vânzării de țigări electronice și de flacoane de reumplere cu și fără nicotină la punctele de vânzare fizice specializate în vânzarea acestor produse.</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(2)</w:t>
      </w:r>
      <w:r>
        <w:rPr>
          <w:sz w:val="24"/>
          <w:szCs w:val="24"/>
        </w:rPr>
        <w:t xml:space="preserve"> </w:t>
      </w:r>
      <w:r>
        <w:rPr>
          <w:sz w:val="24"/>
          <w:szCs w:val="24"/>
        </w:rPr>
        <w:t xml:space="preserve">Se consideră că un punct de vânzare astfel cum este prevăzut la alineatul (1) este specializat în vânzarea de țigări electronice și de flacoane de reumplere cu și fără nicotină atunci când punctul de vânzare vinde exclusiv sau în principal țigări electronice și flacoane de reumplere cu sau fără nicotină.</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(3)</w:t>
      </w:r>
      <w:r>
        <w:rPr>
          <w:sz w:val="24"/>
          <w:szCs w:val="24"/>
        </w:rPr>
        <w:t xml:space="preserve"> </w:t>
      </w:r>
      <w:r>
        <w:rPr>
          <w:sz w:val="24"/>
          <w:szCs w:val="24"/>
        </w:rPr>
        <w:t xml:space="preserve">Derogarea de la interdicția privind plasarea și expunerea vizibile prevăzute la alineatul (1) se aplică numai țigărilor electronice și flacoanelor de reumplere cu și fără nicotină.</w:t>
      </w:r>
      <w:r>
        <w:rPr>
          <w:sz w:val="24"/>
          <w:szCs w:val="24"/>
        </w:rPr>
        <w:t xml:space="preserve"> </w:t>
      </w:r>
      <w:r>
        <w:rPr>
          <w:sz w:val="24"/>
          <w:szCs w:val="24"/>
        </w:rPr>
        <w:t xml:space="preserve">În cazul în care punctul de vânzare vinde alte produse sau produse din tutun, surogate de tutun sau produse de fumat pe bază de plante, acestea sunt incluse în interdicția prevăzută la articolul 3 alineatele (1) și (2) sau la articolul 2 alineatele (1) și (2) din Ordinul privind interzicerea publicității, plasării și expunerii vizibile etc. ale produselor din tutun, ale surogatelor de tutun și ale produselor de fumat pe bază de plante.</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sz w:val="24"/>
          <w:szCs w:val="24"/>
          <w:rFonts w:cstheme="minorHAnsi"/>
        </w:rPr>
      </w:pPr>
      <w:r>
        <w:rPr>
          <w:sz w:val="24"/>
          <w:szCs w:val="24"/>
          <w:i/>
          <w:i/>
          <w:iCs/>
        </w:rPr>
        <w:t xml:space="preserve">(4)</w:t>
      </w:r>
      <w:r>
        <w:rPr>
          <w:sz w:val="24"/>
          <w:szCs w:val="24"/>
          <w:i/>
        </w:rPr>
        <w:t xml:space="preserve"> </w:t>
      </w:r>
      <w:r>
        <w:rPr>
          <w:sz w:val="24"/>
          <w:szCs w:val="24"/>
        </w:rPr>
        <w:t xml:space="preserve">În cazul în care un punct de vânzare astfel cum este prevăzut la alineatul (1) vinde țigări electronice și flacoane de reumplere cu și fără nicotină prin soluții digitale, cum ar fi paginile de pornire ale distribuitorului, magazinele online, paginile de pornire ale companiei, paginile de pornire ale companiei de pe platformele de comunicare socială și aplicațiile, acesta este inclus la articolul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color w:val="000000" w:themeColor="text1"/>
          <w:sz w:val="24"/>
          <w:szCs w:val="24"/>
          <w:rFonts w:cstheme="minorHAnsi"/>
        </w:rPr>
      </w:pPr>
      <w:r>
        <w:rPr>
          <w:color w:val="000000" w:themeColor="text1"/>
          <w:sz w:val="24"/>
          <w:szCs w:val="24"/>
          <w:i/>
          <w:i/>
          <w:iCs/>
        </w:rPr>
        <w:t xml:space="preserve">(5)</w:t>
      </w:r>
      <w:r>
        <w:rPr>
          <w:color w:val="000000" w:themeColor="text1"/>
          <w:sz w:val="24"/>
          <w:szCs w:val="24"/>
        </w:rPr>
        <w:t xml:space="preserve"> </w:t>
      </w:r>
      <w:r>
        <w:rPr>
          <w:color w:val="000000" w:themeColor="text1"/>
          <w:sz w:val="24"/>
          <w:szCs w:val="24"/>
        </w:rPr>
        <w:t xml:space="preserve">Nu este permis ca un punct de vânzare fizic astfel cum este prevăzut la alineatul (1) să facă publicitate la țigări electronice și la flacoane de reumplere cu și fără nicotină la punctul de vânzare, în vitrină sau în fața magazinului, cu excepția cazului prevăzut la alineatul (6).</w:t>
      </w:r>
      <w:r>
        <w:rPr>
          <w:color w:val="000000" w:themeColor="text1"/>
          <w:sz w:val="24"/>
          <w:szCs w:val="24"/>
        </w:rPr>
        <w:t xml:space="preserve"> </w:t>
      </w:r>
      <w:r>
        <w:rPr>
          <w:color w:val="000000" w:themeColor="text1"/>
          <w:sz w:val="24"/>
          <w:szCs w:val="24"/>
        </w:rPr>
        <w:t xml:space="preserve">Aceasta include:</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color w:val="000000" w:themeColor="text1"/>
          <w:sz w:val="24"/>
          <w:szCs w:val="24"/>
          <w:rFonts w:cstheme="minorHAnsi"/>
        </w:rPr>
      </w:pPr>
      <w:r>
        <w:rPr>
          <w:sz w:val="24"/>
          <w:szCs w:val="24"/>
        </w:rPr>
        <w:t xml:space="preserve">scoaterea în evidență, direct sau indirect, a unui anumit produs, nume, a unor anumite prețuri sau a altor informații privind țigările electronice și flacoanele de reumplere cu sau fără nicotină, cu ajutorul iluminatului special, al culorilor, al priorității acordate produselor sau denumirilor la raft, rafturi proeminente sau imagini; sau</w:t>
      </w:r>
    </w:p>
    <w:p w14:paraId="072130F3" w14:textId="2592410E" w:rsidR="00BB6654" w:rsidRPr="00D543FF" w:rsidRDefault="00BB6654" w:rsidP="00BB6654">
      <w:pPr>
        <w:pStyle w:val="ListParagraph"/>
        <w:numPr>
          <w:ilvl w:val="0"/>
          <w:numId w:val="2"/>
        </w:numPr>
        <w:spacing w:line="240" w:lineRule="auto"/>
        <w:ind w:left="709"/>
        <w:rPr>
          <w:rStyle w:val="tlid-translation"/>
          <w:sz w:val="24"/>
          <w:szCs w:val="24"/>
          <w:rFonts w:cstheme="minorHAnsi"/>
        </w:rPr>
      </w:pPr>
      <w:r>
        <w:rPr>
          <w:rStyle w:val="tlid-translation"/>
        </w:rPr>
        <w:t xml:space="preserve">prin text, ilustrații, imagini, culori, logouri, simboluri sau alte mijloace menite să creeze pentru cumpărător impresia că unul sau mai multe produse sunt benefice pentru sănătate, mai puțin dăunătoare decât alte produse, acționează ca un ajutor pentru renunțarea la fumat sau au în alt mod efecte sau avantaje benefice.</w:t>
      </w:r>
    </w:p>
    <w:p w14:paraId="1F5F7C9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i/>
          <w:i/>
          <w:iCs/>
        </w:rPr>
        <w:t xml:space="preserve">(6)</w:t>
      </w:r>
      <w:r>
        <w:rPr>
          <w:sz w:val="24"/>
          <w:szCs w:val="24"/>
        </w:rPr>
        <w:t xml:space="preserve"> </w:t>
      </w:r>
      <w:r>
        <w:rPr>
          <w:sz w:val="24"/>
          <w:szCs w:val="24"/>
        </w:rPr>
        <w:t xml:space="preserve">Denumirea unui punct de vânzare fizic în conformitate cu alineatul (1) trebuie să apară pe partea din față a magazinului cu design neutru.</w:t>
      </w:r>
      <w:r>
        <w:rPr>
          <w:sz w:val="24"/>
          <w:szCs w:val="24"/>
        </w:rPr>
        <w:t xml:space="preserve"> </w:t>
      </w:r>
      <w:r>
        <w:rPr>
          <w:sz w:val="24"/>
          <w:szCs w:val="24"/>
        </w:rPr>
        <w:t xml:space="preserve">Denumirea nu trebuie să aibă în sine un efect publicitar.</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sz w:val="24"/>
          <w:szCs w:val="24"/>
          <w:i/>
          <w:i/>
          <w:iCs/>
        </w:rPr>
        <w:t xml:space="preserve">(7)</w:t>
      </w:r>
      <w:r>
        <w:rPr>
          <w:sz w:val="24"/>
          <w:szCs w:val="24"/>
        </w:rPr>
        <w:t xml:space="preserve"> </w:t>
      </w:r>
      <w:r>
        <w:rPr>
          <w:sz w:val="24"/>
          <w:szCs w:val="24"/>
        </w:rPr>
        <w:t xml:space="preserve">Derogarea de la interdicția privind plasarea și expunerea vizibile prevăzute la alineatul (1) nu oferă punctului de vânzare posibilitatea de a plasa și expune în mod vizibil țigările electronice și flacoanele de reumplere cu și fără nicotină în alte locuri decât punctul de vânzare sau de a distribui pliante publicitare și produse gratuite etc.</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Capitolul 7</w:t>
      </w:r>
    </w:p>
    <w:p w14:paraId="2BA0131B"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Mașini cu autoservire</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bCs/>
          <w:sz w:val="24"/>
          <w:szCs w:val="24"/>
          <w:rFonts w:cstheme="minorHAnsi"/>
        </w:rPr>
      </w:pPr>
      <w:r>
        <w:rPr>
          <w:bCs/>
          <w:sz w:val="24"/>
          <w:szCs w:val="24"/>
        </w:rPr>
        <w:t xml:space="preserve">Articolul 7</w:t>
      </w:r>
      <w:r>
        <w:rPr>
          <w:bCs/>
          <w:sz w:val="24"/>
          <w:szCs w:val="24"/>
        </w:rPr>
        <w:t xml:space="preserve"> </w:t>
      </w:r>
      <w:r>
        <w:rPr>
          <w:bCs/>
          <w:sz w:val="24"/>
          <w:szCs w:val="24"/>
        </w:rPr>
        <w:t xml:space="preserve">Mașinile care sunt utilizate prin autoservire pentru furnizarea de produse din tutun, surogate de tutun sau produse de fumat pe bază de plante după vânzarea de la cutie de vânzare trebuie să fie proiectate în mod neutru.</w:t>
      </w:r>
      <w:r>
        <w:rPr>
          <w:bCs/>
          <w:sz w:val="24"/>
          <w:szCs w:val="24"/>
        </w:rPr>
        <w:t xml:space="preserve"> </w:t>
      </w:r>
      <w:r>
        <w:rPr>
          <w:bCs/>
          <w:sz w:val="24"/>
          <w:szCs w:val="24"/>
        </w:rPr>
        <w:t xml:space="preserve">Informațiile de la mașină privind marca comercială, numele variantei și prețurile trebuie să fie afișate utilizând fontul Helvetica de culoare neagră cu o dimensiune de până la 14 puncte.</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bCs/>
          <w:sz w:val="24"/>
          <w:szCs w:val="24"/>
          <w:rFonts w:cstheme="minorHAnsi"/>
        </w:rPr>
      </w:pPr>
      <w:r>
        <w:rPr>
          <w:bCs/>
          <w:sz w:val="24"/>
          <w:szCs w:val="24"/>
          <w:i/>
          <w:i/>
          <w:iCs/>
        </w:rPr>
        <w:t xml:space="preserve">(2)</w:t>
      </w:r>
      <w:r>
        <w:rPr>
          <w:bCs/>
          <w:sz w:val="24"/>
          <w:szCs w:val="24"/>
        </w:rPr>
        <w:t xml:space="preserve"> </w:t>
      </w:r>
      <w:r>
        <w:rPr>
          <w:bCs/>
          <w:sz w:val="24"/>
          <w:szCs w:val="24"/>
        </w:rPr>
        <w:t xml:space="preserve">Mașina menționată la alineatul (1) nu trebuie:</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să aibă sau să aplice etichete de marcă sau ale companiei sau alte caracteristici pentru aceste produse, inclusiv o imagine a unui produs;</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să scoată în evidență informațiile; sau</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bCs/>
          <w:sz w:val="24"/>
          <w:szCs w:val="24"/>
        </w:rPr>
        <w:t xml:space="preserve">să aibă sau să aplice ilustrații, imagini, culori, logouri, simboluri sau alte mijloace care pot crea pentru cumpărător impresia că un produs vândut de mașina respectivă este benefic pentru sănătate, mai puțin dăunător decât alte produse, acționează ca un ajutor pentru renunțarea la fumat sau are alte efecte sau avantaje benefice.</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Capitolul 8</w:t>
      </w:r>
    </w:p>
    <w:p w14:paraId="288F8D8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Sancțiuni</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szCs w:val="24"/>
          <w:b/>
          <w:bCs/>
        </w:rPr>
        <w:t xml:space="preserve">Articolul 8</w:t>
      </w:r>
      <w:r>
        <w:rPr>
          <w:sz w:val="24"/>
          <w:szCs w:val="24"/>
          <w:b/>
          <w:bCs/>
        </w:rPr>
        <w:t xml:space="preserve"> </w:t>
      </w:r>
      <w:r>
        <w:rPr>
          <w:sz w:val="24"/>
          <w:szCs w:val="24"/>
        </w:rPr>
        <w:t xml:space="preserve">Cu excepția cazului în care altă legislație prevede sancțiuni mai mari, se impun sancțiuni celor care încalcă interdicția prevăzută la articolele 2 și 3 sau articolele 4-7 din regulamente.</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i/>
          <w:iCs/>
          <w:i/>
          <w:iCs/>
        </w:rPr>
        <w:t xml:space="preserve">(2)</w:t>
      </w:r>
      <w:r>
        <w:rPr>
          <w:sz w:val="24"/>
          <w:szCs w:val="24"/>
          <w:i/>
          <w:iCs/>
        </w:rPr>
        <w:t xml:space="preserve"> </w:t>
      </w:r>
      <w:r>
        <w:rPr>
          <w:sz w:val="24"/>
          <w:szCs w:val="24"/>
        </w:rPr>
        <w:t xml:space="preserve">Răspunderea penală poate fi impusă entităților etc. (persoane juridice) în conformitate cu dispozițiile prevăzute în capitolul 5 din Codul penal [Straffeloven].</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szCs w:val="24"/>
        </w:rPr>
        <w:t xml:space="preserve">Capitolul 7</w:t>
      </w:r>
    </w:p>
    <w:p w14:paraId="6F04C86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iCs/>
          <w:sz w:val="24"/>
          <w:szCs w:val="24"/>
        </w:rPr>
        <w:t xml:space="preserve">Intrare în vigoare</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szCs w:val="24"/>
          <w:b/>
          <w:bCs/>
        </w:rPr>
        <w:t xml:space="preserve">Articolul 8</w:t>
      </w:r>
      <w:r>
        <w:rPr>
          <w:sz w:val="24"/>
          <w:szCs w:val="24"/>
          <w:b/>
          <w:bCs/>
        </w:rPr>
        <w:t xml:space="preserve"> </w:t>
      </w:r>
      <w:r>
        <w:rPr>
          <w:sz w:val="24"/>
          <w:szCs w:val="24"/>
        </w:rPr>
        <w:t xml:space="preserve">Prezentul ordin intră în vigoare la 1 aprilie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i/>
          <w:iCs/>
          <w:sz w:val="24"/>
          <w:szCs w:val="24"/>
          <w:rFonts w:cstheme="minorHAnsi"/>
        </w:rPr>
      </w:pPr>
      <w:r>
        <w:rPr>
          <w:i/>
          <w:iCs/>
          <w:sz w:val="24"/>
          <w:szCs w:val="24"/>
        </w:rPr>
        <w:t xml:space="preserve">Ministerul Sănătății, [data]</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sz w:val="24"/>
          <w:szCs w:val="24"/>
          <w:rFonts w:eastAsia="TimesNewRomanPSMT" w:cstheme="minorHAnsi"/>
        </w:rPr>
      </w:pPr>
      <w:r>
        <w:rPr>
          <w:sz w:val="24"/>
          <w:szCs w:val="24"/>
        </w:rPr>
        <w:t xml:space="preserve">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sz w:val="24"/>
          <w:szCs w:val="24"/>
          <w:rFonts w:eastAsia="TimesNewRomanPSMT" w:cstheme="minorHAnsi"/>
        </w:rPr>
      </w:pPr>
      <w:r>
        <w:rPr>
          <w:sz w:val="24"/>
          <w:szCs w:val="24"/>
        </w:rPr>
        <w:t xml:space="preserve">/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200FF7"/>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dirty" w:grammar="dirty"/>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1836</Words>
  <Characters>10468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SOARES, Cristina</cp:lastModifiedBy>
  <cp:revision>5</cp:revision>
  <dcterms:created xsi:type="dcterms:W3CDTF">2020-09-30T11:28:00Z</dcterms:created>
  <dcterms:modified xsi:type="dcterms:W3CDTF">2020-10-05T08:26:00Z</dcterms:modified>
</cp:coreProperties>
</file>