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40A" w:rsidRPr="0003140A" w:rsidRDefault="0003140A" w:rsidP="0003140A">
      <w:pPr>
        <w:autoSpaceDE w:val="0"/>
        <w:autoSpaceDN w:val="0"/>
        <w:adjustRightInd w:val="0"/>
        <w:spacing w:before="240" w:after="240" w:line="240" w:lineRule="auto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t xml:space="preserve">Ley CI de 2021</w:t>
      </w:r>
    </w:p>
    <w:p w:rsidR="0003140A" w:rsidRPr="0003140A" w:rsidRDefault="0003140A" w:rsidP="0003140A">
      <w:pPr>
        <w:autoSpaceDE w:val="0"/>
        <w:autoSpaceDN w:val="0"/>
        <w:adjustRightInd w:val="0"/>
        <w:spacing w:before="240" w:after="240" w:line="240" w:lineRule="auto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t xml:space="preserve">sobre determinadas cuestiones relativas a la gestión de activos y la modificación de determinadas leyes para reforzar la coherencia del sistema jurídico</w:t>
      </w:r>
      <w:r w:rsidRPr="0003140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:rsidR="0003140A" w:rsidRDefault="006C6919" w:rsidP="0003140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…</w:t>
      </w:r>
    </w:p>
    <w:p w:rsidR="006C6919" w:rsidRDefault="006C6919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919" w:rsidRPr="006C6919" w:rsidRDefault="006C6919" w:rsidP="006C6919">
      <w:pPr>
        <w:autoSpaceDE w:val="0"/>
        <w:autoSpaceDN w:val="0"/>
        <w:adjustRightInd w:val="0"/>
        <w:spacing w:before="240" w:after="240" w:line="240" w:lineRule="auto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25.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Modificación de la Ley XLII de 1999 relativa a la protección de los no fumadores y a determinadas reglamentaciones sobre el consumo y la distribución de productos del tabaco</w:t>
      </w:r>
    </w:p>
    <w:p w:rsidR="006C6919" w:rsidRPr="006C6919" w:rsidRDefault="006C6919" w:rsidP="006C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 68.</w:t>
      </w:r>
      <w:r>
        <w:rPr>
          <w:sz w:val="24"/>
          <w:rFonts w:ascii="Times New Roman" w:hAnsi="Times New Roman"/>
        </w:rPr>
        <w:t xml:space="preserve"> El artículo 1, letra </w:t>
      </w:r>
      <w:r>
        <w:rPr>
          <w:sz w:val="24"/>
          <w:i/>
          <w:rFonts w:ascii="Times New Roman" w:hAnsi="Times New Roman"/>
        </w:rPr>
        <w:t xml:space="preserve">x)</w:t>
      </w:r>
      <w:r>
        <w:rPr>
          <w:sz w:val="24"/>
          <w:rFonts w:ascii="Times New Roman" w:hAnsi="Times New Roman"/>
        </w:rPr>
        <w:t xml:space="preserve">, de la Ley XLII de 1999 relativa a la protección de los no fumadores y a determinadas reglamentaciones sobre el consumo y la distribución de productos del tabaco (en adelante, «Ley XLII de 1999») se sustituye por lo siguiente: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[A efectos del presente Ley, se aplicarán las siguientes definiciones:]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</w:t>
      </w:r>
      <w:r>
        <w:rPr>
          <w:sz w:val="24"/>
          <w:i/>
          <w:iCs/>
          <w:rFonts w:ascii="Times New Roman" w:hAnsi="Times New Roman"/>
        </w:rPr>
        <w:t xml:space="preserve">x)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iCs/>
          <w:rFonts w:ascii="Times New Roman" w:hAnsi="Times New Roman"/>
        </w:rPr>
        <w:t xml:space="preserve">número de identificación del cigarrillo electrónico</w:t>
      </w:r>
      <w:r>
        <w:rPr>
          <w:sz w:val="24"/>
          <w:rFonts w:ascii="Times New Roman" w:hAnsi="Times New Roman"/>
        </w:rPr>
        <w:t xml:space="preserve">: el número utilizado para identificar los productos notificados a través del acceso común, según lo definido en la Decisión de Ejecución (UE) 2015/2183 de la Comisión, de 24 de noviembre de 2015, por la que se establece un formato común para la notificación de cigarrillos electrónicos y envases de recarga;».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bCs/>
          <w:rFonts w:ascii="Times New Roman" w:hAnsi="Times New Roman"/>
        </w:rPr>
        <w:t xml:space="preserve">Artículo 69.</w:t>
      </w:r>
      <w:r>
        <w:rPr>
          <w:sz w:val="24"/>
          <w:rFonts w:ascii="Times New Roman" w:hAnsi="Times New Roman"/>
        </w:rPr>
        <w:t xml:space="preserve"> En la Ley XLII de 1999, se añade el siguiente artículo 2 </w:t>
      </w:r>
      <w:r>
        <w:rPr>
          <w:sz w:val="24"/>
          <w:i/>
          <w:iCs/>
          <w:rFonts w:ascii="Times New Roman" w:hAnsi="Times New Roman"/>
        </w:rPr>
        <w:t xml:space="preserve">ter</w:t>
      </w:r>
      <w:r>
        <w:rPr>
          <w:sz w:val="24"/>
          <w:rFonts w:ascii="Times New Roman" w:hAnsi="Times New Roman"/>
        </w:rPr>
        <w:t xml:space="preserve">: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«Artículo 2 </w:t>
      </w:r>
      <w:r>
        <w:rPr>
          <w:sz w:val="24"/>
          <w:i/>
          <w:iCs/>
          <w:rFonts w:ascii="Times New Roman" w:hAnsi="Times New Roman"/>
        </w:rPr>
        <w:t xml:space="preserve">ter</w:t>
      </w:r>
      <w:r>
        <w:rPr>
          <w:sz w:val="24"/>
          <w:rFonts w:ascii="Times New Roman" w:hAnsi="Times New Roman"/>
        </w:rPr>
        <w:t xml:space="preserve">. Queda prohibido el consumo de productos de sustitución del tabaco que contengan nicotina en centros educativos públicos, así como en centros dedicados a la atención infantil y la protección de menores.».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 70.</w:t>
      </w:r>
      <w:r>
        <w:rPr>
          <w:sz w:val="24"/>
          <w:rFonts w:ascii="Times New Roman" w:hAnsi="Times New Roman"/>
        </w:rPr>
        <w:t xml:space="preserve"> En el artículo 5 de la Ley XLII de 1999, los apartados 1 a 4, se sustituyen por los siguiente: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«1. Por lo que respecta a la Ley CXXXIV de 2012 sobre la reducción de la prevalencia del tabaquismo entre los jóvenes y la venta al por menor de productos del tabaco (en adelante,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"Ley CXXXIV de 2012") ninguna actividad relacionada con el comercio al por menor de los productos enumerados en el artículo 1, letras</w:t>
      </w:r>
      <w:r>
        <w:rPr>
          <w:sz w:val="24"/>
          <w:i/>
          <w:rFonts w:ascii="Times New Roman" w:hAnsi="Times New Roman"/>
        </w:rPr>
        <w:t xml:space="preserve"> b)</w:t>
      </w:r>
      <w:r>
        <w:rPr>
          <w:sz w:val="24"/>
          <w:rFonts w:ascii="Times New Roman" w:hAnsi="Times New Roman"/>
        </w:rPr>
        <w:t xml:space="preserve"> a</w:t>
      </w:r>
      <w:r>
        <w:rPr>
          <w:sz w:val="24"/>
          <w:i/>
          <w:rFonts w:ascii="Times New Roman" w:hAnsi="Times New Roman"/>
        </w:rPr>
        <w:t xml:space="preserve"> h)</w:t>
      </w:r>
      <w:r>
        <w:rPr>
          <w:sz w:val="24"/>
          <w:rFonts w:ascii="Times New Roman" w:hAnsi="Times New Roman"/>
        </w:rPr>
        <w:t xml:space="preserve">, se llevará a cabo en un centro educativo público, un centro social que preste atención personal, un centro de bienestar infantil, un centro de protección de menores o un centro de salud.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 Los productos del tabaco y los productos enumerados en el artículo 1, apartado 1, letras </w:t>
      </w:r>
      <w:r>
        <w:rPr>
          <w:sz w:val="24"/>
          <w:i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 xml:space="preserve"> a </w:t>
      </w:r>
      <w:r>
        <w:rPr>
          <w:sz w:val="24"/>
          <w:i/>
          <w:rFonts w:ascii="Times New Roman" w:hAnsi="Times New Roman"/>
        </w:rPr>
        <w:t xml:space="preserve">h)</w:t>
      </w:r>
      <w:r>
        <w:rPr>
          <w:sz w:val="24"/>
          <w:rFonts w:ascii="Times New Roman" w:hAnsi="Times New Roman"/>
        </w:rPr>
        <w:t xml:space="preserve">, de la Ley CXXXIV de 2012 no podrán comercializarse como muestras de productos.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 Los productos del tabaco y los productos enumerados en el artículo 1, apartado 1, letras </w:t>
      </w:r>
      <w:r>
        <w:rPr>
          <w:sz w:val="24"/>
          <w:i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 xml:space="preserve"> a </w:t>
      </w:r>
      <w:r>
        <w:rPr>
          <w:sz w:val="24"/>
          <w:i/>
          <w:rFonts w:ascii="Times New Roman" w:hAnsi="Times New Roman"/>
        </w:rPr>
        <w:t xml:space="preserve">h)</w:t>
      </w:r>
      <w:r>
        <w:rPr>
          <w:sz w:val="24"/>
          <w:rFonts w:ascii="Times New Roman" w:hAnsi="Times New Roman"/>
        </w:rPr>
        <w:t xml:space="preserve">, de la Ley CXXXIV de 2012 no podrán venderse en máquinas expendedoras.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 A efectos del presente artículo, por “venta al por menor de productos del tabaco” se entenderá lo definido como tal en la Ley CXXXIV de 2012.».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 71.</w:t>
      </w:r>
      <w:r>
        <w:rPr>
          <w:sz w:val="24"/>
          <w:rFonts w:ascii="Times New Roman" w:hAnsi="Times New Roman"/>
        </w:rPr>
        <w:t xml:space="preserve"> En la Ley XLII de 1999, se añade el siguiente artículo 8 </w:t>
      </w:r>
      <w:r>
        <w:rPr>
          <w:sz w:val="24"/>
          <w:i/>
          <w:iCs/>
          <w:rFonts w:ascii="Times New Roman" w:hAnsi="Times New Roman"/>
        </w:rPr>
        <w:t xml:space="preserve">bis</w:t>
      </w:r>
      <w:r>
        <w:rPr>
          <w:sz w:val="24"/>
          <w:rFonts w:ascii="Times New Roman" w:hAnsi="Times New Roman"/>
        </w:rPr>
        <w:t xml:space="preserve">: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«Artículo 8 </w:t>
      </w:r>
      <w:r>
        <w:rPr>
          <w:sz w:val="24"/>
          <w:i/>
          <w:iCs/>
          <w:rFonts w:ascii="Times New Roman" w:hAnsi="Times New Roman"/>
        </w:rPr>
        <w:t xml:space="preserve">bis</w:t>
      </w:r>
      <w:r>
        <w:rPr>
          <w:sz w:val="24"/>
          <w:rFonts w:ascii="Times New Roman" w:hAnsi="Times New Roman"/>
        </w:rPr>
        <w:t xml:space="preserve">. 1. El artículo 5, apartados 1 a 4, de la presente Ley, de conformidad con lo establecido por la Ley CI de 2021 sobre determinadas cuestiones relativas a la gestión de activos y la modificación de determinadas leyes para reforzar la coherencia del sistema jurídico (en adelante,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"Ley CI de 2021"), sirven para cumplir la Directiva 2006/123/CE del Parlamento Europeo y del Consejo, de 12 de diciembre de 2006, relativa a los servicios en el mercado interior.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 El artículo 5, apartados 1 a 4, de la presente Ley, de conformidad con lo establecido por la Ley CI de 2021, ha sido objeto de notificación previa con arreglo al artículo 15, apartado 7, de la Directiva 2006/123/CE del Parlamento Europeo y del Consejo, de 12 de diciembre de 2006, relativa a los servicios en el mercado interior.».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 72.</w:t>
      </w:r>
      <w:r>
        <w:rPr>
          <w:sz w:val="24"/>
          <w:rFonts w:ascii="Times New Roman" w:hAnsi="Times New Roman"/>
        </w:rPr>
        <w:t xml:space="preserve"> En la Ley XLII de 1999: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iCs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 xml:space="preserve"> en el artículo 1, letra r), se sustituyen las palabras «que contengan nicotina» por las palabras «que contengan cualquier forma de nicotina»;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iCs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 xml:space="preserve"> en el artículo 8, apartado 3, se sustituyen las palabras «Ley CIII de 1997 relativa a los impuestos especiales y a las normas específicas para la comercialización de productos sujetos a impuestos especiales» por las palabras «Ley LXVIII de 2016 relativa a los impuestos especiales»;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c) en el artículo 8, apartado 4 </w:t>
      </w:r>
      <w:r>
        <w:rPr>
          <w:sz w:val="24"/>
          <w:i/>
          <w:iCs/>
          <w:rFonts w:ascii="Times New Roman" w:hAnsi="Times New Roman"/>
        </w:rPr>
        <w:t xml:space="preserve">quater</w:t>
      </w:r>
      <w:r>
        <w:rPr>
          <w:sz w:val="24"/>
          <w:rFonts w:ascii="Times New Roman" w:hAnsi="Times New Roman"/>
        </w:rPr>
        <w:t xml:space="preserve">, letra a), se sustituyen las palabras «envases de recarga y productos para fumar» por las palabras «envases de recarga, envases de recarga sin nicotina, productos de sustitución del tabaco que contengan nicotina y productos para fumar».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 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 73.</w:t>
      </w:r>
      <w:r>
        <w:rPr>
          <w:sz w:val="24"/>
          <w:rFonts w:ascii="Times New Roman" w:hAnsi="Times New Roman"/>
        </w:rPr>
        <w:t xml:space="preserve"> Con respecto a la Ley XLII de 1999, quedan derogados los siguientes artículos: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 xml:space="preserve"> el artículo 7 </w:t>
      </w:r>
      <w:r>
        <w:rPr>
          <w:sz w:val="24"/>
          <w:i/>
          <w:iCs/>
          <w:rFonts w:ascii="Times New Roman" w:hAnsi="Times New Roman"/>
        </w:rPr>
        <w:t xml:space="preserve">duodecies</w:t>
      </w:r>
      <w:r>
        <w:rPr>
          <w:sz w:val="24"/>
          <w:rFonts w:ascii="Times New Roman" w:hAnsi="Times New Roman"/>
        </w:rPr>
        <w:t xml:space="preserve">;</w:t>
      </w:r>
      <w:r>
        <w:rPr>
          <w:sz w:val="24"/>
          <w:rFonts w:ascii="Times New Roman" w:hAnsi="Times New Roman"/>
        </w:rPr>
        <w:t xml:space="preserve"> 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b) </w:t>
      </w:r>
      <w:r>
        <w:rPr>
          <w:sz w:val="24"/>
          <w:rFonts w:ascii="Times New Roman" w:hAnsi="Times New Roman"/>
        </w:rPr>
        <w:t xml:space="preserve"> el artículo 7 </w:t>
      </w:r>
      <w:r>
        <w:rPr>
          <w:sz w:val="24"/>
          <w:i/>
          <w:iCs/>
          <w:rFonts w:ascii="Times New Roman" w:hAnsi="Times New Roman"/>
        </w:rPr>
        <w:t xml:space="preserve">terdecies</w:t>
      </w:r>
      <w:r>
        <w:rPr>
          <w:sz w:val="24"/>
          <w:rFonts w:ascii="Times New Roman" w:hAnsi="Times New Roman"/>
        </w:rPr>
        <w:t xml:space="preserve">;</w:t>
      </w:r>
      <w:r>
        <w:rPr>
          <w:sz w:val="24"/>
          <w:rFonts w:ascii="Times New Roman" w:hAnsi="Times New Roman"/>
        </w:rPr>
        <w:t xml:space="preserve"> 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iCs/>
          <w:rFonts w:ascii="Times New Roman" w:hAnsi="Times New Roman"/>
        </w:rPr>
        <w:t xml:space="preserve">c)</w:t>
      </w:r>
      <w:r>
        <w:rPr>
          <w:sz w:val="24"/>
          <w:rFonts w:ascii="Times New Roman" w:hAnsi="Times New Roman"/>
        </w:rPr>
        <w:t xml:space="preserve"> el artículo 8, apartado 2;</w:t>
      </w:r>
      <w:r>
        <w:rPr>
          <w:sz w:val="24"/>
          <w:rFonts w:ascii="Times New Roman" w:hAnsi="Times New Roman"/>
        </w:rPr>
        <w:t xml:space="preserve"> 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d)</w:t>
      </w:r>
      <w:r>
        <w:rPr>
          <w:sz w:val="24"/>
          <w:rFonts w:ascii="Times New Roman" w:hAnsi="Times New Roman"/>
        </w:rPr>
        <w:t xml:space="preserve"> el artículo 8, apartado 4 </w:t>
      </w:r>
      <w:r>
        <w:rPr>
          <w:sz w:val="24"/>
          <w:i/>
          <w:iCs/>
          <w:rFonts w:ascii="Times New Roman" w:hAnsi="Times New Roman"/>
        </w:rPr>
        <w:t xml:space="preserve">quinquies</w:t>
      </w:r>
      <w:r>
        <w:rPr>
          <w:sz w:val="24"/>
          <w:rFonts w:ascii="Times New Roman" w:hAnsi="Times New Roman"/>
        </w:rPr>
        <w:t xml:space="preserve">; y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iCs/>
          <w:rFonts w:ascii="Times New Roman" w:hAnsi="Times New Roman"/>
        </w:rPr>
        <w:t xml:space="preserve">e)</w:t>
      </w:r>
      <w:r>
        <w:rPr>
          <w:sz w:val="24"/>
          <w:rFonts w:ascii="Times New Roman" w:hAnsi="Times New Roman"/>
        </w:rPr>
        <w:t xml:space="preserve"> el artículo 8, apartado 5, letra k).</w:t>
      </w:r>
    </w:p>
    <w:p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40A" w:rsidRDefault="0003140A"/>
    <w:sectPr w:rsidR="0003140A" w:rsidSect="00BC322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2F0" w:rsidRDefault="009352F0" w:rsidP="0003140A">
      <w:pPr>
        <w:spacing w:after="0" w:line="240" w:lineRule="auto"/>
      </w:pPr>
      <w:r>
        <w:separator/>
      </w:r>
    </w:p>
  </w:endnote>
  <w:endnote w:type="continuationSeparator" w:id="0">
    <w:p w:rsidR="009352F0" w:rsidRDefault="009352F0" w:rsidP="0003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2F0" w:rsidRDefault="009352F0" w:rsidP="0003140A">
      <w:pPr>
        <w:spacing w:after="0" w:line="240" w:lineRule="auto"/>
      </w:pPr>
      <w:r>
        <w:separator/>
      </w:r>
    </w:p>
  </w:footnote>
  <w:footnote w:type="continuationSeparator" w:id="0">
    <w:p w:rsidR="009352F0" w:rsidRDefault="009352F0" w:rsidP="0003140A">
      <w:pPr>
        <w:spacing w:after="0" w:line="240" w:lineRule="auto"/>
      </w:pPr>
      <w:r>
        <w:continuationSeparator/>
      </w:r>
    </w:p>
  </w:footnote>
  <w:footnote w:id="1">
    <w:p w:rsidR="0003140A" w:rsidRDefault="0003140A" w:rsidP="0003140A">
      <w:r>
        <w:rPr>
          <w:vertAlign w:val="superscript"/>
        </w:rPr>
        <w:footnoteRef/>
      </w:r>
      <w:r>
        <w:t xml:space="preserve"> La Ley fue aprobada por el Parlamento en su sesión del 15 de junio de 2021.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0A"/>
    <w:rsid w:val="0003140A"/>
    <w:rsid w:val="00512DD2"/>
    <w:rsid w:val="006C6919"/>
    <w:rsid w:val="009352F0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5F52-4F52-4D92-8E7E-3072EC86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Zsolt</dc:creator>
  <cp:keywords/>
  <dc:description/>
  <cp:lastModifiedBy>Fazekas Zsolt</cp:lastModifiedBy>
  <cp:revision>2</cp:revision>
  <dcterms:created xsi:type="dcterms:W3CDTF">2021-07-26T07:11:00Z</dcterms:created>
  <dcterms:modified xsi:type="dcterms:W3CDTF">2021-07-26T07:18:00Z</dcterms:modified>
</cp:coreProperties>
</file>