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59" w:rsidRPr="003A38BA" w:rsidRDefault="006D5959" w:rsidP="006D5959">
      <w:pPr>
        <w:jc w:val="center"/>
        <w:rPr>
          <w:b/>
          <w:sz w:val="32"/>
        </w:rPr>
      </w:pPr>
    </w:p>
    <w:p w:rsidR="006D5959" w:rsidRPr="003A38BA" w:rsidRDefault="006D5959" w:rsidP="006D5959">
      <w:pPr>
        <w:jc w:val="center"/>
        <w:rPr>
          <w:b/>
          <w:sz w:val="32"/>
        </w:rPr>
      </w:pPr>
    </w:p>
    <w:p w:rsidR="001B12A8" w:rsidRPr="00EE13A3" w:rsidRDefault="00DF289F" w:rsidP="001B12A8">
      <w:pPr>
        <w:ind w:left="0" w:firstLine="0"/>
        <w:jc w:val="center"/>
        <w:rPr>
          <w:rFonts w:ascii="Courier New" w:hAnsi="Courier New"/>
          <w:sz w:val="20"/>
        </w:rPr>
      </w:pPr>
      <w:r>
        <w:rPr>
          <w:rFonts w:ascii="Courier New" w:hAnsi="Courier New"/>
          <w:sz w:val="20"/>
        </w:rPr>
        <w:t>1. ------IND- 2017 0262 D-- EL</w:t>
      </w:r>
      <w:r w:rsidR="001B12A8">
        <w:rPr>
          <w:rFonts w:ascii="Courier New" w:hAnsi="Courier New"/>
          <w:sz w:val="20"/>
        </w:rPr>
        <w:t>- ------ 20190626 --- --- FINAL</w:t>
      </w:r>
      <w:bookmarkStart w:id="0" w:name="_GoBack"/>
      <w:bookmarkEnd w:id="0"/>
    </w:p>
    <w:p w:rsidR="002A210D" w:rsidRPr="003A38BA" w:rsidRDefault="002A210D" w:rsidP="006D5959">
      <w:pPr>
        <w:jc w:val="center"/>
        <w:rPr>
          <w:b/>
          <w:sz w:val="40"/>
        </w:rPr>
      </w:pPr>
    </w:p>
    <w:p w:rsidR="006D5959" w:rsidRPr="003A38BA" w:rsidRDefault="006D5959" w:rsidP="006D5959">
      <w:pPr>
        <w:rPr>
          <w:b/>
          <w:sz w:val="40"/>
        </w:rPr>
      </w:pPr>
    </w:p>
    <w:p w:rsidR="006D5959" w:rsidRPr="003A38BA" w:rsidRDefault="006D5959" w:rsidP="006D5959">
      <w:pPr>
        <w:rPr>
          <w:b/>
          <w:sz w:val="40"/>
        </w:rPr>
      </w:pPr>
    </w:p>
    <w:p w:rsidR="006D5959" w:rsidRPr="003A38BA" w:rsidRDefault="006D5959" w:rsidP="006D5959">
      <w:pPr>
        <w:rPr>
          <w:b/>
          <w:sz w:val="40"/>
        </w:rPr>
      </w:pPr>
    </w:p>
    <w:p w:rsidR="006D5959" w:rsidRPr="003A38BA" w:rsidRDefault="006D5959" w:rsidP="006D5959">
      <w:pPr>
        <w:jc w:val="center"/>
        <w:rPr>
          <w:sz w:val="40"/>
        </w:rPr>
      </w:pPr>
      <w:r>
        <w:rPr>
          <w:b/>
          <w:sz w:val="40"/>
        </w:rPr>
        <w:t>Τεχνικές απαιτήσεις δοκιμών για συστήματα σήμανσης</w:t>
      </w:r>
    </w:p>
    <w:p w:rsidR="006D5959" w:rsidRPr="003A38BA" w:rsidRDefault="006D5959" w:rsidP="006D5959">
      <w:pPr>
        <w:rPr>
          <w:b/>
          <w:sz w:val="40"/>
        </w:rPr>
      </w:pPr>
    </w:p>
    <w:p w:rsidR="006D5959" w:rsidRPr="003A38BA" w:rsidRDefault="00C32DCC" w:rsidP="006D5959">
      <w:pPr>
        <w:jc w:val="center"/>
        <w:rPr>
          <w:b/>
          <w:sz w:val="40"/>
          <w:szCs w:val="40"/>
        </w:rPr>
      </w:pPr>
      <w:r>
        <w:rPr>
          <w:b/>
          <w:sz w:val="40"/>
        </w:rPr>
        <w:t xml:space="preserve">TP M </w:t>
      </w:r>
    </w:p>
    <w:p w:rsidR="006D5959" w:rsidRPr="003A38BA" w:rsidRDefault="006D5959" w:rsidP="00B032BC">
      <w:pPr>
        <w:jc w:val="center"/>
        <w:rPr>
          <w:b/>
          <w:sz w:val="40"/>
          <w:szCs w:val="40"/>
        </w:rPr>
      </w:pPr>
    </w:p>
    <w:p w:rsidR="006D5959" w:rsidRPr="003A38BA" w:rsidRDefault="00EB1650" w:rsidP="006D5959">
      <w:pPr>
        <w:jc w:val="center"/>
        <w:rPr>
          <w:sz w:val="36"/>
          <w:szCs w:val="36"/>
        </w:rPr>
      </w:pPr>
      <w:r>
        <w:rPr>
          <w:b/>
          <w:sz w:val="36"/>
        </w:rPr>
        <w:t>2018</w:t>
      </w: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EB1650" w:rsidRPr="003A38BA" w:rsidRDefault="00EB1650" w:rsidP="00EB1650">
      <w:pPr>
        <w:jc w:val="center"/>
        <w:rPr>
          <w:sz w:val="32"/>
        </w:rPr>
      </w:pPr>
      <w:r>
        <w:rPr>
          <w:sz w:val="32"/>
        </w:rPr>
        <w:t>εκπονήθηκε από την Ομοσπονδιακή Υπηρεσία Οδικών Έργων</w:t>
      </w:r>
    </w:p>
    <w:p w:rsidR="006D5959" w:rsidRPr="003A38BA" w:rsidRDefault="00EB1650" w:rsidP="00EB1650">
      <w:pPr>
        <w:jc w:val="center"/>
        <w:rPr>
          <w:sz w:val="32"/>
        </w:rPr>
      </w:pPr>
      <w:r>
        <w:rPr>
          <w:sz w:val="32"/>
        </w:rPr>
        <w:t>του Bergisch Gladbach</w:t>
      </w: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6D5959">
      <w:pPr>
        <w:jc w:val="center"/>
        <w:rPr>
          <w:sz w:val="32"/>
        </w:rPr>
      </w:pPr>
      <w:bookmarkStart w:id="1" w:name="_Toc382970342"/>
      <w:bookmarkStart w:id="2" w:name="_Toc382970502"/>
      <w:bookmarkStart w:id="3" w:name="_Toc382971511"/>
    </w:p>
    <w:p w:rsidR="006D5959" w:rsidRPr="003A38BA" w:rsidRDefault="006D5959" w:rsidP="006D5959">
      <w:pPr>
        <w:jc w:val="center"/>
        <w:rPr>
          <w:sz w:val="32"/>
        </w:rPr>
      </w:pPr>
    </w:p>
    <w:p w:rsidR="006D5959" w:rsidRPr="003A38BA" w:rsidRDefault="006D5959" w:rsidP="006D5959">
      <w:pPr>
        <w:jc w:val="center"/>
        <w:rPr>
          <w:sz w:val="32"/>
        </w:rPr>
      </w:pPr>
    </w:p>
    <w:p w:rsidR="006D5959" w:rsidRPr="003A38BA" w:rsidRDefault="006D5959" w:rsidP="006D5959">
      <w:pPr>
        <w:jc w:val="center"/>
        <w:rPr>
          <w:sz w:val="32"/>
        </w:rPr>
      </w:pPr>
    </w:p>
    <w:p w:rsidR="006D5959" w:rsidRPr="003A38BA" w:rsidRDefault="00497E24" w:rsidP="006D5959">
      <w:pPr>
        <w:jc w:val="center"/>
        <w:rPr>
          <w:sz w:val="32"/>
        </w:rPr>
      </w:pPr>
      <w:bookmarkStart w:id="4" w:name="_Toc382970343"/>
      <w:bookmarkStart w:id="5" w:name="_Toc382970503"/>
      <w:bookmarkStart w:id="6" w:name="_Toc382971512"/>
      <w:bookmarkEnd w:id="1"/>
      <w:bookmarkEnd w:id="2"/>
      <w:bookmarkEnd w:id="3"/>
      <w:r>
        <w:rPr>
          <w:sz w:val="32"/>
        </w:rPr>
        <w:t>Έκδοση 2018</w:t>
      </w:r>
    </w:p>
    <w:p w:rsidR="006D5959" w:rsidRPr="003A38BA" w:rsidRDefault="006D5959" w:rsidP="008C55C5">
      <w:pPr>
        <w:pageBreakBefore/>
        <w:spacing w:before="8400" w:line="300" w:lineRule="exact"/>
        <w:ind w:left="0" w:firstLine="0"/>
        <w:rPr>
          <w:b/>
          <w:sz w:val="24"/>
        </w:rPr>
      </w:pPr>
      <w:r>
        <w:rPr>
          <w:b/>
          <w:sz w:val="24"/>
        </w:rPr>
        <w:lastRenderedPageBreak/>
        <w:t>Εισαγωγικές παρατηρήσεις</w:t>
      </w:r>
      <w:bookmarkEnd w:id="4"/>
      <w:bookmarkEnd w:id="5"/>
      <w:bookmarkEnd w:id="6"/>
    </w:p>
    <w:p w:rsidR="006D5959" w:rsidRPr="003A38BA" w:rsidRDefault="006D5959" w:rsidP="006D5959"/>
    <w:p w:rsidR="006D5959" w:rsidRPr="003A38BA" w:rsidRDefault="00CC1B26" w:rsidP="00CC1B26">
      <w:pPr>
        <w:ind w:left="0" w:firstLine="0"/>
        <w:jc w:val="both"/>
      </w:pPr>
      <w:r>
        <w:t>Οι «Τεχνικές απαιτήσεις δοκιμών για συστήματα σήμανσης» εκπονήθηκαν από την Ομοσπονδιακή Υπηρεσία Οδοποιίας (Bundesanstalt für Straßenwesen) κατ’ εντολή του Ομοσπονδιακού Υπουργείου Συγκοινωνιών και Ψηφιακών Υποδομών (BMVI) και εναρμονίστηκαν με την άποψη των ομόσπονδων κρατιδίων και των σχετικών εμπειρογνωμόνων των ομόσπονδων κρατιδίων. Οι γνωμοδοτήσεις του κλάδου υποβλήθηκαν πριν τη δημοσίευση από τη Γερμανική Εταιρεία Μελέτης Οριζόντιας Σήμανσης Οδών (DSGS e.V.).</w:t>
      </w:r>
    </w:p>
    <w:p w:rsidR="00CC1B26" w:rsidRPr="003A38BA" w:rsidRDefault="003E1828" w:rsidP="004A2F9C">
      <w:pPr>
        <w:ind w:left="0" w:firstLine="0"/>
        <w:jc w:val="both"/>
      </w:pPr>
      <w:r>
        <w:t>Τηρήθηκαν οι υποχρεώσεις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17.9.2015, σ. 1).</w:t>
      </w:r>
    </w:p>
    <w:p w:rsidR="006D5959" w:rsidRPr="003A38BA" w:rsidRDefault="006D5959" w:rsidP="006D5959">
      <w:pPr>
        <w:jc w:val="center"/>
        <w:rPr>
          <w:b/>
          <w:sz w:val="28"/>
        </w:rPr>
        <w:sectPr w:rsidR="006D5959" w:rsidRPr="003A38BA">
          <w:headerReference w:type="even" r:id="rId8"/>
          <w:headerReference w:type="default" r:id="rId9"/>
          <w:footerReference w:type="even" r:id="rId10"/>
          <w:headerReference w:type="first" r:id="rId11"/>
          <w:footnotePr>
            <w:numRestart w:val="eachSect"/>
          </w:footnotePr>
          <w:pgSz w:w="11907" w:h="16840"/>
          <w:pgMar w:top="1134" w:right="992" w:bottom="1134" w:left="1418" w:header="720" w:footer="720" w:gutter="0"/>
          <w:pgNumType w:fmt="upperRoman" w:start="1"/>
          <w:cols w:space="720"/>
          <w:titlePg/>
        </w:sectPr>
      </w:pPr>
    </w:p>
    <w:sdt>
      <w:sdtPr>
        <w:rPr>
          <w:rFonts w:asciiTheme="minorHAnsi" w:eastAsiaTheme="minorHAnsi" w:hAnsiTheme="minorHAnsi" w:cstheme="minorBidi"/>
          <w:b w:val="0"/>
          <w:bCs w:val="0"/>
          <w:noProof/>
          <w:color w:val="auto"/>
          <w:sz w:val="22"/>
          <w:szCs w:val="22"/>
        </w:rPr>
        <w:id w:val="2540518"/>
        <w:docPartObj>
          <w:docPartGallery w:val="Table of Contents"/>
          <w:docPartUnique/>
        </w:docPartObj>
      </w:sdtPr>
      <w:sdtEndPr>
        <w:rPr>
          <w:sz w:val="24"/>
          <w:szCs w:val="24"/>
        </w:rPr>
      </w:sdtEndPr>
      <w:sdtContent>
        <w:p w:rsidR="002100A4" w:rsidRPr="003A38BA" w:rsidRDefault="002100A4">
          <w:pPr>
            <w:pStyle w:val="TOCHeading"/>
          </w:pPr>
          <w:r>
            <w:t>Περιεχόμενο</w:t>
          </w:r>
        </w:p>
        <w:p w:rsidR="00B30F3B" w:rsidRDefault="004939B5">
          <w:pPr>
            <w:pStyle w:val="TOC1"/>
            <w:rPr>
              <w:rFonts w:asciiTheme="minorHAnsi" w:eastAsiaTheme="minorEastAsia" w:hAnsiTheme="minorHAnsi" w:cstheme="minorBidi"/>
              <w:b w:val="0"/>
              <w:sz w:val="22"/>
              <w:szCs w:val="22"/>
              <w:lang w:val="en-US" w:eastAsia="en-US" w:bidi="ar-SA"/>
            </w:rPr>
          </w:pPr>
          <w:r w:rsidRPr="003A38BA">
            <w:rPr>
              <w:rFonts w:asciiTheme="minorHAnsi" w:hAnsiTheme="minorHAnsi"/>
              <w:b w:val="0"/>
              <w:sz w:val="24"/>
              <w:szCs w:val="24"/>
            </w:rPr>
            <w:fldChar w:fldCharType="begin"/>
          </w:r>
          <w:r w:rsidR="002100A4" w:rsidRPr="003A38BA">
            <w:rPr>
              <w:rFonts w:asciiTheme="minorHAnsi" w:hAnsiTheme="minorHAnsi"/>
              <w:b w:val="0"/>
              <w:sz w:val="24"/>
              <w:szCs w:val="24"/>
            </w:rPr>
            <w:instrText xml:space="preserve"> TOC \o "1-3" \h \z \u </w:instrText>
          </w:r>
          <w:r w:rsidRPr="003A38BA">
            <w:rPr>
              <w:rFonts w:asciiTheme="minorHAnsi" w:hAnsiTheme="minorHAnsi"/>
              <w:b w:val="0"/>
              <w:sz w:val="24"/>
              <w:szCs w:val="24"/>
            </w:rPr>
            <w:fldChar w:fldCharType="separate"/>
          </w:r>
          <w:hyperlink w:anchor="_Toc12476429" w:history="1">
            <w:r w:rsidR="00B30F3B" w:rsidRPr="006B53F7">
              <w:rPr>
                <w:rStyle w:val="Hyperlink"/>
                <w:rFonts w:eastAsiaTheme="majorEastAsia"/>
              </w:rPr>
              <w:t>1.</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Γενικά</w:t>
            </w:r>
            <w:r w:rsidR="00B30F3B">
              <w:rPr>
                <w:webHidden/>
              </w:rPr>
              <w:tab/>
            </w:r>
            <w:r w:rsidR="00B30F3B">
              <w:rPr>
                <w:webHidden/>
              </w:rPr>
              <w:fldChar w:fldCharType="begin"/>
            </w:r>
            <w:r w:rsidR="00B30F3B">
              <w:rPr>
                <w:webHidden/>
              </w:rPr>
              <w:instrText xml:space="preserve"> PAGEREF _Toc12476429 \h </w:instrText>
            </w:r>
            <w:r w:rsidR="00B30F3B">
              <w:rPr>
                <w:webHidden/>
              </w:rPr>
            </w:r>
            <w:r w:rsidR="00B30F3B">
              <w:rPr>
                <w:webHidden/>
              </w:rPr>
              <w:fldChar w:fldCharType="separate"/>
            </w:r>
            <w:r w:rsidR="00B30F3B">
              <w:rPr>
                <w:webHidden/>
              </w:rPr>
              <w:t>5</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30" w:history="1">
            <w:r w:rsidR="00B30F3B" w:rsidRPr="006B53F7">
              <w:rPr>
                <w:rStyle w:val="Hyperlink"/>
                <w:rFonts w:eastAsiaTheme="majorEastAsia"/>
              </w:rPr>
              <w:t>2.</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Κανονιστικές παραπομπές</w:t>
            </w:r>
            <w:r w:rsidR="00B30F3B">
              <w:rPr>
                <w:webHidden/>
              </w:rPr>
              <w:tab/>
            </w:r>
            <w:r w:rsidR="00B30F3B">
              <w:rPr>
                <w:webHidden/>
              </w:rPr>
              <w:fldChar w:fldCharType="begin"/>
            </w:r>
            <w:r w:rsidR="00B30F3B">
              <w:rPr>
                <w:webHidden/>
              </w:rPr>
              <w:instrText xml:space="preserve"> PAGEREF _Toc12476430 \h </w:instrText>
            </w:r>
            <w:r w:rsidR="00B30F3B">
              <w:rPr>
                <w:webHidden/>
              </w:rPr>
            </w:r>
            <w:r w:rsidR="00B30F3B">
              <w:rPr>
                <w:webHidden/>
              </w:rPr>
              <w:fldChar w:fldCharType="separate"/>
            </w:r>
            <w:r w:rsidR="00B30F3B">
              <w:rPr>
                <w:webHidden/>
              </w:rPr>
              <w:t>5</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31" w:history="1">
            <w:r w:rsidR="00B30F3B" w:rsidRPr="006B53F7">
              <w:rPr>
                <w:rStyle w:val="Hyperlink"/>
                <w:rFonts w:eastAsiaTheme="majorEastAsia"/>
              </w:rPr>
              <w:t>3.</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Όροι</w:t>
            </w:r>
            <w:r w:rsidR="00B30F3B">
              <w:rPr>
                <w:webHidden/>
              </w:rPr>
              <w:tab/>
            </w:r>
            <w:r w:rsidR="00B30F3B">
              <w:rPr>
                <w:webHidden/>
              </w:rPr>
              <w:fldChar w:fldCharType="begin"/>
            </w:r>
            <w:r w:rsidR="00B30F3B">
              <w:rPr>
                <w:webHidden/>
              </w:rPr>
              <w:instrText xml:space="preserve"> PAGEREF _Toc12476431 \h </w:instrText>
            </w:r>
            <w:r w:rsidR="00B30F3B">
              <w:rPr>
                <w:webHidden/>
              </w:rPr>
            </w:r>
            <w:r w:rsidR="00B30F3B">
              <w:rPr>
                <w:webHidden/>
              </w:rPr>
              <w:fldChar w:fldCharType="separate"/>
            </w:r>
            <w:r w:rsidR="00B30F3B">
              <w:rPr>
                <w:webHidden/>
              </w:rPr>
              <w:t>6</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32" w:history="1">
            <w:r w:rsidR="00B30F3B" w:rsidRPr="006B53F7">
              <w:rPr>
                <w:rStyle w:val="Hyperlink"/>
                <w:rFonts w:eastAsiaTheme="majorEastAsia"/>
              </w:rPr>
              <w:t>4.</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Δοκιμές φόρτισης των συστημάτων σήμανσης</w:t>
            </w:r>
            <w:r w:rsidR="00B30F3B">
              <w:rPr>
                <w:webHidden/>
              </w:rPr>
              <w:tab/>
            </w:r>
            <w:r w:rsidR="00B30F3B">
              <w:rPr>
                <w:webHidden/>
              </w:rPr>
              <w:fldChar w:fldCharType="begin"/>
            </w:r>
            <w:r w:rsidR="00B30F3B">
              <w:rPr>
                <w:webHidden/>
              </w:rPr>
              <w:instrText xml:space="preserve"> PAGEREF _Toc12476432 \h </w:instrText>
            </w:r>
            <w:r w:rsidR="00B30F3B">
              <w:rPr>
                <w:webHidden/>
              </w:rPr>
            </w:r>
            <w:r w:rsidR="00B30F3B">
              <w:rPr>
                <w:webHidden/>
              </w:rPr>
              <w:fldChar w:fldCharType="separate"/>
            </w:r>
            <w:r w:rsidR="00B30F3B">
              <w:rPr>
                <w:webHidden/>
              </w:rPr>
              <w:t>6</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33" w:history="1">
            <w:r w:rsidR="00B30F3B" w:rsidRPr="006B53F7">
              <w:rPr>
                <w:rStyle w:val="Hyperlink"/>
                <w:rFonts w:eastAsiaTheme="majorEastAsia" w:cs="Arial"/>
              </w:rPr>
              <w:t>4.1.</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Προσομοιωτής φθοράς</w:t>
            </w:r>
            <w:r w:rsidR="00B30F3B">
              <w:rPr>
                <w:webHidden/>
              </w:rPr>
              <w:tab/>
            </w:r>
            <w:r w:rsidR="00B30F3B">
              <w:rPr>
                <w:webHidden/>
              </w:rPr>
              <w:fldChar w:fldCharType="begin"/>
            </w:r>
            <w:r w:rsidR="00B30F3B">
              <w:rPr>
                <w:webHidden/>
              </w:rPr>
              <w:instrText xml:space="preserve"> PAGEREF _Toc12476433 \h </w:instrText>
            </w:r>
            <w:r w:rsidR="00B30F3B">
              <w:rPr>
                <w:webHidden/>
              </w:rPr>
            </w:r>
            <w:r w:rsidR="00B30F3B">
              <w:rPr>
                <w:webHidden/>
              </w:rPr>
              <w:fldChar w:fldCharType="separate"/>
            </w:r>
            <w:r w:rsidR="00B30F3B">
              <w:rPr>
                <w:webHidden/>
              </w:rPr>
              <w:t>6</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34" w:history="1">
            <w:r w:rsidR="00B30F3B" w:rsidRPr="006B53F7">
              <w:rPr>
                <w:rStyle w:val="Hyperlink"/>
                <w:rFonts w:eastAsiaTheme="majorEastAsia" w:cs="Arial"/>
              </w:rPr>
              <w:t>4.1.1.</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Τροχοί</w:t>
            </w:r>
            <w:r w:rsidR="00B30F3B">
              <w:rPr>
                <w:webHidden/>
              </w:rPr>
              <w:tab/>
            </w:r>
            <w:r w:rsidR="00B30F3B">
              <w:rPr>
                <w:webHidden/>
              </w:rPr>
              <w:fldChar w:fldCharType="begin"/>
            </w:r>
            <w:r w:rsidR="00B30F3B">
              <w:rPr>
                <w:webHidden/>
              </w:rPr>
              <w:instrText xml:space="preserve"> PAGEREF _Toc12476434 \h </w:instrText>
            </w:r>
            <w:r w:rsidR="00B30F3B">
              <w:rPr>
                <w:webHidden/>
              </w:rPr>
            </w:r>
            <w:r w:rsidR="00B30F3B">
              <w:rPr>
                <w:webHidden/>
              </w:rPr>
              <w:fldChar w:fldCharType="separate"/>
            </w:r>
            <w:r w:rsidR="00B30F3B">
              <w:rPr>
                <w:webHidden/>
              </w:rPr>
              <w:t>6</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35" w:history="1">
            <w:r w:rsidR="00B30F3B" w:rsidRPr="006B53F7">
              <w:rPr>
                <w:rStyle w:val="Hyperlink"/>
                <w:rFonts w:eastAsiaTheme="majorEastAsia" w:cs="Arial"/>
              </w:rPr>
              <w:t>4.1.2.</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Δοκίμια</w:t>
            </w:r>
            <w:r w:rsidR="00B30F3B">
              <w:rPr>
                <w:webHidden/>
              </w:rPr>
              <w:tab/>
            </w:r>
            <w:r w:rsidR="00B30F3B">
              <w:rPr>
                <w:webHidden/>
              </w:rPr>
              <w:fldChar w:fldCharType="begin"/>
            </w:r>
            <w:r w:rsidR="00B30F3B">
              <w:rPr>
                <w:webHidden/>
              </w:rPr>
              <w:instrText xml:space="preserve"> PAGEREF _Toc12476435 \h </w:instrText>
            </w:r>
            <w:r w:rsidR="00B30F3B">
              <w:rPr>
                <w:webHidden/>
              </w:rPr>
            </w:r>
            <w:r w:rsidR="00B30F3B">
              <w:rPr>
                <w:webHidden/>
              </w:rPr>
              <w:fldChar w:fldCharType="separate"/>
            </w:r>
            <w:r w:rsidR="00B30F3B">
              <w:rPr>
                <w:webHidden/>
              </w:rPr>
              <w:t>7</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36" w:history="1">
            <w:r w:rsidR="00B30F3B" w:rsidRPr="006B53F7">
              <w:rPr>
                <w:rStyle w:val="Hyperlink"/>
                <w:rFonts w:eastAsiaTheme="majorEastAsia"/>
              </w:rPr>
              <w:t>4.1.3.</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Σύστημα καθαρισμού</w:t>
            </w:r>
            <w:r w:rsidR="00B30F3B">
              <w:rPr>
                <w:webHidden/>
              </w:rPr>
              <w:tab/>
            </w:r>
            <w:r w:rsidR="00B30F3B">
              <w:rPr>
                <w:webHidden/>
              </w:rPr>
              <w:fldChar w:fldCharType="begin"/>
            </w:r>
            <w:r w:rsidR="00B30F3B">
              <w:rPr>
                <w:webHidden/>
              </w:rPr>
              <w:instrText xml:space="preserve"> PAGEREF _Toc12476436 \h </w:instrText>
            </w:r>
            <w:r w:rsidR="00B30F3B">
              <w:rPr>
                <w:webHidden/>
              </w:rPr>
            </w:r>
            <w:r w:rsidR="00B30F3B">
              <w:rPr>
                <w:webHidden/>
              </w:rPr>
              <w:fldChar w:fldCharType="separate"/>
            </w:r>
            <w:r w:rsidR="00B30F3B">
              <w:rPr>
                <w:webHidden/>
              </w:rPr>
              <w:t>7</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37" w:history="1">
            <w:r w:rsidR="00B30F3B" w:rsidRPr="006B53F7">
              <w:rPr>
                <w:rStyle w:val="Hyperlink"/>
                <w:rFonts w:eastAsiaTheme="majorEastAsia"/>
              </w:rPr>
              <w:t>4.2.</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Προετοιμασία των δοκιμίων</w:t>
            </w:r>
            <w:r w:rsidR="00B30F3B">
              <w:rPr>
                <w:webHidden/>
              </w:rPr>
              <w:tab/>
            </w:r>
            <w:r w:rsidR="00B30F3B">
              <w:rPr>
                <w:webHidden/>
              </w:rPr>
              <w:fldChar w:fldCharType="begin"/>
            </w:r>
            <w:r w:rsidR="00B30F3B">
              <w:rPr>
                <w:webHidden/>
              </w:rPr>
              <w:instrText xml:space="preserve"> PAGEREF _Toc12476437 \h </w:instrText>
            </w:r>
            <w:r w:rsidR="00B30F3B">
              <w:rPr>
                <w:webHidden/>
              </w:rPr>
            </w:r>
            <w:r w:rsidR="00B30F3B">
              <w:rPr>
                <w:webHidden/>
              </w:rPr>
              <w:fldChar w:fldCharType="separate"/>
            </w:r>
            <w:r w:rsidR="00B30F3B">
              <w:rPr>
                <w:webHidden/>
              </w:rPr>
              <w:t>7</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38" w:history="1">
            <w:r w:rsidR="00B30F3B" w:rsidRPr="006B53F7">
              <w:rPr>
                <w:rStyle w:val="Hyperlink"/>
                <w:rFonts w:eastAsiaTheme="majorEastAsia"/>
              </w:rPr>
              <w:t>4.2.1.</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Εφαρμογή</w:t>
            </w:r>
            <w:r w:rsidR="00B30F3B">
              <w:rPr>
                <w:webHidden/>
              </w:rPr>
              <w:tab/>
            </w:r>
            <w:r w:rsidR="00B30F3B">
              <w:rPr>
                <w:webHidden/>
              </w:rPr>
              <w:fldChar w:fldCharType="begin"/>
            </w:r>
            <w:r w:rsidR="00B30F3B">
              <w:rPr>
                <w:webHidden/>
              </w:rPr>
              <w:instrText xml:space="preserve"> PAGEREF _Toc12476438 \h </w:instrText>
            </w:r>
            <w:r w:rsidR="00B30F3B">
              <w:rPr>
                <w:webHidden/>
              </w:rPr>
            </w:r>
            <w:r w:rsidR="00B30F3B">
              <w:rPr>
                <w:webHidden/>
              </w:rPr>
              <w:fldChar w:fldCharType="separate"/>
            </w:r>
            <w:r w:rsidR="00B30F3B">
              <w:rPr>
                <w:webHidden/>
              </w:rPr>
              <w:t>7</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39" w:history="1">
            <w:r w:rsidR="00B30F3B" w:rsidRPr="006B53F7">
              <w:rPr>
                <w:rStyle w:val="Hyperlink"/>
                <w:rFonts w:eastAsiaTheme="majorEastAsia"/>
              </w:rPr>
              <w:t>4.2.2.</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Μετρήσεις που αφορούν την εφαρμογή</w:t>
            </w:r>
            <w:r w:rsidR="00B30F3B">
              <w:rPr>
                <w:webHidden/>
              </w:rPr>
              <w:tab/>
            </w:r>
            <w:r w:rsidR="00B30F3B">
              <w:rPr>
                <w:webHidden/>
              </w:rPr>
              <w:fldChar w:fldCharType="begin"/>
            </w:r>
            <w:r w:rsidR="00B30F3B">
              <w:rPr>
                <w:webHidden/>
              </w:rPr>
              <w:instrText xml:space="preserve"> PAGEREF _Toc12476439 \h </w:instrText>
            </w:r>
            <w:r w:rsidR="00B30F3B">
              <w:rPr>
                <w:webHidden/>
              </w:rPr>
            </w:r>
            <w:r w:rsidR="00B30F3B">
              <w:rPr>
                <w:webHidden/>
              </w:rPr>
              <w:fldChar w:fldCharType="separate"/>
            </w:r>
            <w:r w:rsidR="00B30F3B">
              <w:rPr>
                <w:webHidden/>
              </w:rPr>
              <w:t>9</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40" w:history="1">
            <w:r w:rsidR="00B30F3B" w:rsidRPr="006B53F7">
              <w:rPr>
                <w:rStyle w:val="Hyperlink"/>
                <w:rFonts w:eastAsiaTheme="majorEastAsia" w:cs="Arial"/>
              </w:rPr>
              <w:t>4.2.3.</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Δειγματοληψία</w:t>
            </w:r>
            <w:r w:rsidR="00B30F3B">
              <w:rPr>
                <w:webHidden/>
              </w:rPr>
              <w:tab/>
            </w:r>
            <w:r w:rsidR="00B30F3B">
              <w:rPr>
                <w:webHidden/>
              </w:rPr>
              <w:fldChar w:fldCharType="begin"/>
            </w:r>
            <w:r w:rsidR="00B30F3B">
              <w:rPr>
                <w:webHidden/>
              </w:rPr>
              <w:instrText xml:space="preserve"> PAGEREF _Toc12476440 \h </w:instrText>
            </w:r>
            <w:r w:rsidR="00B30F3B">
              <w:rPr>
                <w:webHidden/>
              </w:rPr>
            </w:r>
            <w:r w:rsidR="00B30F3B">
              <w:rPr>
                <w:webHidden/>
              </w:rPr>
              <w:fldChar w:fldCharType="separate"/>
            </w:r>
            <w:r w:rsidR="00B30F3B">
              <w:rPr>
                <w:webHidden/>
              </w:rPr>
              <w:t>9</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41" w:history="1">
            <w:r w:rsidR="00B30F3B" w:rsidRPr="006B53F7">
              <w:rPr>
                <w:rStyle w:val="Hyperlink"/>
                <w:rFonts w:eastAsiaTheme="majorEastAsia" w:cs="Arial"/>
              </w:rPr>
              <w:t>4.2.4.</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Χρόνος σταθεροποίησης</w:t>
            </w:r>
            <w:r w:rsidR="00B30F3B">
              <w:rPr>
                <w:webHidden/>
              </w:rPr>
              <w:tab/>
            </w:r>
            <w:r w:rsidR="00B30F3B">
              <w:rPr>
                <w:webHidden/>
              </w:rPr>
              <w:fldChar w:fldCharType="begin"/>
            </w:r>
            <w:r w:rsidR="00B30F3B">
              <w:rPr>
                <w:webHidden/>
              </w:rPr>
              <w:instrText xml:space="preserve"> PAGEREF _Toc12476441 \h </w:instrText>
            </w:r>
            <w:r w:rsidR="00B30F3B">
              <w:rPr>
                <w:webHidden/>
              </w:rPr>
            </w:r>
            <w:r w:rsidR="00B30F3B">
              <w:rPr>
                <w:webHidden/>
              </w:rPr>
              <w:fldChar w:fldCharType="separate"/>
            </w:r>
            <w:r w:rsidR="00B30F3B">
              <w:rPr>
                <w:webHidden/>
              </w:rPr>
              <w:t>10</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42" w:history="1">
            <w:r w:rsidR="00B30F3B" w:rsidRPr="006B53F7">
              <w:rPr>
                <w:rStyle w:val="Hyperlink"/>
                <w:rFonts w:eastAsiaTheme="majorEastAsia"/>
              </w:rPr>
              <w:t>4.2.5.</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Κατεύθυνση εφαρμογής</w:t>
            </w:r>
            <w:r w:rsidR="00B30F3B">
              <w:rPr>
                <w:webHidden/>
              </w:rPr>
              <w:tab/>
            </w:r>
            <w:r w:rsidR="00B30F3B">
              <w:rPr>
                <w:webHidden/>
              </w:rPr>
              <w:fldChar w:fldCharType="begin"/>
            </w:r>
            <w:r w:rsidR="00B30F3B">
              <w:rPr>
                <w:webHidden/>
              </w:rPr>
              <w:instrText xml:space="preserve"> PAGEREF _Toc12476442 \h </w:instrText>
            </w:r>
            <w:r w:rsidR="00B30F3B">
              <w:rPr>
                <w:webHidden/>
              </w:rPr>
            </w:r>
            <w:r w:rsidR="00B30F3B">
              <w:rPr>
                <w:webHidden/>
              </w:rPr>
              <w:fldChar w:fldCharType="separate"/>
            </w:r>
            <w:r w:rsidR="00B30F3B">
              <w:rPr>
                <w:webHidden/>
              </w:rPr>
              <w:t>10</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43" w:history="1">
            <w:r w:rsidR="00B30F3B" w:rsidRPr="006B53F7">
              <w:rPr>
                <w:rStyle w:val="Hyperlink"/>
                <w:rFonts w:eastAsiaTheme="majorEastAsia" w:cs="Arial"/>
              </w:rPr>
              <w:t>4.3.</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Δείγμα αναφοράς</w:t>
            </w:r>
            <w:r w:rsidR="00B30F3B">
              <w:rPr>
                <w:webHidden/>
              </w:rPr>
              <w:tab/>
            </w:r>
            <w:r w:rsidR="00B30F3B">
              <w:rPr>
                <w:webHidden/>
              </w:rPr>
              <w:fldChar w:fldCharType="begin"/>
            </w:r>
            <w:r w:rsidR="00B30F3B">
              <w:rPr>
                <w:webHidden/>
              </w:rPr>
              <w:instrText xml:space="preserve"> PAGEREF _Toc12476443 \h </w:instrText>
            </w:r>
            <w:r w:rsidR="00B30F3B">
              <w:rPr>
                <w:webHidden/>
              </w:rPr>
            </w:r>
            <w:r w:rsidR="00B30F3B">
              <w:rPr>
                <w:webHidden/>
              </w:rPr>
              <w:fldChar w:fldCharType="separate"/>
            </w:r>
            <w:r w:rsidR="00B30F3B">
              <w:rPr>
                <w:webHidden/>
              </w:rPr>
              <w:t>10</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44" w:history="1">
            <w:r w:rsidR="00B30F3B" w:rsidRPr="006B53F7">
              <w:rPr>
                <w:rStyle w:val="Hyperlink"/>
                <w:rFonts w:eastAsiaTheme="majorEastAsia"/>
              </w:rPr>
              <w:t>4.4.</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Διεξαγωγή της δοκιμής</w:t>
            </w:r>
            <w:r w:rsidR="00B30F3B">
              <w:rPr>
                <w:webHidden/>
              </w:rPr>
              <w:tab/>
            </w:r>
            <w:r w:rsidR="00B30F3B">
              <w:rPr>
                <w:webHidden/>
              </w:rPr>
              <w:fldChar w:fldCharType="begin"/>
            </w:r>
            <w:r w:rsidR="00B30F3B">
              <w:rPr>
                <w:webHidden/>
              </w:rPr>
              <w:instrText xml:space="preserve"> PAGEREF _Toc12476444 \h </w:instrText>
            </w:r>
            <w:r w:rsidR="00B30F3B">
              <w:rPr>
                <w:webHidden/>
              </w:rPr>
            </w:r>
            <w:r w:rsidR="00B30F3B">
              <w:rPr>
                <w:webHidden/>
              </w:rPr>
              <w:fldChar w:fldCharType="separate"/>
            </w:r>
            <w:r w:rsidR="00B30F3B">
              <w:rPr>
                <w:webHidden/>
              </w:rPr>
              <w:t>10</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45" w:history="1">
            <w:r w:rsidR="00B30F3B" w:rsidRPr="006B53F7">
              <w:rPr>
                <w:rStyle w:val="Hyperlink"/>
                <w:rFonts w:eastAsiaTheme="majorEastAsia" w:cs="Arial"/>
              </w:rPr>
              <w:t>4.4.1.</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Συνθήκες δοκιμής</w:t>
            </w:r>
            <w:r w:rsidR="00B30F3B">
              <w:rPr>
                <w:webHidden/>
              </w:rPr>
              <w:tab/>
            </w:r>
            <w:r w:rsidR="00B30F3B">
              <w:rPr>
                <w:webHidden/>
              </w:rPr>
              <w:fldChar w:fldCharType="begin"/>
            </w:r>
            <w:r w:rsidR="00B30F3B">
              <w:rPr>
                <w:webHidden/>
              </w:rPr>
              <w:instrText xml:space="preserve"> PAGEREF _Toc12476445 \h </w:instrText>
            </w:r>
            <w:r w:rsidR="00B30F3B">
              <w:rPr>
                <w:webHidden/>
              </w:rPr>
            </w:r>
            <w:r w:rsidR="00B30F3B">
              <w:rPr>
                <w:webHidden/>
              </w:rPr>
              <w:fldChar w:fldCharType="separate"/>
            </w:r>
            <w:r w:rsidR="00B30F3B">
              <w:rPr>
                <w:webHidden/>
              </w:rPr>
              <w:t>10</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46" w:history="1">
            <w:r w:rsidR="00B30F3B" w:rsidRPr="006B53F7">
              <w:rPr>
                <w:rStyle w:val="Hyperlink"/>
                <w:rFonts w:eastAsiaTheme="majorEastAsia"/>
              </w:rPr>
              <w:t>4.4.2.</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Μετρήσεις σχετικά με τον προσομοιωτή και τις συνθήκες δοκιμής</w:t>
            </w:r>
            <w:r w:rsidR="00B30F3B">
              <w:rPr>
                <w:webHidden/>
              </w:rPr>
              <w:tab/>
            </w:r>
            <w:r w:rsidR="00B30F3B">
              <w:rPr>
                <w:webHidden/>
              </w:rPr>
              <w:fldChar w:fldCharType="begin"/>
            </w:r>
            <w:r w:rsidR="00B30F3B">
              <w:rPr>
                <w:webHidden/>
              </w:rPr>
              <w:instrText xml:space="preserve"> PAGEREF _Toc12476446 \h </w:instrText>
            </w:r>
            <w:r w:rsidR="00B30F3B">
              <w:rPr>
                <w:webHidden/>
              </w:rPr>
            </w:r>
            <w:r w:rsidR="00B30F3B">
              <w:rPr>
                <w:webHidden/>
              </w:rPr>
              <w:fldChar w:fldCharType="separate"/>
            </w:r>
            <w:r w:rsidR="00B30F3B">
              <w:rPr>
                <w:webHidden/>
              </w:rPr>
              <w:t>12</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47" w:history="1">
            <w:r w:rsidR="00B30F3B" w:rsidRPr="006B53F7">
              <w:rPr>
                <w:rStyle w:val="Hyperlink"/>
                <w:rFonts w:eastAsiaTheme="majorEastAsia"/>
              </w:rPr>
              <w:t>4.4.3.</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Μετρήσεις των τεχνικών χαρακτηριστικών που αφορούν την κυκλοφορία για τα συστήματα σήμανσης</w:t>
            </w:r>
            <w:r w:rsidR="00B30F3B">
              <w:rPr>
                <w:webHidden/>
              </w:rPr>
              <w:tab/>
            </w:r>
            <w:r w:rsidR="00B30F3B">
              <w:rPr>
                <w:webHidden/>
              </w:rPr>
              <w:fldChar w:fldCharType="begin"/>
            </w:r>
            <w:r w:rsidR="00B30F3B">
              <w:rPr>
                <w:webHidden/>
              </w:rPr>
              <w:instrText xml:space="preserve"> PAGEREF _Toc12476447 \h </w:instrText>
            </w:r>
            <w:r w:rsidR="00B30F3B">
              <w:rPr>
                <w:webHidden/>
              </w:rPr>
            </w:r>
            <w:r w:rsidR="00B30F3B">
              <w:rPr>
                <w:webHidden/>
              </w:rPr>
              <w:fldChar w:fldCharType="separate"/>
            </w:r>
            <w:r w:rsidR="00B30F3B">
              <w:rPr>
                <w:webHidden/>
              </w:rPr>
              <w:t>12</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48" w:history="1">
            <w:r w:rsidR="00B30F3B" w:rsidRPr="006B53F7">
              <w:rPr>
                <w:rStyle w:val="Hyperlink"/>
                <w:rFonts w:eastAsiaTheme="majorEastAsia"/>
              </w:rPr>
              <w:t>4.4.4.</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Αξιολόγηση των δοκιμών</w:t>
            </w:r>
            <w:r w:rsidR="00B30F3B">
              <w:rPr>
                <w:webHidden/>
              </w:rPr>
              <w:tab/>
            </w:r>
            <w:r w:rsidR="00B30F3B">
              <w:rPr>
                <w:webHidden/>
              </w:rPr>
              <w:fldChar w:fldCharType="begin"/>
            </w:r>
            <w:r w:rsidR="00B30F3B">
              <w:rPr>
                <w:webHidden/>
              </w:rPr>
              <w:instrText xml:space="preserve"> PAGEREF _Toc12476448 \h </w:instrText>
            </w:r>
            <w:r w:rsidR="00B30F3B">
              <w:rPr>
                <w:webHidden/>
              </w:rPr>
            </w:r>
            <w:r w:rsidR="00B30F3B">
              <w:rPr>
                <w:webHidden/>
              </w:rPr>
              <w:fldChar w:fldCharType="separate"/>
            </w:r>
            <w:r w:rsidR="00B30F3B">
              <w:rPr>
                <w:webHidden/>
              </w:rPr>
              <w:t>13</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49" w:history="1">
            <w:r w:rsidR="00B30F3B" w:rsidRPr="006B53F7">
              <w:rPr>
                <w:rStyle w:val="Hyperlink"/>
                <w:rFonts w:eastAsiaTheme="majorEastAsia"/>
              </w:rPr>
              <w:t>4.4.5.</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Έλεγχος των δοκιμών (αναπαραγωγικότητα)</w:t>
            </w:r>
            <w:r w:rsidR="00B30F3B">
              <w:rPr>
                <w:webHidden/>
              </w:rPr>
              <w:tab/>
            </w:r>
            <w:r w:rsidR="00B30F3B">
              <w:rPr>
                <w:webHidden/>
              </w:rPr>
              <w:fldChar w:fldCharType="begin"/>
            </w:r>
            <w:r w:rsidR="00B30F3B">
              <w:rPr>
                <w:webHidden/>
              </w:rPr>
              <w:instrText xml:space="preserve"> PAGEREF _Toc12476449 \h </w:instrText>
            </w:r>
            <w:r w:rsidR="00B30F3B">
              <w:rPr>
                <w:webHidden/>
              </w:rPr>
            </w:r>
            <w:r w:rsidR="00B30F3B">
              <w:rPr>
                <w:webHidden/>
              </w:rPr>
              <w:fldChar w:fldCharType="separate"/>
            </w:r>
            <w:r w:rsidR="00B30F3B">
              <w:rPr>
                <w:webHidden/>
              </w:rPr>
              <w:t>13</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50" w:history="1">
            <w:r w:rsidR="00B30F3B" w:rsidRPr="006B53F7">
              <w:rPr>
                <w:rStyle w:val="Hyperlink"/>
                <w:rFonts w:eastAsiaTheme="majorEastAsia"/>
              </w:rPr>
              <w:t>5.</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Φυσικοχημικές δοκιμές των προϊόντων διαγράμμισης και των ενσωματούμενων υλικών (δοκιμή πρωτοτύπου)</w:t>
            </w:r>
            <w:r w:rsidR="00B30F3B">
              <w:rPr>
                <w:webHidden/>
              </w:rPr>
              <w:tab/>
            </w:r>
            <w:r w:rsidR="00B30F3B">
              <w:rPr>
                <w:webHidden/>
              </w:rPr>
              <w:fldChar w:fldCharType="begin"/>
            </w:r>
            <w:r w:rsidR="00B30F3B">
              <w:rPr>
                <w:webHidden/>
              </w:rPr>
              <w:instrText xml:space="preserve"> PAGEREF _Toc12476450 \h </w:instrText>
            </w:r>
            <w:r w:rsidR="00B30F3B">
              <w:rPr>
                <w:webHidden/>
              </w:rPr>
            </w:r>
            <w:r w:rsidR="00B30F3B">
              <w:rPr>
                <w:webHidden/>
              </w:rPr>
              <w:fldChar w:fldCharType="separate"/>
            </w:r>
            <w:r w:rsidR="00B30F3B">
              <w:rPr>
                <w:webHidden/>
              </w:rPr>
              <w:t>13</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51" w:history="1">
            <w:r w:rsidR="00B30F3B" w:rsidRPr="006B53F7">
              <w:rPr>
                <w:rStyle w:val="Hyperlink"/>
                <w:rFonts w:eastAsiaTheme="majorEastAsia"/>
              </w:rPr>
              <w:t>5.1.</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Γενικά</w:t>
            </w:r>
            <w:r w:rsidR="00B30F3B">
              <w:rPr>
                <w:webHidden/>
              </w:rPr>
              <w:tab/>
            </w:r>
            <w:r w:rsidR="00B30F3B">
              <w:rPr>
                <w:webHidden/>
              </w:rPr>
              <w:fldChar w:fldCharType="begin"/>
            </w:r>
            <w:r w:rsidR="00B30F3B">
              <w:rPr>
                <w:webHidden/>
              </w:rPr>
              <w:instrText xml:space="preserve"> PAGEREF _Toc12476451 \h </w:instrText>
            </w:r>
            <w:r w:rsidR="00B30F3B">
              <w:rPr>
                <w:webHidden/>
              </w:rPr>
            </w:r>
            <w:r w:rsidR="00B30F3B">
              <w:rPr>
                <w:webHidden/>
              </w:rPr>
              <w:fldChar w:fldCharType="separate"/>
            </w:r>
            <w:r w:rsidR="00B30F3B">
              <w:rPr>
                <w:webHidden/>
              </w:rPr>
              <w:t>13</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52" w:history="1">
            <w:r w:rsidR="00B30F3B" w:rsidRPr="006B53F7">
              <w:rPr>
                <w:rStyle w:val="Hyperlink"/>
                <w:rFonts w:eastAsiaTheme="majorEastAsia"/>
              </w:rPr>
              <w:t>5.2.</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Δειγματοληψία</w:t>
            </w:r>
            <w:r w:rsidR="00B30F3B">
              <w:rPr>
                <w:webHidden/>
              </w:rPr>
              <w:tab/>
            </w:r>
            <w:r w:rsidR="00B30F3B">
              <w:rPr>
                <w:webHidden/>
              </w:rPr>
              <w:fldChar w:fldCharType="begin"/>
            </w:r>
            <w:r w:rsidR="00B30F3B">
              <w:rPr>
                <w:webHidden/>
              </w:rPr>
              <w:instrText xml:space="preserve"> PAGEREF _Toc12476452 \h </w:instrText>
            </w:r>
            <w:r w:rsidR="00B30F3B">
              <w:rPr>
                <w:webHidden/>
              </w:rPr>
            </w:r>
            <w:r w:rsidR="00B30F3B">
              <w:rPr>
                <w:webHidden/>
              </w:rPr>
              <w:fldChar w:fldCharType="separate"/>
            </w:r>
            <w:r w:rsidR="00B30F3B">
              <w:rPr>
                <w:webHidden/>
              </w:rPr>
              <w:t>14</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53" w:history="1">
            <w:r w:rsidR="00B30F3B" w:rsidRPr="006B53F7">
              <w:rPr>
                <w:rStyle w:val="Hyperlink"/>
                <w:rFonts w:eastAsiaTheme="majorEastAsia"/>
              </w:rPr>
              <w:t>5.3.</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Δοκιμή πρωτοτύπων μη προδιαμορφωμένων συστημάτων οριζόντιας σήμανσης</w:t>
            </w:r>
            <w:r w:rsidR="00B30F3B">
              <w:rPr>
                <w:webHidden/>
              </w:rPr>
              <w:tab/>
            </w:r>
            <w:r w:rsidR="00B30F3B">
              <w:rPr>
                <w:webHidden/>
              </w:rPr>
              <w:fldChar w:fldCharType="begin"/>
            </w:r>
            <w:r w:rsidR="00B30F3B">
              <w:rPr>
                <w:webHidden/>
              </w:rPr>
              <w:instrText xml:space="preserve"> PAGEREF _Toc12476453 \h </w:instrText>
            </w:r>
            <w:r w:rsidR="00B30F3B">
              <w:rPr>
                <w:webHidden/>
              </w:rPr>
            </w:r>
            <w:r w:rsidR="00B30F3B">
              <w:rPr>
                <w:webHidden/>
              </w:rPr>
              <w:fldChar w:fldCharType="separate"/>
            </w:r>
            <w:r w:rsidR="00B30F3B">
              <w:rPr>
                <w:webHidden/>
              </w:rPr>
              <w:t>15</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54" w:history="1">
            <w:r w:rsidR="00B30F3B" w:rsidRPr="006B53F7">
              <w:rPr>
                <w:rStyle w:val="Hyperlink"/>
                <w:rFonts w:eastAsiaTheme="majorEastAsia"/>
              </w:rPr>
              <w:t>5.3.1.</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Προσδιορισμός των οργανικών και ανόργανων ενώσεων</w:t>
            </w:r>
            <w:r w:rsidR="00B30F3B">
              <w:rPr>
                <w:webHidden/>
              </w:rPr>
              <w:tab/>
            </w:r>
            <w:r w:rsidR="00B30F3B">
              <w:rPr>
                <w:webHidden/>
              </w:rPr>
              <w:fldChar w:fldCharType="begin"/>
            </w:r>
            <w:r w:rsidR="00B30F3B">
              <w:rPr>
                <w:webHidden/>
              </w:rPr>
              <w:instrText xml:space="preserve"> PAGEREF _Toc12476454 \h </w:instrText>
            </w:r>
            <w:r w:rsidR="00B30F3B">
              <w:rPr>
                <w:webHidden/>
              </w:rPr>
            </w:r>
            <w:r w:rsidR="00B30F3B">
              <w:rPr>
                <w:webHidden/>
              </w:rPr>
              <w:fldChar w:fldCharType="separate"/>
            </w:r>
            <w:r w:rsidR="00B30F3B">
              <w:rPr>
                <w:webHidden/>
              </w:rPr>
              <w:t>15</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55" w:history="1">
            <w:r w:rsidR="00B30F3B" w:rsidRPr="006B53F7">
              <w:rPr>
                <w:rStyle w:val="Hyperlink"/>
                <w:rFonts w:eastAsiaTheme="majorEastAsia"/>
              </w:rPr>
              <w:t>5.3.2.</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Προσδιορισμός των πτητικών ανόργανων ενώσεων και των μονομερών/ολιγομερών</w:t>
            </w:r>
            <w:r w:rsidR="00B30F3B">
              <w:rPr>
                <w:webHidden/>
              </w:rPr>
              <w:tab/>
            </w:r>
            <w:r w:rsidR="00B30F3B">
              <w:rPr>
                <w:webHidden/>
              </w:rPr>
              <w:fldChar w:fldCharType="begin"/>
            </w:r>
            <w:r w:rsidR="00B30F3B">
              <w:rPr>
                <w:webHidden/>
              </w:rPr>
              <w:instrText xml:space="preserve"> PAGEREF _Toc12476455 \h </w:instrText>
            </w:r>
            <w:r w:rsidR="00B30F3B">
              <w:rPr>
                <w:webHidden/>
              </w:rPr>
            </w:r>
            <w:r w:rsidR="00B30F3B">
              <w:rPr>
                <w:webHidden/>
              </w:rPr>
              <w:fldChar w:fldCharType="separate"/>
            </w:r>
            <w:r w:rsidR="00B30F3B">
              <w:rPr>
                <w:webHidden/>
              </w:rPr>
              <w:t>15</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56" w:history="1">
            <w:r w:rsidR="00B30F3B" w:rsidRPr="006B53F7">
              <w:rPr>
                <w:rStyle w:val="Hyperlink"/>
                <w:rFonts w:eastAsiaTheme="majorEastAsia"/>
              </w:rPr>
              <w:t>5.3.3.</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Προσδιορισμός της περιεκτικότητας σε διοξείδιο του τιτανίου στα ανόργανα υπολείμματα</w:t>
            </w:r>
            <w:r w:rsidR="00B30F3B">
              <w:rPr>
                <w:webHidden/>
              </w:rPr>
              <w:tab/>
            </w:r>
            <w:r w:rsidR="00B30F3B">
              <w:rPr>
                <w:webHidden/>
              </w:rPr>
              <w:fldChar w:fldCharType="begin"/>
            </w:r>
            <w:r w:rsidR="00B30F3B">
              <w:rPr>
                <w:webHidden/>
              </w:rPr>
              <w:instrText xml:space="preserve"> PAGEREF _Toc12476456 \h </w:instrText>
            </w:r>
            <w:r w:rsidR="00B30F3B">
              <w:rPr>
                <w:webHidden/>
              </w:rPr>
            </w:r>
            <w:r w:rsidR="00B30F3B">
              <w:rPr>
                <w:webHidden/>
              </w:rPr>
              <w:fldChar w:fldCharType="separate"/>
            </w:r>
            <w:r w:rsidR="00B30F3B">
              <w:rPr>
                <w:webHidden/>
              </w:rPr>
              <w:t>16</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57" w:history="1">
            <w:r w:rsidR="00B30F3B" w:rsidRPr="006B53F7">
              <w:rPr>
                <w:rStyle w:val="Hyperlink"/>
                <w:rFonts w:eastAsiaTheme="majorEastAsia"/>
              </w:rPr>
              <w:t>5.3.4.</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Προσδιορισμός ποσοστών των υλικών προανάμιξης</w:t>
            </w:r>
            <w:r w:rsidR="00B30F3B">
              <w:rPr>
                <w:webHidden/>
              </w:rPr>
              <w:tab/>
            </w:r>
            <w:r w:rsidR="00B30F3B">
              <w:rPr>
                <w:webHidden/>
              </w:rPr>
              <w:fldChar w:fldCharType="begin"/>
            </w:r>
            <w:r w:rsidR="00B30F3B">
              <w:rPr>
                <w:webHidden/>
              </w:rPr>
              <w:instrText xml:space="preserve"> PAGEREF _Toc12476457 \h </w:instrText>
            </w:r>
            <w:r w:rsidR="00B30F3B">
              <w:rPr>
                <w:webHidden/>
              </w:rPr>
            </w:r>
            <w:r w:rsidR="00B30F3B">
              <w:rPr>
                <w:webHidden/>
              </w:rPr>
              <w:fldChar w:fldCharType="separate"/>
            </w:r>
            <w:r w:rsidR="00B30F3B">
              <w:rPr>
                <w:webHidden/>
              </w:rPr>
              <w:t>16</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58" w:history="1">
            <w:r w:rsidR="00B30F3B" w:rsidRPr="006B53F7">
              <w:rPr>
                <w:rStyle w:val="Hyperlink"/>
                <w:rFonts w:eastAsiaTheme="majorEastAsia"/>
              </w:rPr>
              <w:t>5.3.5.</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Προσδιορισμός του σημείου μάλθωσης κατά Wilhelmi</w:t>
            </w:r>
            <w:r w:rsidR="00B30F3B">
              <w:rPr>
                <w:webHidden/>
              </w:rPr>
              <w:tab/>
            </w:r>
            <w:r w:rsidR="00B30F3B">
              <w:rPr>
                <w:webHidden/>
              </w:rPr>
              <w:fldChar w:fldCharType="begin"/>
            </w:r>
            <w:r w:rsidR="00B30F3B">
              <w:rPr>
                <w:webHidden/>
              </w:rPr>
              <w:instrText xml:space="preserve"> PAGEREF _Toc12476458 \h </w:instrText>
            </w:r>
            <w:r w:rsidR="00B30F3B">
              <w:rPr>
                <w:webHidden/>
              </w:rPr>
            </w:r>
            <w:r w:rsidR="00B30F3B">
              <w:rPr>
                <w:webHidden/>
              </w:rPr>
              <w:fldChar w:fldCharType="separate"/>
            </w:r>
            <w:r w:rsidR="00B30F3B">
              <w:rPr>
                <w:webHidden/>
              </w:rPr>
              <w:t>16</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59" w:history="1">
            <w:r w:rsidR="00B30F3B" w:rsidRPr="006B53F7">
              <w:rPr>
                <w:rStyle w:val="Hyperlink"/>
                <w:rFonts w:eastAsiaTheme="majorEastAsia"/>
              </w:rPr>
              <w:t>5.3.6.</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Ικανότητα διείσδυσης</w:t>
            </w:r>
            <w:r w:rsidR="00B30F3B">
              <w:rPr>
                <w:webHidden/>
              </w:rPr>
              <w:tab/>
            </w:r>
            <w:r w:rsidR="00B30F3B">
              <w:rPr>
                <w:webHidden/>
              </w:rPr>
              <w:fldChar w:fldCharType="begin"/>
            </w:r>
            <w:r w:rsidR="00B30F3B">
              <w:rPr>
                <w:webHidden/>
              </w:rPr>
              <w:instrText xml:space="preserve"> PAGEREF _Toc12476459 \h </w:instrText>
            </w:r>
            <w:r w:rsidR="00B30F3B">
              <w:rPr>
                <w:webHidden/>
              </w:rPr>
            </w:r>
            <w:r w:rsidR="00B30F3B">
              <w:rPr>
                <w:webHidden/>
              </w:rPr>
              <w:fldChar w:fldCharType="separate"/>
            </w:r>
            <w:r w:rsidR="00B30F3B">
              <w:rPr>
                <w:webHidden/>
              </w:rPr>
              <w:t>16</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60" w:history="1">
            <w:r w:rsidR="00B30F3B" w:rsidRPr="006B53F7">
              <w:rPr>
                <w:rStyle w:val="Hyperlink"/>
                <w:rFonts w:eastAsiaTheme="majorEastAsia"/>
              </w:rPr>
              <w:t>5.3.7.</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Δοκιμή για την ύπαρξη μολύβδου και καδμίου σε προσωρινά συστήματα οριζόντιας σήμανσης</w:t>
            </w:r>
            <w:r w:rsidR="00B30F3B">
              <w:rPr>
                <w:webHidden/>
              </w:rPr>
              <w:tab/>
            </w:r>
            <w:r w:rsidR="00B30F3B">
              <w:rPr>
                <w:webHidden/>
              </w:rPr>
              <w:fldChar w:fldCharType="begin"/>
            </w:r>
            <w:r w:rsidR="00B30F3B">
              <w:rPr>
                <w:webHidden/>
              </w:rPr>
              <w:instrText xml:space="preserve"> PAGEREF _Toc12476460 \h </w:instrText>
            </w:r>
            <w:r w:rsidR="00B30F3B">
              <w:rPr>
                <w:webHidden/>
              </w:rPr>
            </w:r>
            <w:r w:rsidR="00B30F3B">
              <w:rPr>
                <w:webHidden/>
              </w:rPr>
              <w:fldChar w:fldCharType="separate"/>
            </w:r>
            <w:r w:rsidR="00B30F3B">
              <w:rPr>
                <w:webHidden/>
              </w:rPr>
              <w:t>16</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61" w:history="1">
            <w:r w:rsidR="00B30F3B" w:rsidRPr="006B53F7">
              <w:rPr>
                <w:rStyle w:val="Hyperlink"/>
                <w:rFonts w:eastAsiaTheme="majorEastAsia"/>
              </w:rPr>
              <w:t>5.4.</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Δοκιμή των πρωτοτύπων των υμένων οριζόντιας σήμανσης (διαδικασία ταυτοποίησης)</w:t>
            </w:r>
            <w:r w:rsidR="00B30F3B">
              <w:rPr>
                <w:webHidden/>
              </w:rPr>
              <w:tab/>
            </w:r>
            <w:r w:rsidR="00B30F3B">
              <w:rPr>
                <w:webHidden/>
              </w:rPr>
              <w:fldChar w:fldCharType="begin"/>
            </w:r>
            <w:r w:rsidR="00B30F3B">
              <w:rPr>
                <w:webHidden/>
              </w:rPr>
              <w:instrText xml:space="preserve"> PAGEREF _Toc12476461 \h </w:instrText>
            </w:r>
            <w:r w:rsidR="00B30F3B">
              <w:rPr>
                <w:webHidden/>
              </w:rPr>
            </w:r>
            <w:r w:rsidR="00B30F3B">
              <w:rPr>
                <w:webHidden/>
              </w:rPr>
              <w:fldChar w:fldCharType="separate"/>
            </w:r>
            <w:r w:rsidR="00B30F3B">
              <w:rPr>
                <w:webHidden/>
              </w:rPr>
              <w:t>17</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62" w:history="1">
            <w:r w:rsidR="00B30F3B" w:rsidRPr="006B53F7">
              <w:rPr>
                <w:rStyle w:val="Hyperlink"/>
                <w:rFonts w:eastAsiaTheme="majorEastAsia"/>
              </w:rPr>
              <w:t>5.4.1.</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Δείγματα αναφοράς των υμένων</w:t>
            </w:r>
            <w:r w:rsidR="00B30F3B">
              <w:rPr>
                <w:webHidden/>
              </w:rPr>
              <w:tab/>
            </w:r>
            <w:r w:rsidR="00B30F3B">
              <w:rPr>
                <w:webHidden/>
              </w:rPr>
              <w:fldChar w:fldCharType="begin"/>
            </w:r>
            <w:r w:rsidR="00B30F3B">
              <w:rPr>
                <w:webHidden/>
              </w:rPr>
              <w:instrText xml:space="preserve"> PAGEREF _Toc12476462 \h </w:instrText>
            </w:r>
            <w:r w:rsidR="00B30F3B">
              <w:rPr>
                <w:webHidden/>
              </w:rPr>
            </w:r>
            <w:r w:rsidR="00B30F3B">
              <w:rPr>
                <w:webHidden/>
              </w:rPr>
              <w:fldChar w:fldCharType="separate"/>
            </w:r>
            <w:r w:rsidR="00B30F3B">
              <w:rPr>
                <w:webHidden/>
              </w:rPr>
              <w:t>17</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63" w:history="1">
            <w:r w:rsidR="00B30F3B" w:rsidRPr="006B53F7">
              <w:rPr>
                <w:rStyle w:val="Hyperlink"/>
                <w:rFonts w:eastAsiaTheme="majorEastAsia"/>
              </w:rPr>
              <w:t>5.4.2.</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Ανάλυση εικόνας των υμένων οριζόντιας σήμανσης οδών</w:t>
            </w:r>
            <w:r w:rsidR="00B30F3B">
              <w:rPr>
                <w:webHidden/>
              </w:rPr>
              <w:tab/>
            </w:r>
            <w:r w:rsidR="00B30F3B">
              <w:rPr>
                <w:webHidden/>
              </w:rPr>
              <w:fldChar w:fldCharType="begin"/>
            </w:r>
            <w:r w:rsidR="00B30F3B">
              <w:rPr>
                <w:webHidden/>
              </w:rPr>
              <w:instrText xml:space="preserve"> PAGEREF _Toc12476463 \h </w:instrText>
            </w:r>
            <w:r w:rsidR="00B30F3B">
              <w:rPr>
                <w:webHidden/>
              </w:rPr>
            </w:r>
            <w:r w:rsidR="00B30F3B">
              <w:rPr>
                <w:webHidden/>
              </w:rPr>
              <w:fldChar w:fldCharType="separate"/>
            </w:r>
            <w:r w:rsidR="00B30F3B">
              <w:rPr>
                <w:webHidden/>
              </w:rPr>
              <w:t>17</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64" w:history="1">
            <w:r w:rsidR="00B30F3B" w:rsidRPr="006B53F7">
              <w:rPr>
                <w:rStyle w:val="Hyperlink"/>
                <w:rFonts w:eastAsiaTheme="majorEastAsia"/>
              </w:rPr>
              <w:t>5.4.3.</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Θερμοσταθμική ανάλυση υμένων οριζόντιας σήμανσης</w:t>
            </w:r>
            <w:r w:rsidR="00B30F3B">
              <w:rPr>
                <w:webHidden/>
              </w:rPr>
              <w:tab/>
            </w:r>
            <w:r w:rsidR="00B30F3B">
              <w:rPr>
                <w:webHidden/>
              </w:rPr>
              <w:fldChar w:fldCharType="begin"/>
            </w:r>
            <w:r w:rsidR="00B30F3B">
              <w:rPr>
                <w:webHidden/>
              </w:rPr>
              <w:instrText xml:space="preserve"> PAGEREF _Toc12476464 \h </w:instrText>
            </w:r>
            <w:r w:rsidR="00B30F3B">
              <w:rPr>
                <w:webHidden/>
              </w:rPr>
            </w:r>
            <w:r w:rsidR="00B30F3B">
              <w:rPr>
                <w:webHidden/>
              </w:rPr>
              <w:fldChar w:fldCharType="separate"/>
            </w:r>
            <w:r w:rsidR="00B30F3B">
              <w:rPr>
                <w:webHidden/>
              </w:rPr>
              <w:t>17</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65" w:history="1">
            <w:r w:rsidR="00B30F3B" w:rsidRPr="006B53F7">
              <w:rPr>
                <w:rStyle w:val="Hyperlink"/>
                <w:rFonts w:eastAsiaTheme="majorEastAsia"/>
              </w:rPr>
              <w:t>5.4.4.</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Ανάλυση της συγκολλητικής στρώσης των υμένων</w:t>
            </w:r>
            <w:r w:rsidR="00B30F3B">
              <w:rPr>
                <w:webHidden/>
              </w:rPr>
              <w:tab/>
            </w:r>
            <w:r w:rsidR="00B30F3B">
              <w:rPr>
                <w:webHidden/>
              </w:rPr>
              <w:fldChar w:fldCharType="begin"/>
            </w:r>
            <w:r w:rsidR="00B30F3B">
              <w:rPr>
                <w:webHidden/>
              </w:rPr>
              <w:instrText xml:space="preserve"> PAGEREF _Toc12476465 \h </w:instrText>
            </w:r>
            <w:r w:rsidR="00B30F3B">
              <w:rPr>
                <w:webHidden/>
              </w:rPr>
            </w:r>
            <w:r w:rsidR="00B30F3B">
              <w:rPr>
                <w:webHidden/>
              </w:rPr>
              <w:fldChar w:fldCharType="separate"/>
            </w:r>
            <w:r w:rsidR="00B30F3B">
              <w:rPr>
                <w:webHidden/>
              </w:rPr>
              <w:t>17</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66" w:history="1">
            <w:r w:rsidR="00B30F3B" w:rsidRPr="006B53F7">
              <w:rPr>
                <w:rStyle w:val="Hyperlink"/>
                <w:rFonts w:eastAsiaTheme="majorEastAsia"/>
              </w:rPr>
              <w:t>5.4.5.</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Ανάλυση ασφαλτικών υποστρωμάτων</w:t>
            </w:r>
            <w:r w:rsidR="00B30F3B">
              <w:rPr>
                <w:webHidden/>
              </w:rPr>
              <w:tab/>
            </w:r>
            <w:r w:rsidR="00B30F3B">
              <w:rPr>
                <w:webHidden/>
              </w:rPr>
              <w:fldChar w:fldCharType="begin"/>
            </w:r>
            <w:r w:rsidR="00B30F3B">
              <w:rPr>
                <w:webHidden/>
              </w:rPr>
              <w:instrText xml:space="preserve"> PAGEREF _Toc12476466 \h </w:instrText>
            </w:r>
            <w:r w:rsidR="00B30F3B">
              <w:rPr>
                <w:webHidden/>
              </w:rPr>
            </w:r>
            <w:r w:rsidR="00B30F3B">
              <w:rPr>
                <w:webHidden/>
              </w:rPr>
              <w:fldChar w:fldCharType="separate"/>
            </w:r>
            <w:r w:rsidR="00B30F3B">
              <w:rPr>
                <w:webHidden/>
              </w:rPr>
              <w:t>17</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67" w:history="1">
            <w:r w:rsidR="00B30F3B" w:rsidRPr="006B53F7">
              <w:rPr>
                <w:rStyle w:val="Hyperlink"/>
                <w:rFonts w:eastAsiaTheme="majorEastAsia"/>
              </w:rPr>
              <w:t>5.5.</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Δοκιμή πρωτοτύπων των ενσωματούμενων υλικών</w:t>
            </w:r>
            <w:r w:rsidR="00B30F3B">
              <w:rPr>
                <w:webHidden/>
              </w:rPr>
              <w:tab/>
            </w:r>
            <w:r w:rsidR="00B30F3B">
              <w:rPr>
                <w:webHidden/>
              </w:rPr>
              <w:fldChar w:fldCharType="begin"/>
            </w:r>
            <w:r w:rsidR="00B30F3B">
              <w:rPr>
                <w:webHidden/>
              </w:rPr>
              <w:instrText xml:space="preserve"> PAGEREF _Toc12476467 \h </w:instrText>
            </w:r>
            <w:r w:rsidR="00B30F3B">
              <w:rPr>
                <w:webHidden/>
              </w:rPr>
            </w:r>
            <w:r w:rsidR="00B30F3B">
              <w:rPr>
                <w:webHidden/>
              </w:rPr>
              <w:fldChar w:fldCharType="separate"/>
            </w:r>
            <w:r w:rsidR="00B30F3B">
              <w:rPr>
                <w:webHidden/>
              </w:rPr>
              <w:t>18</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68" w:history="1">
            <w:r w:rsidR="00B30F3B" w:rsidRPr="006B53F7">
              <w:rPr>
                <w:rStyle w:val="Hyperlink"/>
                <w:rFonts w:eastAsiaTheme="majorEastAsia"/>
              </w:rPr>
              <w:t>5.5.1.</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Ανάλυση των ανακλαστικών σφαιριδίων και των αντıολıσθητıκών αδρανών (συστήματα υλικών προανάμιξης και επίπασης)</w:t>
            </w:r>
            <w:r w:rsidR="00B30F3B">
              <w:rPr>
                <w:webHidden/>
              </w:rPr>
              <w:tab/>
            </w:r>
            <w:r w:rsidR="00B30F3B">
              <w:rPr>
                <w:webHidden/>
              </w:rPr>
              <w:fldChar w:fldCharType="begin"/>
            </w:r>
            <w:r w:rsidR="00B30F3B">
              <w:rPr>
                <w:webHidden/>
              </w:rPr>
              <w:instrText xml:space="preserve"> PAGEREF _Toc12476468 \h </w:instrText>
            </w:r>
            <w:r w:rsidR="00B30F3B">
              <w:rPr>
                <w:webHidden/>
              </w:rPr>
            </w:r>
            <w:r w:rsidR="00B30F3B">
              <w:rPr>
                <w:webHidden/>
              </w:rPr>
              <w:fldChar w:fldCharType="separate"/>
            </w:r>
            <w:r w:rsidR="00B30F3B">
              <w:rPr>
                <w:webHidden/>
              </w:rPr>
              <w:t>18</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69" w:history="1">
            <w:r w:rsidR="00B30F3B" w:rsidRPr="006B53F7">
              <w:rPr>
                <w:rStyle w:val="Hyperlink"/>
                <w:rFonts w:eastAsiaTheme="majorEastAsia"/>
              </w:rPr>
              <w:t>5.5.2.</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Ανάλυση της επίστρωσης ανακλαστικών σφαιριδίων και αντıολıσθητıκών αδρανών</w:t>
            </w:r>
            <w:r w:rsidR="00B30F3B">
              <w:rPr>
                <w:webHidden/>
              </w:rPr>
              <w:tab/>
            </w:r>
            <w:r w:rsidR="00B30F3B">
              <w:rPr>
                <w:webHidden/>
              </w:rPr>
              <w:fldChar w:fldCharType="begin"/>
            </w:r>
            <w:r w:rsidR="00B30F3B">
              <w:rPr>
                <w:webHidden/>
              </w:rPr>
              <w:instrText xml:space="preserve"> PAGEREF _Toc12476469 \h </w:instrText>
            </w:r>
            <w:r w:rsidR="00B30F3B">
              <w:rPr>
                <w:webHidden/>
              </w:rPr>
            </w:r>
            <w:r w:rsidR="00B30F3B">
              <w:rPr>
                <w:webHidden/>
              </w:rPr>
              <w:fldChar w:fldCharType="separate"/>
            </w:r>
            <w:r w:rsidR="00B30F3B">
              <w:rPr>
                <w:webHidden/>
              </w:rPr>
              <w:t>18</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70" w:history="1">
            <w:r w:rsidR="00B30F3B" w:rsidRPr="006B53F7">
              <w:rPr>
                <w:rStyle w:val="Hyperlink"/>
                <w:rFonts w:eastAsiaTheme="majorEastAsia"/>
              </w:rPr>
              <w:t>5.5.3.</w:t>
            </w:r>
            <w:r w:rsidR="00B30F3B">
              <w:rPr>
                <w:rFonts w:asciiTheme="minorHAnsi" w:eastAsiaTheme="minorEastAsia" w:hAnsiTheme="minorHAnsi" w:cstheme="minorBidi"/>
                <w:b w:val="0"/>
                <w:sz w:val="22"/>
                <w:szCs w:val="22"/>
                <w:lang w:val="en-US" w:eastAsia="en-US" w:bidi="ar-SA"/>
              </w:rPr>
              <w:tab/>
            </w:r>
            <w:r w:rsidR="00B30F3B" w:rsidRPr="006B53F7">
              <w:rPr>
                <w:rStyle w:val="Hyperlink"/>
                <w:rFonts w:eastAsiaTheme="majorEastAsia"/>
              </w:rPr>
              <w:t>Ανάλυση των λοιπών ενσωματούμενων υλικών</w:t>
            </w:r>
            <w:r w:rsidR="00B30F3B">
              <w:rPr>
                <w:webHidden/>
              </w:rPr>
              <w:tab/>
            </w:r>
            <w:r w:rsidR="00B30F3B">
              <w:rPr>
                <w:webHidden/>
              </w:rPr>
              <w:fldChar w:fldCharType="begin"/>
            </w:r>
            <w:r w:rsidR="00B30F3B">
              <w:rPr>
                <w:webHidden/>
              </w:rPr>
              <w:instrText xml:space="preserve"> PAGEREF _Toc12476470 \h </w:instrText>
            </w:r>
            <w:r w:rsidR="00B30F3B">
              <w:rPr>
                <w:webHidden/>
              </w:rPr>
            </w:r>
            <w:r w:rsidR="00B30F3B">
              <w:rPr>
                <w:webHidden/>
              </w:rPr>
              <w:fldChar w:fldCharType="separate"/>
            </w:r>
            <w:r w:rsidR="00B30F3B">
              <w:rPr>
                <w:webHidden/>
              </w:rPr>
              <w:t>18</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71" w:history="1">
            <w:r w:rsidR="00B30F3B" w:rsidRPr="006B53F7">
              <w:rPr>
                <w:rStyle w:val="Hyperlink"/>
                <w:rFonts w:eastAsiaTheme="majorEastAsia"/>
              </w:rPr>
              <w:t>Παράρτημα Α</w:t>
            </w:r>
            <w:r w:rsidR="00B30F3B">
              <w:rPr>
                <w:webHidden/>
              </w:rPr>
              <w:tab/>
            </w:r>
            <w:r w:rsidR="00B30F3B">
              <w:rPr>
                <w:webHidden/>
              </w:rPr>
              <w:fldChar w:fldCharType="begin"/>
            </w:r>
            <w:r w:rsidR="00B30F3B">
              <w:rPr>
                <w:webHidden/>
              </w:rPr>
              <w:instrText xml:space="preserve"> PAGEREF _Toc12476471 \h </w:instrText>
            </w:r>
            <w:r w:rsidR="00B30F3B">
              <w:rPr>
                <w:webHidden/>
              </w:rPr>
            </w:r>
            <w:r w:rsidR="00B30F3B">
              <w:rPr>
                <w:webHidden/>
              </w:rPr>
              <w:fldChar w:fldCharType="separate"/>
            </w:r>
            <w:r w:rsidR="00B30F3B">
              <w:rPr>
                <w:webHidden/>
              </w:rPr>
              <w:t>19</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72" w:history="1">
            <w:r w:rsidR="00B30F3B" w:rsidRPr="006B53F7">
              <w:rPr>
                <w:rStyle w:val="Hyperlink"/>
                <w:rFonts w:eastAsiaTheme="majorEastAsia"/>
              </w:rPr>
              <w:t>Παράρτημα B</w:t>
            </w:r>
            <w:r w:rsidR="00B30F3B">
              <w:rPr>
                <w:webHidden/>
              </w:rPr>
              <w:tab/>
            </w:r>
            <w:r w:rsidR="00B30F3B">
              <w:rPr>
                <w:webHidden/>
              </w:rPr>
              <w:fldChar w:fldCharType="begin"/>
            </w:r>
            <w:r w:rsidR="00B30F3B">
              <w:rPr>
                <w:webHidden/>
              </w:rPr>
              <w:instrText xml:space="preserve"> PAGEREF _Toc12476472 \h </w:instrText>
            </w:r>
            <w:r w:rsidR="00B30F3B">
              <w:rPr>
                <w:webHidden/>
              </w:rPr>
            </w:r>
            <w:r w:rsidR="00B30F3B">
              <w:rPr>
                <w:webHidden/>
              </w:rPr>
              <w:fldChar w:fldCharType="separate"/>
            </w:r>
            <w:r w:rsidR="00B30F3B">
              <w:rPr>
                <w:webHidden/>
              </w:rPr>
              <w:t>22</w:t>
            </w:r>
            <w:r w:rsidR="00B30F3B">
              <w:rPr>
                <w:webHidden/>
              </w:rPr>
              <w:fldChar w:fldCharType="end"/>
            </w:r>
          </w:hyperlink>
        </w:p>
        <w:p w:rsidR="00B30F3B" w:rsidRDefault="00C63EF9">
          <w:pPr>
            <w:pStyle w:val="TOC1"/>
            <w:rPr>
              <w:rFonts w:asciiTheme="minorHAnsi" w:eastAsiaTheme="minorEastAsia" w:hAnsiTheme="minorHAnsi" w:cstheme="minorBidi"/>
              <w:b w:val="0"/>
              <w:sz w:val="22"/>
              <w:szCs w:val="22"/>
              <w:lang w:val="en-US" w:eastAsia="en-US" w:bidi="ar-SA"/>
            </w:rPr>
          </w:pPr>
          <w:hyperlink w:anchor="_Toc12476473" w:history="1">
            <w:r w:rsidR="00B30F3B" w:rsidRPr="006B53F7">
              <w:rPr>
                <w:rStyle w:val="Hyperlink"/>
                <w:rFonts w:eastAsiaTheme="majorEastAsia"/>
              </w:rPr>
              <w:t>Παράρτημα Γ</w:t>
            </w:r>
            <w:r w:rsidR="00B30F3B">
              <w:rPr>
                <w:webHidden/>
              </w:rPr>
              <w:tab/>
            </w:r>
            <w:r w:rsidR="00B30F3B">
              <w:rPr>
                <w:webHidden/>
              </w:rPr>
              <w:fldChar w:fldCharType="begin"/>
            </w:r>
            <w:r w:rsidR="00B30F3B">
              <w:rPr>
                <w:webHidden/>
              </w:rPr>
              <w:instrText xml:space="preserve"> PAGEREF _Toc12476473 \h </w:instrText>
            </w:r>
            <w:r w:rsidR="00B30F3B">
              <w:rPr>
                <w:webHidden/>
              </w:rPr>
            </w:r>
            <w:r w:rsidR="00B30F3B">
              <w:rPr>
                <w:webHidden/>
              </w:rPr>
              <w:fldChar w:fldCharType="separate"/>
            </w:r>
            <w:r w:rsidR="00B30F3B">
              <w:rPr>
                <w:webHidden/>
              </w:rPr>
              <w:t>26</w:t>
            </w:r>
            <w:r w:rsidR="00B30F3B">
              <w:rPr>
                <w:webHidden/>
              </w:rPr>
              <w:fldChar w:fldCharType="end"/>
            </w:r>
          </w:hyperlink>
        </w:p>
        <w:p w:rsidR="00491D31" w:rsidRDefault="004939B5">
          <w:pPr>
            <w:pStyle w:val="TOC1"/>
            <w:rPr>
              <w:rFonts w:asciiTheme="minorHAnsi" w:eastAsiaTheme="minorEastAsia" w:hAnsiTheme="minorHAnsi" w:cstheme="minorBidi"/>
              <w:b w:val="0"/>
              <w:sz w:val="22"/>
              <w:szCs w:val="22"/>
            </w:rPr>
          </w:pPr>
          <w:r w:rsidRPr="003A38BA">
            <w:rPr>
              <w:sz w:val="24"/>
              <w:szCs w:val="24"/>
            </w:rPr>
            <w:fldChar w:fldCharType="end"/>
          </w:r>
        </w:p>
      </w:sdtContent>
    </w:sdt>
    <w:p w:rsidR="006D5959" w:rsidRPr="003A38BA" w:rsidRDefault="006D5959" w:rsidP="006D5959">
      <w:pPr>
        <w:spacing w:after="200" w:line="276" w:lineRule="auto"/>
        <w:rPr>
          <w:rFonts w:cs="Arial"/>
          <w:sz w:val="24"/>
          <w:szCs w:val="24"/>
        </w:rPr>
      </w:pPr>
    </w:p>
    <w:p w:rsidR="006D5959" w:rsidRPr="003A38BA" w:rsidRDefault="006D5959">
      <w:pPr>
        <w:rPr>
          <w:rFonts w:cs="Arial"/>
          <w:sz w:val="24"/>
          <w:szCs w:val="24"/>
          <w:highlight w:val="lightGray"/>
        </w:rPr>
      </w:pPr>
      <w:r>
        <w:br w:type="page"/>
      </w:r>
    </w:p>
    <w:p w:rsidR="00F9526A" w:rsidRPr="003A38BA" w:rsidRDefault="00F9526A" w:rsidP="007C21AF">
      <w:pPr>
        <w:pStyle w:val="Heading1"/>
        <w:numPr>
          <w:ilvl w:val="0"/>
          <w:numId w:val="5"/>
        </w:numPr>
        <w:jc w:val="both"/>
        <w:rPr>
          <w:sz w:val="24"/>
          <w:szCs w:val="24"/>
        </w:rPr>
      </w:pPr>
      <w:bookmarkStart w:id="7" w:name="_Toc2194156"/>
      <w:bookmarkStart w:id="8" w:name="_Toc12476429"/>
      <w:r>
        <w:rPr>
          <w:sz w:val="24"/>
        </w:rPr>
        <w:lastRenderedPageBreak/>
        <w:t>Γενικά</w:t>
      </w:r>
      <w:bookmarkEnd w:id="7"/>
      <w:bookmarkEnd w:id="8"/>
    </w:p>
    <w:p w:rsidR="00532584" w:rsidRPr="003A38BA" w:rsidRDefault="00F9526A" w:rsidP="007C21AF">
      <w:pPr>
        <w:spacing w:after="120"/>
        <w:ind w:left="0" w:firstLine="0"/>
        <w:jc w:val="both"/>
      </w:pPr>
      <w:r>
        <w:t>Οι «Τεχνικές απαιτήσεις δοκιμών για συστήματα σήμανσης (TP M)» περιλαμβάνουν τις απαιτήσεις για τους ελέγχους καταλληλότητας μόνιμης (λευκής) και προσωρινής (κίτρινης) διαγράμμισης που παράγεται από συστήματα σήμανσης. Οι διατάξεις των παρόντων τεχνικών απαιτήσεων δοκιμών στηρίζονται στο πρότυπο DIN EN 13197. Διευκρινίζουν ορισμένα σημεία των διατάξεων και καθορίζουν τις παραμέτρους σύμφωνα με το DIN EN 13197 που πρέπει να εφαρμόζονται σε κάθε περίπτωση. Εφόσον δεν ορίζεται κάτι διαφορετικό στα αντίστοιχα τμήματα, ισχύουν οι διατάξεις για τη μόνιμη και για την προσωρινή διαγράμμιση.</w:t>
      </w:r>
    </w:p>
    <w:p w:rsidR="00A2285F" w:rsidRPr="003A38BA" w:rsidRDefault="00A2285F" w:rsidP="007C21AF">
      <w:pPr>
        <w:spacing w:after="120"/>
        <w:ind w:left="0" w:firstLine="0"/>
        <w:jc w:val="both"/>
      </w:pPr>
      <w:r>
        <w:t xml:space="preserve">Τα υλικά σήμανσης και τα ενσωματούμενα υλικά που χρησιμοποιήθηκαν για την οριζόντια σήμανση πρέπει να συμμορφώνονται με τους Τεχνικούς όρους παράδοσης για υλικά σήμανσης (TL M). Επίσης, η οριζόντια σήμανση πρέπει να συμμορφώνεται με τους «Πρόσθετους τεχνικούς συμβατικούς όρους και τις οδηγίες για διαγραμμίσεις οδών (ZTV M)». </w:t>
      </w:r>
    </w:p>
    <w:p w:rsidR="00BE1620" w:rsidRPr="003A38BA" w:rsidRDefault="00BE1620" w:rsidP="007C21AF">
      <w:pPr>
        <w:spacing w:after="120"/>
        <w:ind w:left="0" w:firstLine="0"/>
        <w:jc w:val="both"/>
      </w:pPr>
      <w:r>
        <w:t>Τα δομικά υλικά και τα μείγματα δομικών υλικών για τη διαγράμμιση οδοστρωμάτων, τα οποία έχουν παρασκευαστεί ή/και έχουν διατεθεί στο εμπόριο νόμιμα σε άλλο κράτος μέλος της Ευρωπαϊκής Ένωσης ή στην Τουρκία ή έχουν παρασκευαστεί νόμιμα σε κράτος της ΕΖΕΣ, το οποίο είναι μέλος της Συμφωνίας ΕΟΧ, επιτρέπονται στη Γερμανία, εάν εξασφαλίζουν μόνιμο επίπεδο προστασίας το οποίο ανταποκρίνεται στο επίπεδο που ορίζουν οι «Πρόσθετοι τεχνικοί συμβατικοί όροι και οι οδηγίες για διαγραμμίσεις οδών (ZTV-Μ)» και οι «Τεχνικοί όροι παράδοσης για υλικά σήμανσης (TL M)».</w:t>
      </w:r>
    </w:p>
    <w:p w:rsidR="002A210D" w:rsidRPr="003A38BA" w:rsidRDefault="002A210D" w:rsidP="007C21AF">
      <w:pPr>
        <w:pStyle w:val="Heading1"/>
        <w:numPr>
          <w:ilvl w:val="0"/>
          <w:numId w:val="5"/>
        </w:numPr>
        <w:jc w:val="both"/>
        <w:rPr>
          <w:sz w:val="24"/>
          <w:szCs w:val="24"/>
        </w:rPr>
      </w:pPr>
      <w:bookmarkStart w:id="9" w:name="_Toc2194157"/>
      <w:bookmarkStart w:id="10" w:name="_Toc12476430"/>
      <w:r>
        <w:rPr>
          <w:sz w:val="24"/>
        </w:rPr>
        <w:t>Κανονιστικές παραπομπές</w:t>
      </w:r>
      <w:bookmarkEnd w:id="9"/>
      <w:bookmarkEnd w:id="10"/>
    </w:p>
    <w:p w:rsidR="002A210D" w:rsidRPr="003A38BA" w:rsidRDefault="002A210D" w:rsidP="007C21AF">
      <w:pPr>
        <w:ind w:left="0" w:firstLine="0"/>
        <w:jc w:val="both"/>
      </w:pPr>
      <w:r>
        <w:t xml:space="preserve">Τα παρακάτω παρατιθέμενα έγγραφα απαιτούνται για τη χρήση του παρόντος εγγράφου. Ως προς τις χρονολογημένες παραπομπές ισχύει μόνον η έκδοση στην οποία γίνεται αναφορά. Ως προς τις μη χρονολογημένες παραπομπές, ισχύει η τελευταία έκδοση του εγγράφου στο οποίο γίνεται αναφορά. </w:t>
      </w:r>
    </w:p>
    <w:p w:rsidR="001E3D7B" w:rsidRPr="003A38BA" w:rsidRDefault="001E3D7B" w:rsidP="007C21AF">
      <w:pPr>
        <w:ind w:left="0" w:firstLine="0"/>
        <w:jc w:val="both"/>
        <w:rPr>
          <w:i/>
        </w:rPr>
      </w:pPr>
    </w:p>
    <w:p w:rsidR="00D74A8B" w:rsidRPr="003A38BA" w:rsidRDefault="008D2005" w:rsidP="007C21AF">
      <w:pPr>
        <w:spacing w:after="120"/>
        <w:ind w:left="0" w:firstLine="0"/>
        <w:jc w:val="both"/>
        <w:rPr>
          <w:i/>
        </w:rPr>
      </w:pPr>
      <w:r>
        <w:rPr>
          <w:i/>
        </w:rPr>
        <w:t xml:space="preserve">DIN EN 1423 Προϊόντα οριζόντιας σήμανσης οδών - Προϊόντα επίπασης - Γυάλıνα σφαıρίδıα, αντıολıσθητıκά αδρανή και µείγµατα αυτών </w:t>
      </w:r>
    </w:p>
    <w:p w:rsidR="004C32A6" w:rsidRPr="003A38BA" w:rsidRDefault="008D2005" w:rsidP="007C21AF">
      <w:pPr>
        <w:spacing w:after="120"/>
        <w:ind w:left="0" w:firstLine="0"/>
        <w:jc w:val="both"/>
        <w:rPr>
          <w:i/>
        </w:rPr>
      </w:pPr>
      <w:r>
        <w:rPr>
          <w:i/>
        </w:rPr>
        <w:t>DIN EN 1424 Προϊόντα οριζόντιας σήμανσης οδών - Γυάλινα σφαιρίδια προανάμιξης (χάντρες)</w:t>
      </w:r>
    </w:p>
    <w:p w:rsidR="00D74A8B" w:rsidRPr="003A38BA" w:rsidRDefault="008D2005" w:rsidP="007C21AF">
      <w:pPr>
        <w:spacing w:after="120"/>
        <w:ind w:left="0" w:firstLine="0"/>
        <w:jc w:val="both"/>
        <w:rPr>
          <w:i/>
        </w:rPr>
      </w:pPr>
      <w:r>
        <w:rPr>
          <w:i/>
        </w:rPr>
        <w:t>DIN EN 1436 Προϊόντα οριζόντιας σήμανσης οδών - Επιδόσεις διαγράμμισης στο οδόστρωμα για τους χρήστες οδών</w:t>
      </w:r>
    </w:p>
    <w:p w:rsidR="00D74A8B" w:rsidRPr="003A38BA" w:rsidRDefault="008D2005" w:rsidP="007C21AF">
      <w:pPr>
        <w:spacing w:after="120"/>
        <w:ind w:left="0" w:firstLine="0"/>
        <w:jc w:val="both"/>
        <w:rPr>
          <w:i/>
        </w:rPr>
      </w:pPr>
      <w:r>
        <w:rPr>
          <w:i/>
        </w:rPr>
        <w:t>DIN ΕΝ 1790: 2013 Υλικά οριζόντιας σήμανσης οδών – Προδιαμορφωμένα προϊόντα οριζόντιας σήμανσης</w:t>
      </w:r>
    </w:p>
    <w:p w:rsidR="00D74A8B" w:rsidRPr="003A38BA" w:rsidRDefault="008D2005" w:rsidP="007C21AF">
      <w:pPr>
        <w:spacing w:after="120"/>
        <w:ind w:left="0" w:firstLine="0"/>
        <w:jc w:val="both"/>
        <w:rPr>
          <w:i/>
        </w:rPr>
      </w:pPr>
      <w:r>
        <w:rPr>
          <w:i/>
        </w:rPr>
        <w:t>DIN ΕΝ 1871: 2000 Υλικά οριζόντιας σήμανσης οδών – Βαφές, θερμοπλαστικώά και ψυχροπλαστικά υλικά – Φυσικές ιδιότητες</w:t>
      </w:r>
    </w:p>
    <w:p w:rsidR="00D74A8B" w:rsidRPr="003A38BA" w:rsidRDefault="008D2005" w:rsidP="007C21AF">
      <w:pPr>
        <w:spacing w:after="120"/>
        <w:ind w:left="0" w:firstLine="0"/>
        <w:jc w:val="both"/>
        <w:rPr>
          <w:i/>
        </w:rPr>
      </w:pPr>
      <w:r>
        <w:rPr>
          <w:i/>
        </w:rPr>
        <w:t>DIN ΕΝ 12802: 2011 Υλικά οριζόντιας σήμανσης οδών – Εργαστηριακές μέθοδοι για ταυτοποίηση</w:t>
      </w:r>
    </w:p>
    <w:p w:rsidR="001E5919" w:rsidRPr="003A38BA" w:rsidRDefault="007A6695" w:rsidP="007C21AF">
      <w:pPr>
        <w:spacing w:after="120"/>
        <w:ind w:left="0" w:firstLine="0"/>
        <w:jc w:val="both"/>
        <w:rPr>
          <w:i/>
        </w:rPr>
      </w:pPr>
      <w:r>
        <w:rPr>
          <w:i/>
        </w:rPr>
        <w:t>DIN EN 13036-1 Χαρακτηριστικά επιφάνειας οδών και αεροδρομίων – Μέθοδοι δοκιμής – Μέρος 1: Μέτρηση του βάθους της μακροδομής της επιφάνειας με τη βοήθεια της τεχνικής μέτρησης όγκου κηλίδας</w:t>
      </w:r>
    </w:p>
    <w:p w:rsidR="00D74A8B" w:rsidRPr="003A38BA" w:rsidRDefault="008D2005" w:rsidP="007C21AF">
      <w:pPr>
        <w:spacing w:after="120"/>
        <w:ind w:left="0" w:firstLine="0"/>
        <w:jc w:val="both"/>
        <w:rPr>
          <w:i/>
        </w:rPr>
      </w:pPr>
      <w:r>
        <w:rPr>
          <w:i/>
        </w:rPr>
        <w:t>DIN ΕΝ 13197: 2014 Υλικά οριζόντιας σήμανσης οδών – Προσομοιωτές φθοράς</w:t>
      </w:r>
    </w:p>
    <w:p w:rsidR="008D2005" w:rsidRPr="00A37E2F" w:rsidRDefault="008D2005" w:rsidP="007C21AF">
      <w:pPr>
        <w:spacing w:after="120"/>
        <w:ind w:left="0" w:firstLine="0"/>
        <w:jc w:val="both"/>
        <w:rPr>
          <w:bCs/>
          <w:i/>
        </w:rPr>
      </w:pPr>
      <w:r>
        <w:rPr>
          <w:i/>
        </w:rPr>
        <w:t xml:space="preserve">DIN EN ISO 11885: 2009 Ποιότητα νερού –  Προσδιορισμός επιλεγμένων στοιχείων με φασματοσκοπία ατομικής εκπομπής με σύζευξη πλάσματος διά επαγωγής (ICP-OES) </w:t>
      </w:r>
    </w:p>
    <w:p w:rsidR="008D2005" w:rsidRPr="003A38BA" w:rsidRDefault="008D2005" w:rsidP="007C21AF">
      <w:pPr>
        <w:spacing w:after="120"/>
        <w:ind w:left="0" w:firstLine="0"/>
        <w:jc w:val="both"/>
        <w:rPr>
          <w:i/>
        </w:rPr>
      </w:pPr>
      <w:r>
        <w:rPr>
          <w:i/>
        </w:rPr>
        <w:t>ISO 2811-1: 2011 Χρώματα και βερνίκια – Προσδιορισμός της πυκνότητας – Μέρος 1: Μέθοδος πυκνομέτρου</w:t>
      </w:r>
    </w:p>
    <w:p w:rsidR="008D2005" w:rsidRPr="003A38BA" w:rsidRDefault="008D2005" w:rsidP="007C21AF">
      <w:pPr>
        <w:spacing w:after="120"/>
        <w:ind w:left="0" w:firstLine="0"/>
        <w:jc w:val="both"/>
        <w:rPr>
          <w:i/>
        </w:rPr>
      </w:pPr>
      <w:r>
        <w:rPr>
          <w:i/>
        </w:rPr>
        <w:t>ISO 11466 Ποιότητα εδάφους – Εξαγωγή υδατοδιαλυτών ιχνοστοιχείων</w:t>
      </w:r>
    </w:p>
    <w:p w:rsidR="00D74A8B" w:rsidRPr="003A38BA" w:rsidRDefault="008D2005" w:rsidP="007C21AF">
      <w:pPr>
        <w:spacing w:after="120"/>
        <w:ind w:left="0" w:firstLine="0"/>
        <w:jc w:val="both"/>
        <w:rPr>
          <w:i/>
        </w:rPr>
      </w:pPr>
      <w:r>
        <w:rPr>
          <w:i/>
        </w:rPr>
        <w:t>TL M Τεχνικοί όροι παράδοσης για υλικά σήμανσης</w:t>
      </w:r>
    </w:p>
    <w:p w:rsidR="00D74A8B" w:rsidRPr="003A38BA" w:rsidRDefault="00D74A8B" w:rsidP="007C21AF">
      <w:pPr>
        <w:spacing w:after="120"/>
        <w:ind w:left="0" w:firstLine="0"/>
        <w:jc w:val="both"/>
        <w:rPr>
          <w:i/>
        </w:rPr>
      </w:pPr>
      <w:r>
        <w:rPr>
          <w:i/>
        </w:rPr>
        <w:lastRenderedPageBreak/>
        <w:t>ZTV M Πρόσθετοι τεχνικοί συμβατικοί όροι και οδηγίες για διαγραμμίσεις οδών</w:t>
      </w:r>
    </w:p>
    <w:p w:rsidR="00FC4346" w:rsidRPr="003A38BA" w:rsidRDefault="00FC4346" w:rsidP="007C21AF">
      <w:pPr>
        <w:pStyle w:val="Heading1"/>
        <w:numPr>
          <w:ilvl w:val="0"/>
          <w:numId w:val="5"/>
        </w:numPr>
        <w:jc w:val="both"/>
        <w:rPr>
          <w:sz w:val="24"/>
          <w:szCs w:val="24"/>
        </w:rPr>
      </w:pPr>
      <w:bookmarkStart w:id="11" w:name="_Toc2194158"/>
      <w:bookmarkStart w:id="12" w:name="_Toc12476431"/>
      <w:r>
        <w:rPr>
          <w:sz w:val="24"/>
        </w:rPr>
        <w:t>Όροι</w:t>
      </w:r>
      <w:bookmarkEnd w:id="11"/>
      <w:bookmarkEnd w:id="12"/>
    </w:p>
    <w:p w:rsidR="003000D1" w:rsidRPr="003A38BA" w:rsidRDefault="003000D1" w:rsidP="007C21AF">
      <w:pPr>
        <w:spacing w:after="120"/>
        <w:ind w:left="0" w:firstLine="0"/>
        <w:jc w:val="both"/>
      </w:pPr>
      <w:r>
        <w:t>Η ορολογία των υλικών σήμανσης και των ενσωματούμενων υλικών πρέπει να βασίζεται στους TL M.</w:t>
      </w:r>
    </w:p>
    <w:p w:rsidR="00FC4346" w:rsidRPr="003A38BA" w:rsidRDefault="005E003F" w:rsidP="007C21AF">
      <w:pPr>
        <w:spacing w:after="120"/>
        <w:ind w:left="0" w:firstLine="0"/>
        <w:jc w:val="both"/>
      </w:pPr>
      <w:r>
        <w:t xml:space="preserve">Τα </w:t>
      </w:r>
      <w:r>
        <w:rPr>
          <w:b/>
        </w:rPr>
        <w:t>συστήματα σήμανσης</w:t>
      </w:r>
      <w:r>
        <w:t xml:space="preserve"> αποτελούνται από υλικά σήμανσης καθώς και τα αντίστοιχα ενσωματούμενα υλικά και εφαρμόζονται για τη δοκιμή καταλληλότητας σε ειδικά δοκίμια.</w:t>
      </w:r>
    </w:p>
    <w:p w:rsidR="009E5CB3" w:rsidRPr="003A38BA" w:rsidRDefault="008D2830" w:rsidP="007C21AF">
      <w:pPr>
        <w:spacing w:after="120"/>
        <w:ind w:left="0" w:firstLine="0"/>
        <w:jc w:val="both"/>
      </w:pPr>
      <w:r>
        <w:t xml:space="preserve">Η </w:t>
      </w:r>
      <w:r>
        <w:rPr>
          <w:b/>
        </w:rPr>
        <w:t>δοκιμή καταλληλότητας</w:t>
      </w:r>
      <w:r>
        <w:t xml:space="preserve"> των συστημάτων σήμανσης συνίσταται σε μια </w:t>
      </w:r>
      <w:r>
        <w:rPr>
          <w:b/>
        </w:rPr>
        <w:t>δοκιμή φόρτισης</w:t>
      </w:r>
      <w:r>
        <w:t xml:space="preserve"> στον προσομοιωτή φθοράς και μια </w:t>
      </w:r>
      <w:r>
        <w:rPr>
          <w:b/>
        </w:rPr>
        <w:t xml:space="preserve">φυσικοχημική δοκιμή </w:t>
      </w:r>
      <w:r>
        <w:t>(δοκιμή πρωτοτύπου).</w:t>
      </w:r>
    </w:p>
    <w:p w:rsidR="00C427EB" w:rsidRPr="003A38BA" w:rsidRDefault="00C427EB" w:rsidP="007C21AF">
      <w:pPr>
        <w:spacing w:after="120"/>
        <w:ind w:left="0" w:firstLine="0"/>
        <w:jc w:val="both"/>
      </w:pPr>
      <w:r>
        <w:rPr>
          <w:b/>
        </w:rPr>
        <w:t>Αιτών</w:t>
      </w:r>
      <w:r>
        <w:t xml:space="preserve"> είναι όποιος υποβάλλει αίτηση δοκιμής καταλληλότητας και δηλώνεται ως υπεύθυνος στο διαπιστευμένο εργαστήριο δοκιμών.</w:t>
      </w:r>
    </w:p>
    <w:p w:rsidR="00C427EB" w:rsidRPr="003A38BA" w:rsidRDefault="00C427EB" w:rsidP="007C21AF">
      <w:pPr>
        <w:spacing w:after="120"/>
        <w:ind w:left="0" w:firstLine="0"/>
        <w:jc w:val="both"/>
      </w:pPr>
      <w:r>
        <w:rPr>
          <w:b/>
        </w:rPr>
        <w:t xml:space="preserve">Κατασκευαστές υλικών </w:t>
      </w:r>
      <w:r>
        <w:t>θεωρούνται όσοι παρασκευάζουν και θέτουν σε κυκλοφορία τα υλικά σήμανσης.</w:t>
      </w:r>
    </w:p>
    <w:p w:rsidR="00C427EB" w:rsidRPr="003A38BA" w:rsidRDefault="00C427EB" w:rsidP="007C21AF">
      <w:pPr>
        <w:spacing w:after="120"/>
        <w:ind w:left="0" w:firstLine="0"/>
        <w:jc w:val="both"/>
      </w:pPr>
      <w:r>
        <w:rPr>
          <w:b/>
        </w:rPr>
        <w:t xml:space="preserve">Κατασκευαστές προϊόντων επίπασης </w:t>
      </w:r>
      <w:r>
        <w:t>θεωρούνται όσοι παρασκευάζουν και θέτουν σε κυκλοφορία τα προϊόντα επίπασης.</w:t>
      </w:r>
    </w:p>
    <w:p w:rsidR="00C427EB" w:rsidRPr="003A38BA" w:rsidRDefault="009A49D5" w:rsidP="007C21AF">
      <w:pPr>
        <w:spacing w:after="120"/>
        <w:ind w:left="0" w:firstLine="0"/>
        <w:jc w:val="both"/>
      </w:pPr>
      <w:r>
        <w:t xml:space="preserve">Το </w:t>
      </w:r>
      <w:r>
        <w:rPr>
          <w:b/>
        </w:rPr>
        <w:t>πιστοποιητικό δοκιμής</w:t>
      </w:r>
      <w:r>
        <w:t xml:space="preserve"> εκδίδεται όταν ικανοποιούνται οι εθνικές και ευρωπαϊκές ελάχιστες απαιτήσεις.</w:t>
      </w:r>
    </w:p>
    <w:p w:rsidR="00C427EB" w:rsidRPr="003A38BA" w:rsidRDefault="009A49D5" w:rsidP="007C21AF">
      <w:pPr>
        <w:spacing w:after="120"/>
        <w:ind w:left="0" w:firstLine="0"/>
        <w:jc w:val="both"/>
      </w:pPr>
      <w:r>
        <w:t xml:space="preserve">Εφόσον πληρούνται οι ευρωπαϊκές ελάχιστες απαιτήσεις, εκδίδεται μια </w:t>
      </w:r>
      <w:r>
        <w:rPr>
          <w:b/>
        </w:rPr>
        <w:t>βεβαίωση της δοκιμής</w:t>
      </w:r>
      <w:r>
        <w:t>.</w:t>
      </w:r>
    </w:p>
    <w:p w:rsidR="00D518B6" w:rsidRPr="003A38BA" w:rsidRDefault="007B7AA0" w:rsidP="007C21AF">
      <w:pPr>
        <w:spacing w:after="120"/>
        <w:ind w:left="0" w:firstLine="0"/>
        <w:jc w:val="both"/>
      </w:pPr>
      <w:r>
        <w:t>Η συντομογραφία</w:t>
      </w:r>
      <w:r>
        <w:rPr>
          <w:b/>
        </w:rPr>
        <w:t xml:space="preserve"> NPD (no performance determined)</w:t>
      </w:r>
      <w:r>
        <w:t xml:space="preserve"> σημαίνει ότι δεν έχει καθοριστεί απόδοση για κάθε ιδιότητα του συστήματος σήμανσης.</w:t>
      </w:r>
    </w:p>
    <w:p w:rsidR="000B6380" w:rsidRPr="003A38BA" w:rsidRDefault="00EC3056" w:rsidP="007C21AF">
      <w:pPr>
        <w:pStyle w:val="Heading1"/>
        <w:numPr>
          <w:ilvl w:val="0"/>
          <w:numId w:val="5"/>
        </w:numPr>
        <w:jc w:val="both"/>
        <w:rPr>
          <w:sz w:val="24"/>
          <w:szCs w:val="24"/>
        </w:rPr>
      </w:pPr>
      <w:bookmarkStart w:id="13" w:name="_Toc2194159"/>
      <w:bookmarkStart w:id="14" w:name="_Toc12476432"/>
      <w:r>
        <w:rPr>
          <w:sz w:val="24"/>
        </w:rPr>
        <w:t>Δοκιμές φόρτισης των συστημάτων σήμανσης</w:t>
      </w:r>
      <w:bookmarkEnd w:id="13"/>
      <w:bookmarkEnd w:id="14"/>
    </w:p>
    <w:p w:rsidR="00B057A1" w:rsidRPr="003A38BA" w:rsidRDefault="004C2F96" w:rsidP="007C21AF">
      <w:pPr>
        <w:pStyle w:val="Heading1"/>
        <w:numPr>
          <w:ilvl w:val="1"/>
          <w:numId w:val="5"/>
        </w:numPr>
        <w:jc w:val="both"/>
        <w:rPr>
          <w:rFonts w:ascii="Arial" w:hAnsi="Arial" w:cs="Arial"/>
          <w:sz w:val="24"/>
          <w:szCs w:val="24"/>
        </w:rPr>
      </w:pPr>
      <w:bookmarkStart w:id="15" w:name="_Toc2194160"/>
      <w:bookmarkStart w:id="16" w:name="_Toc12476433"/>
      <w:r>
        <w:rPr>
          <w:sz w:val="24"/>
        </w:rPr>
        <w:t>Προσομοιωτής φθοράς</w:t>
      </w:r>
      <w:bookmarkEnd w:id="15"/>
      <w:bookmarkEnd w:id="16"/>
    </w:p>
    <w:p w:rsidR="00F9526A" w:rsidRPr="003A38BA" w:rsidRDefault="00F9526A" w:rsidP="007C21AF">
      <w:pPr>
        <w:spacing w:after="120"/>
        <w:ind w:left="0" w:firstLine="0"/>
        <w:jc w:val="both"/>
      </w:pPr>
      <w:r>
        <w:t>Ο προσομοιωτής φθοράς (RPA) αποτελείται από έναν οριζόντιο περιστρεφόμενο δίσκο με εξωτερική διάμετρο 6,4 m. Η περιφερειακή ταχύτητα είναι συνεχώς μεταβαλλόμενη έως τα 120 km/h. Η περιστροφή μπορεί να πραγματοποιηθεί και προς τις δύο κατευθύνσεις. Το άκρο του περιστρεφόμενου δίσκου διαθέτει ακτινικά περιβλήματα για τη στερέωση των δοκιμίων. Οι διαστάσεις των περιβλημάτων προκύπτουν από το μέγεθος των δοκιμίων (βλ. τμήμα 4.1.2). Ο περιστρεφόμενος δίσκος βρίσκεται σε πλήρως κλιματιζόμενο και ασφαλιζόμενο χώρο.</w:t>
      </w:r>
    </w:p>
    <w:p w:rsidR="004C2F96" w:rsidRPr="003A38BA" w:rsidRDefault="004C2F96" w:rsidP="007C21AF">
      <w:pPr>
        <w:pStyle w:val="Heading1"/>
        <w:numPr>
          <w:ilvl w:val="2"/>
          <w:numId w:val="5"/>
        </w:numPr>
        <w:ind w:left="1440" w:hanging="720"/>
        <w:jc w:val="both"/>
        <w:rPr>
          <w:rFonts w:ascii="Arial" w:hAnsi="Arial" w:cs="Arial"/>
          <w:sz w:val="24"/>
          <w:szCs w:val="24"/>
        </w:rPr>
      </w:pPr>
      <w:bookmarkStart w:id="17" w:name="_Toc2194161"/>
      <w:bookmarkStart w:id="18" w:name="_Toc12476434"/>
      <w:r>
        <w:rPr>
          <w:sz w:val="24"/>
        </w:rPr>
        <w:t>Τροχοί</w:t>
      </w:r>
      <w:bookmarkEnd w:id="17"/>
      <w:bookmarkEnd w:id="18"/>
    </w:p>
    <w:p w:rsidR="00B2761F" w:rsidRPr="003A38BA" w:rsidRDefault="00B2761F" w:rsidP="007C21AF">
      <w:pPr>
        <w:spacing w:after="120"/>
        <w:ind w:left="0" w:firstLine="0"/>
        <w:jc w:val="both"/>
      </w:pPr>
      <w:r>
        <w:t>Η φόρτιση των δοκιμίων παράγεται μέσω της επανειλημμένης διέλευσης ενός καθορισμένου αριθμού τροχών. Ο αριθμός των τροχών, το είδος των ελαστικών, το φορτίο του τροχού, η πίεση των ελαστικών, η βύθιση και η κλίση επηρεάζουν τη φόρτιση των δοκιμίων.</w:t>
      </w:r>
    </w:p>
    <w:p w:rsidR="004F79C9" w:rsidRPr="003A38BA" w:rsidRDefault="00637513" w:rsidP="007C21AF">
      <w:pPr>
        <w:spacing w:after="120"/>
        <w:ind w:left="0" w:firstLine="0"/>
        <w:jc w:val="both"/>
      </w:pPr>
      <w:r>
        <w:t>Κατά βάση η φόρτιση πραγματοποιείται σύμφωνα με το DIN EN 13197 με 2 ζεύγη τροχών. Οι τροχοί ενός ζεύγους βρίσκονται απέναντι. Αν με 4 ζεύγη τροχών επιτυγχάνονται παρόμοια αποτελέσματα, κατά παρέκκλιση είναι επίσης δυνατός ο έλεγχος με 4 ζεύγη τροχών αντί με 2 ζεύγη. Από τη σύγκριση των αποτελεσμάτων προκύπτει αν η ορατότητα την ημέρα και τη νύχτα αποκλίνουν έως 15 % και η αντιολισθηρότητα έως ± 5 μονάδες SRT κατ’ ανώτατο όριο.</w:t>
      </w:r>
    </w:p>
    <w:p w:rsidR="0093336E" w:rsidRPr="003A38BA" w:rsidRDefault="002210B7" w:rsidP="007C21AF">
      <w:pPr>
        <w:spacing w:after="120"/>
        <w:ind w:left="0" w:firstLine="0"/>
        <w:jc w:val="both"/>
      </w:pPr>
      <w:r>
        <w:t xml:space="preserve">Κάθε δοκιμή ξεκινάει με νέα ελαστικά. Χρησιμοποιούνται ελαστικά αυτοκινήτου που είναι διαθέσιμα στο εμπόριο. Το μέγεθος των ελαστικών πρέπει να είναι τουλάχιστον 205/60 για να διατηρεί πλάτος κύλισης τουλάχιστον 150 mm. Εφόσον το χρησιμοποιούμενο είδος ελαστικών δεν μπορεί να χρησιμοποιηθεί περαιτέρω, πρέπει να διεξάγονται δοκιμαστικές λειτουργίες για να </w:t>
      </w:r>
      <w:r>
        <w:lastRenderedPageBreak/>
        <w:t xml:space="preserve">διασφαλίζεται ότι με το νέο είδος ελαστικών επιτυγχάνονται παρόμοια αποτελέσματα. Για την αξιολόγηση της σύγκρισης ισχύουν τα ίδια όρια όπως για τη χρήση 4 ζευγών τροχών. </w:t>
      </w:r>
    </w:p>
    <w:p w:rsidR="007B668F" w:rsidRPr="003A38BA" w:rsidRDefault="003000D1" w:rsidP="0023536B">
      <w:pPr>
        <w:keepNext/>
        <w:spacing w:after="120"/>
        <w:ind w:left="0" w:firstLine="0"/>
        <w:jc w:val="both"/>
      </w:pPr>
      <w:r>
        <w:t xml:space="preserve">Ο προσομοιωτής φθοράς πρέπει να πληροί τις εξής τεχνικές οριακές συνθήκες: </w:t>
      </w:r>
    </w:p>
    <w:p w:rsidR="00F9526A" w:rsidRPr="003A38BA" w:rsidRDefault="00886145" w:rsidP="007C21AF">
      <w:pPr>
        <w:spacing w:after="120"/>
        <w:ind w:left="0" w:firstLine="0"/>
        <w:jc w:val="both"/>
      </w:pPr>
      <w:r>
        <w:t>το φορτίο τροχού μπορεί να κυμαίνεται από 0 N έως 4000 N. η πίεση των ελαστικών μπορεί να κυμαίνεται από 0 MPa έως 0,3 MPa. Οι οριακές συνθήκες για τον έλεγχο καταλληλότητας των συστημάτων σήμανσης δηλώνονται στον πίνακα 3. Το σύστημα στερέωσης των τροχών πρέπει να επιτρέπει τη ρύθμιση της κλίσης με ανοχή ± 10‘ και της βύθισης με ανοχή ± 1°. Πριν την έναρξη μιας νέας δοκιμαστικής λειτουργίας πρέπει να ελέγχεται η ρύθμιση της κλίσης και της βύθισης καθώς και η πίεση των ελαστικών. Μετά από κάθε μακροχρόνια διακοπή της δοκιμαστικής λειτουργίας πρέπει να ελέγχονται οι παράμετροι και, εφόσον χρειάζεται, να διορθώνονται.</w:t>
      </w:r>
    </w:p>
    <w:p w:rsidR="00C145F2" w:rsidRPr="003A38BA" w:rsidRDefault="004C2F96" w:rsidP="007C21AF">
      <w:pPr>
        <w:pStyle w:val="Heading1"/>
        <w:numPr>
          <w:ilvl w:val="2"/>
          <w:numId w:val="5"/>
        </w:numPr>
        <w:ind w:left="1440" w:hanging="720"/>
        <w:jc w:val="both"/>
        <w:rPr>
          <w:rFonts w:ascii="Arial" w:hAnsi="Arial" w:cs="Arial"/>
          <w:sz w:val="24"/>
          <w:szCs w:val="24"/>
        </w:rPr>
      </w:pPr>
      <w:bookmarkStart w:id="19" w:name="_Toc2194162"/>
      <w:bookmarkStart w:id="20" w:name="_Toc12476435"/>
      <w:r>
        <w:rPr>
          <w:sz w:val="24"/>
        </w:rPr>
        <w:t>Δοκίμια</w:t>
      </w:r>
      <w:bookmarkEnd w:id="19"/>
      <w:bookmarkEnd w:id="20"/>
    </w:p>
    <w:p w:rsidR="008E7BF5" w:rsidRPr="003A38BA" w:rsidRDefault="0029168C" w:rsidP="007C21AF">
      <w:pPr>
        <w:spacing w:after="120"/>
        <w:ind w:left="0" w:firstLine="0"/>
        <w:jc w:val="both"/>
      </w:pPr>
      <w:r>
        <w:t xml:space="preserve">Τα συστήματα σήμανσης που πρέπει να ελεγχθούν τοποθετούνται σε ειδικά δοκίμια. Τα δοκίμια πρέπει να διαθέτουν επαρκή ακαμψία, ώστε να μην μεταβάλλεται η επιφανειακή επένδυση κατά τη δοκιμή και να καθίσταται δυνατός ο χειρισμός τους σε θερμοκρασίες έως 50°C χωρίς εμφανείς παραμορφώσεις ή θραύσεις. Για την παρασκευή των δοκιμίων χρησιμοποιείται ένα ασφαλτικό υλικό (π.χ. ασφαλτική μαστίχη). Η τραχύτητα των επιφανειών των δοκιμίων προσδιορίζεται σύμφωνα με τη διαδικασία που περιγράφεται στο DIN EN 13036-1. Το βάθος τραχύτητας ανέρχεται σε ≤ 0,6 mm και αντιστοιχεί στην κατηγορία RG 1 του DIN EN 13197. Το μέγεθος των δοκιμίων είναι ως εξής: </w:t>
      </w:r>
    </w:p>
    <w:p w:rsidR="008E7BF5" w:rsidRPr="003A38BA" w:rsidRDefault="008E7BF5" w:rsidP="007C21AF">
      <w:pPr>
        <w:ind w:left="2160" w:hanging="744"/>
        <w:jc w:val="both"/>
      </w:pPr>
      <w:r>
        <w:t>Μήκος:</w:t>
      </w:r>
      <w:r>
        <w:tab/>
        <w:t>397 mm (± 2 mm)</w:t>
      </w:r>
    </w:p>
    <w:p w:rsidR="008E7BF5" w:rsidRPr="003A38BA" w:rsidRDefault="008E7BF5" w:rsidP="007C21AF">
      <w:pPr>
        <w:ind w:left="2160" w:hanging="744"/>
        <w:jc w:val="both"/>
      </w:pPr>
      <w:r>
        <w:t>Πλάτος:</w:t>
      </w:r>
      <w:r>
        <w:tab/>
        <w:t>198 mm (± 2 mm)</w:t>
      </w:r>
    </w:p>
    <w:p w:rsidR="00DA60F8" w:rsidRPr="003A38BA" w:rsidRDefault="007B668F" w:rsidP="007C21AF">
      <w:pPr>
        <w:ind w:left="2160" w:hanging="744"/>
        <w:jc w:val="both"/>
      </w:pPr>
      <w:r>
        <w:t>Πάχος:</w:t>
      </w:r>
      <w:r>
        <w:tab/>
        <w:t>48 mm (± 2 mm).</w:t>
      </w:r>
    </w:p>
    <w:p w:rsidR="008E7BF5" w:rsidRPr="003A38BA" w:rsidRDefault="008E7BF5" w:rsidP="007C21AF">
      <w:pPr>
        <w:ind w:left="708" w:firstLine="708"/>
        <w:jc w:val="both"/>
      </w:pPr>
    </w:p>
    <w:p w:rsidR="00C145F2" w:rsidRPr="003A38BA" w:rsidRDefault="00C145F2" w:rsidP="007C21AF">
      <w:pPr>
        <w:spacing w:after="120"/>
        <w:ind w:left="0" w:firstLine="0"/>
        <w:jc w:val="both"/>
      </w:pPr>
      <w:r>
        <w:t>Η στερέωση των δοκιμίων στο περίβλημα φροντίζει ώστε οι άνω πλευρές των δοκιμίων να βρίσκονται στο ίδιο ύψος με το εξωτερικό μέρος του περιβλήματος για να αποφεύγονται οι αποκολλήσεις. Πρέπει να προκύπτει μια ομοιόμορφη επιφάνεια μετακίνησης χωρίς ολισθηρότητα και ταλαντώσεις και τα δοκίμια πρέπει να είναι ακίνητα σε ένα περίβλημα.</w:t>
      </w:r>
    </w:p>
    <w:p w:rsidR="00234C80" w:rsidRPr="003A38BA" w:rsidRDefault="00234C80" w:rsidP="007C21AF">
      <w:pPr>
        <w:pStyle w:val="Heading1"/>
        <w:numPr>
          <w:ilvl w:val="2"/>
          <w:numId w:val="5"/>
        </w:numPr>
        <w:ind w:left="1440" w:hanging="720"/>
        <w:jc w:val="both"/>
        <w:rPr>
          <w:sz w:val="24"/>
          <w:szCs w:val="24"/>
        </w:rPr>
      </w:pPr>
      <w:bookmarkStart w:id="21" w:name="_Toc2194163"/>
      <w:bookmarkStart w:id="22" w:name="_Toc12476436"/>
      <w:r>
        <w:rPr>
          <w:sz w:val="24"/>
        </w:rPr>
        <w:t>Σύστημα καθαρισμού</w:t>
      </w:r>
      <w:bookmarkEnd w:id="21"/>
      <w:bookmarkEnd w:id="22"/>
    </w:p>
    <w:p w:rsidR="00234C80" w:rsidRPr="003A38BA" w:rsidRDefault="00234C80" w:rsidP="007C21AF">
      <w:pPr>
        <w:spacing w:after="120"/>
        <w:ind w:left="0" w:firstLine="0"/>
        <w:jc w:val="both"/>
      </w:pPr>
      <w:r>
        <w:t>Κατά τη δοκιμή απομακρύνονται τα διαλυτά σωματίδια με πεπιεσμένο αέρα από τον περιστρεφόμενο δίσκο, προκειμένου να αποφευχθεί αλληλεπίδραση των δοκιμαστικών δειγμάτων.</w:t>
      </w:r>
    </w:p>
    <w:p w:rsidR="00921E13" w:rsidRPr="003A38BA" w:rsidRDefault="00921E13" w:rsidP="007C21AF">
      <w:pPr>
        <w:spacing w:after="120"/>
        <w:ind w:left="0" w:firstLine="0"/>
        <w:jc w:val="both"/>
      </w:pPr>
      <w:r>
        <w:t>Επιπλέον, τα ελαστικά μπορούν να ψυχθούν κατά τη δοκιμή με ψεκασμό νερού. Η ψύξη των ελαστικών απαιτείται κυρίως για θερμοπλαστικά.</w:t>
      </w:r>
    </w:p>
    <w:p w:rsidR="004C2F96" w:rsidRPr="003A38BA" w:rsidRDefault="000D70C0" w:rsidP="007C21AF">
      <w:pPr>
        <w:pStyle w:val="Heading1"/>
        <w:numPr>
          <w:ilvl w:val="1"/>
          <w:numId w:val="5"/>
        </w:numPr>
        <w:jc w:val="both"/>
        <w:rPr>
          <w:sz w:val="24"/>
          <w:szCs w:val="24"/>
        </w:rPr>
      </w:pPr>
      <w:bookmarkStart w:id="23" w:name="_Toc2194164"/>
      <w:bookmarkStart w:id="24" w:name="_Toc12476437"/>
      <w:r>
        <w:rPr>
          <w:sz w:val="24"/>
        </w:rPr>
        <w:t>Προετοιμασία των δοκιμίων</w:t>
      </w:r>
      <w:bookmarkEnd w:id="23"/>
      <w:bookmarkEnd w:id="24"/>
    </w:p>
    <w:p w:rsidR="000D70C0" w:rsidRPr="003A38BA" w:rsidRDefault="000D70C0" w:rsidP="007C21AF">
      <w:pPr>
        <w:pStyle w:val="Heading1"/>
        <w:numPr>
          <w:ilvl w:val="2"/>
          <w:numId w:val="5"/>
        </w:numPr>
        <w:ind w:left="1440" w:hanging="720"/>
        <w:jc w:val="both"/>
        <w:rPr>
          <w:sz w:val="24"/>
          <w:szCs w:val="24"/>
        </w:rPr>
      </w:pPr>
      <w:bookmarkStart w:id="25" w:name="_Toc2194165"/>
      <w:bookmarkStart w:id="26" w:name="_Toc12476438"/>
      <w:r>
        <w:rPr>
          <w:sz w:val="24"/>
        </w:rPr>
        <w:t>Εφαρμογή</w:t>
      </w:r>
      <w:bookmarkEnd w:id="25"/>
      <w:bookmarkEnd w:id="26"/>
    </w:p>
    <w:p w:rsidR="00F9526A" w:rsidRPr="003A38BA" w:rsidRDefault="00232406" w:rsidP="007C21AF">
      <w:pPr>
        <w:spacing w:after="120"/>
        <w:ind w:left="0" w:firstLine="0"/>
        <w:jc w:val="both"/>
      </w:pPr>
      <w:r>
        <w:t>Διάφοροι παράγοντες στο πλαίσιο της εφαρμογής, ιδίως το είδος της εφαρμογής και η ποσότητα της στρώσης, η κατεύθυνση της εφαρμογής και οι συνθήκες ξήρανσης ή σκλήρυνσης επηρεάζουν τη δοκιμή.</w:t>
      </w:r>
    </w:p>
    <w:p w:rsidR="008A7AD1" w:rsidRPr="003A38BA" w:rsidRDefault="008A7AD1" w:rsidP="007C21AF">
      <w:pPr>
        <w:spacing w:after="120"/>
        <w:ind w:left="0" w:firstLine="0"/>
        <w:jc w:val="both"/>
      </w:pPr>
      <w:r>
        <w:t xml:space="preserve">Συνήθως το σύστημα σήμανσης εφαρμόζεται όπως προβλέπεται κατά την επιτόπια εφαρμογή. Ο αιτών πρέπει να δηλώνει όλα τα στοιχεία που απαιτούνται για την εφαρμογή μαζί με όλα τα απαιτούμενα συστατικά και τις ποσότητές τους και το είδος της εφαρμογής. Η μέθοδος εφαρμογής (αναλυτική περιγραφή σύμφωνα με τον πίνακα 1) καθώς και όλα τα στοιχεία που προσδιορίστηκαν κατά την εφαρμογή καταγράφονται στο πρωτόκολλο εφαρμογής. Η εφαρμογή διεξάγεται υπό την επίβλεψη ενός διαπιστευμένου εργαστηρίου δοκιμών ή από έναν φορέα που εξουσιοδοτείται από </w:t>
      </w:r>
      <w:r>
        <w:lastRenderedPageBreak/>
        <w:t>το διαπιστευμένο εργαστήριο δοκιμών. Εφόσον το επιθυμεί, ο αιτών μπορεί να είναι παρών κατά την εφαρμογή.</w:t>
      </w:r>
    </w:p>
    <w:p w:rsidR="00921E13" w:rsidRPr="003A38BA" w:rsidRDefault="00921E13" w:rsidP="007C21AF">
      <w:pPr>
        <w:spacing w:after="120"/>
        <w:ind w:left="0" w:firstLine="0"/>
        <w:jc w:val="both"/>
      </w:pPr>
      <w:r>
        <w:t xml:space="preserve">Σύμφωνα με έρευνες, τα αντιδραστικά συστήματα που αποτελούνται από 2 ή 3 συστατικά (ενδεικτική αναλογία 98:2 ή 1:1) επιτυγχάνουν παρόμοια αποτελέσματα σε σχέση με τις τεχνικές ιδιότητες που αφορούν την κυκλοφορία και λαμβάνοντας υπόψη τις οδηγίες του κατασκευαστή μπορούν να εφαρμοστούν με την εκάστοτε ενδεικτική αναλογία. Η ενδεικτική αναλογία δεν αναφέρεται στο πιστοποιητικό δοκιμής, εφόσον ο κατασκευαστής των υλικών βεβαιώσει γραπτώς πριν την έναρξη της δοκιμής ότι το προϊόν οριζόντιας σήμανσης μπορεί να χρησιμοποιηθεί με ενδεικτική αναλογία 98:2 αλλά και με ενδεικτική αναλογία 1:1 χωρίς διαφορές στη χημική σύνθεση. Το συστατικό με 98 % του προϊόντος με δύο συστατικά ισοδυναμεί με το μείγμα των συστατικών Α και Β από το προϊόν με 3 συστατικά με αναλογία μίξης (σύμφωνα με την ενδεικτική αναλογία) 1:1. Εξαίρεση αποτελούν τα συστήματα με ανακλαστικά σφαιρίδια που έχουν υποστεί σκλήρυνση. </w:t>
      </w:r>
    </w:p>
    <w:p w:rsidR="000D70C0" w:rsidRPr="003A38BA" w:rsidRDefault="003E3497" w:rsidP="007C21AF">
      <w:pPr>
        <w:pStyle w:val="Subtitle"/>
        <w:ind w:left="1440" w:hanging="1440"/>
        <w:jc w:val="both"/>
        <w:rPr>
          <w:spacing w:val="0"/>
          <w:sz w:val="22"/>
          <w:szCs w:val="22"/>
        </w:rPr>
      </w:pPr>
      <w:r>
        <w:rPr>
          <w:spacing w:val="0"/>
          <w:sz w:val="22"/>
        </w:rPr>
        <w:t>Πίνακας 1:</w:t>
      </w:r>
      <w:r>
        <w:tab/>
      </w:r>
      <w:r>
        <w:rPr>
          <w:spacing w:val="0"/>
          <w:sz w:val="22"/>
        </w:rPr>
        <w:t>Απλουστευμένη περιγραφή των μεθόδων εφαρμογής σε συνάρτηση με τη χρησιμοποιούμενη κατηγορία υλικών</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5103"/>
        <w:gridCol w:w="1701"/>
      </w:tblGrid>
      <w:tr w:rsidR="00D82DF7" w:rsidRPr="003A38BA" w:rsidTr="003E3497">
        <w:tc>
          <w:tcPr>
            <w:tcW w:w="2425" w:type="dxa"/>
            <w:shd w:val="clear" w:color="000000" w:fill="D8D8D8"/>
            <w:vAlign w:val="center"/>
            <w:hideMark/>
          </w:tcPr>
          <w:p w:rsidR="00D82DF7" w:rsidRPr="003A38BA" w:rsidRDefault="00706B86" w:rsidP="00D82DF7">
            <w:pPr>
              <w:ind w:left="0" w:firstLine="0"/>
              <w:jc w:val="center"/>
              <w:rPr>
                <w:rFonts w:ascii="Calibri" w:eastAsia="Times New Roman" w:hAnsi="Calibri" w:cs="Times New Roman"/>
                <w:b/>
                <w:bCs/>
                <w:color w:val="000000"/>
                <w:sz w:val="20"/>
                <w:szCs w:val="20"/>
              </w:rPr>
            </w:pPr>
            <w:r>
              <w:rPr>
                <w:rFonts w:ascii="Calibri" w:hAnsi="Calibri"/>
                <w:b/>
                <w:color w:val="000000"/>
                <w:sz w:val="20"/>
              </w:rPr>
              <w:t xml:space="preserve">Απλουστευμένη περιγραφή των μεθόδων εφαρμογής </w:t>
            </w:r>
          </w:p>
        </w:tc>
        <w:tc>
          <w:tcPr>
            <w:tcW w:w="5103" w:type="dxa"/>
            <w:shd w:val="clear" w:color="000000" w:fill="D8D8D8"/>
            <w:noWrap/>
            <w:vAlign w:val="center"/>
            <w:hideMark/>
          </w:tcPr>
          <w:p w:rsidR="00D82DF7" w:rsidRPr="003A38BA" w:rsidRDefault="00706B86" w:rsidP="00D82DF7">
            <w:pPr>
              <w:ind w:left="0" w:firstLine="0"/>
              <w:jc w:val="center"/>
              <w:rPr>
                <w:rFonts w:ascii="Calibri" w:eastAsia="Times New Roman" w:hAnsi="Calibri" w:cs="Times New Roman"/>
                <w:b/>
                <w:bCs/>
                <w:color w:val="000000"/>
                <w:sz w:val="20"/>
                <w:szCs w:val="20"/>
              </w:rPr>
            </w:pPr>
            <w:r>
              <w:rPr>
                <w:rFonts w:ascii="Calibri" w:hAnsi="Calibri"/>
                <w:b/>
                <w:color w:val="000000"/>
                <w:sz w:val="20"/>
              </w:rPr>
              <w:t>Αναλυτικές περιγραφές στο πρωτόκολλο εφαρμογής</w:t>
            </w:r>
            <w:r>
              <w:rPr>
                <w:rStyle w:val="FootnoteReference"/>
                <w:rFonts w:ascii="Calibri" w:hAnsi="Calibri"/>
                <w:b/>
                <w:color w:val="000000"/>
                <w:sz w:val="20"/>
              </w:rPr>
              <w:footnoteReference w:id="1"/>
            </w:r>
          </w:p>
        </w:tc>
        <w:tc>
          <w:tcPr>
            <w:tcW w:w="1701" w:type="dxa"/>
            <w:shd w:val="clear" w:color="000000" w:fill="D8D8D8"/>
            <w:noWrap/>
            <w:vAlign w:val="center"/>
            <w:hideMark/>
          </w:tcPr>
          <w:p w:rsidR="00D82DF7" w:rsidRPr="003A38BA" w:rsidRDefault="00D82DF7" w:rsidP="00D82DF7">
            <w:pPr>
              <w:ind w:left="0" w:firstLine="0"/>
              <w:jc w:val="center"/>
              <w:rPr>
                <w:rFonts w:ascii="Calibri" w:eastAsia="Times New Roman" w:hAnsi="Calibri" w:cs="Times New Roman"/>
                <w:b/>
                <w:bCs/>
                <w:color w:val="000000"/>
                <w:sz w:val="20"/>
                <w:szCs w:val="20"/>
              </w:rPr>
            </w:pPr>
            <w:r>
              <w:rPr>
                <w:rFonts w:ascii="Calibri" w:hAnsi="Calibri"/>
                <w:b/>
                <w:color w:val="000000"/>
                <w:sz w:val="20"/>
              </w:rPr>
              <w:t>Κατηγορία υλικών</w:t>
            </w: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Μέθοδος ψεκασμού</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Χωρίς αέρα</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Βαφές, πλαστικό για ψυχρό ψεκασμό, θερμοπλαστικό</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Πεπιεσμένος αέρας</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Σε σύνδεση</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Χωρίς αέρα με ανάμεικτα σφαιρίδια</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Θερμοψεκασμός</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Αέρας ψεκαστήρα που εξαρτάται από τη διαδρομή</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Αέρας ψεκαστήρα με εξωτερική ανάμιξη - σκληρυντικό μέσο υγρών</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ομοιόμορφες ανάγλυφες διαγραμμίσεις</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Multidot line</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Ψυχροπλαστικό, θερμοπλαστικό</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ομοιόμορφες κουκκίδες</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Thermo Extruder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Spotflex</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Εξωθητής / ειδική πινακίδα</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Σύστημα Visidot</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ακανόνιστες ανάγλυφες διαγραμμίσεις</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Εξωθητής</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Ψυχροπλαστικό, θερμοπλαστικό</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προεντεταμένα ελατήρια με μεταλλικό έλασμα (Feichtner system)</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Διάτρητο έλασμα</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Ακιδωτό ρολό</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Μέθοδος φυγοκέντρησης</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Πλήρης διαγράμμιση</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Μηχάνημα χειρός διαγραμμίσεων</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Ψυχροπλαστικό, θερμοπλαστικό</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Εξωθητής</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Πλήρης διαγράμμιση με δομημένη επιφάνεια</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Μηχάνημα χειρός διαγραμμίσεων + κύλινδρος κατασκευής</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Ψυχροπλαστικό</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Κύλινδρος</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επάλειψη</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Προεπάλειψη (υπόστρωμα), επάλειψη</w:t>
            </w:r>
          </w:p>
        </w:tc>
        <w:tc>
          <w:tcPr>
            <w:tcW w:w="1701"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Υμένες</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χωρίς υπόστρωμα, επάλειψη</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Bitumen plus, επάλειψη</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Asphalt plus, επάλειψη</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6E1AD5" w:rsidRPr="003A38BA" w:rsidTr="003E3497">
        <w:tc>
          <w:tcPr>
            <w:tcW w:w="2425" w:type="dxa"/>
            <w:vMerge w:val="restart"/>
            <w:shd w:val="clear" w:color="auto" w:fill="auto"/>
            <w:vAlign w:val="center"/>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rPr>
              <w:t>Προκατασκευασμένο σύστημα σήμανσης</w:t>
            </w:r>
          </w:p>
        </w:tc>
        <w:tc>
          <w:tcPr>
            <w:tcW w:w="5103" w:type="dxa"/>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rPr>
              <w:t>προκατασκευασμένο σύστημα σήμανσης που τήκεται με φλόγιστρο χειρός</w:t>
            </w:r>
          </w:p>
        </w:tc>
        <w:tc>
          <w:tcPr>
            <w:tcW w:w="1701" w:type="dxa"/>
            <w:vMerge w:val="restart"/>
            <w:shd w:val="clear" w:color="auto" w:fill="auto"/>
            <w:noWrap/>
            <w:vAlign w:val="center"/>
            <w:hideMark/>
          </w:tcPr>
          <w:p w:rsidR="006E1AD5" w:rsidRPr="003A38BA" w:rsidRDefault="006E1AD5" w:rsidP="0023536B">
            <w:pPr>
              <w:ind w:left="0" w:firstLine="0"/>
              <w:jc w:val="center"/>
              <w:rPr>
                <w:rFonts w:ascii="Calibri" w:eastAsia="Times New Roman" w:hAnsi="Calibri" w:cs="Times New Roman"/>
                <w:color w:val="000000"/>
                <w:sz w:val="20"/>
                <w:szCs w:val="20"/>
              </w:rPr>
            </w:pPr>
            <w:r>
              <w:rPr>
                <w:rFonts w:ascii="Calibri" w:hAnsi="Calibri"/>
                <w:color w:val="000000"/>
                <w:sz w:val="20"/>
              </w:rPr>
              <w:t>Θερμοπλαστικά, ενδεχομένως στο μέλλον και ψυχροπλαστικά</w:t>
            </w:r>
          </w:p>
        </w:tc>
      </w:tr>
      <w:tr w:rsidR="006E1AD5" w:rsidRPr="003A38BA" w:rsidTr="003E3497">
        <w:tc>
          <w:tcPr>
            <w:tcW w:w="2425" w:type="dxa"/>
            <w:vMerge/>
            <w:vAlign w:val="center"/>
            <w:hideMark/>
          </w:tcPr>
          <w:p w:rsidR="006E1AD5" w:rsidRPr="003A38BA" w:rsidRDefault="006E1AD5"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rPr>
              <w:t>προκατασκευασμένο σύστημα σήμανσης που τήκεται με φλόγιστρο χειρός με επιπλέον θερμοπλαστικές κουκκίδες</w:t>
            </w:r>
          </w:p>
        </w:tc>
        <w:tc>
          <w:tcPr>
            <w:tcW w:w="1701" w:type="dxa"/>
            <w:vMerge/>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p>
        </w:tc>
      </w:tr>
    </w:tbl>
    <w:p w:rsidR="00EB1650" w:rsidRPr="003A38BA" w:rsidRDefault="00EB1650" w:rsidP="007C21AF">
      <w:pPr>
        <w:spacing w:after="120"/>
        <w:ind w:left="0" w:firstLine="0"/>
        <w:jc w:val="both"/>
      </w:pPr>
      <w:r>
        <w:lastRenderedPageBreak/>
        <w:t xml:space="preserve">Σε αντίθεση με την αναλυτική περιγραφή της διαδικασίας εφαρμογής στο πρωτόκολλο εφαρμογής, στο πιστοποιητικό δοκιμής ή στη βεβαίωση της δοκιμής αναφέρονται οι απλουστευμένες περιγραφές των μεθόδων εφαρμογής που αναφέρονται στον πίνακα 1. </w:t>
      </w:r>
    </w:p>
    <w:p w:rsidR="00260651" w:rsidRPr="003A38BA" w:rsidRDefault="00260651" w:rsidP="007C21AF">
      <w:pPr>
        <w:spacing w:after="120"/>
        <w:ind w:left="0" w:firstLine="0"/>
        <w:jc w:val="both"/>
      </w:pPr>
      <w:r>
        <w:t xml:space="preserve">Το σύστημα σήμανσης εφαρμόζεται σε 4 δοκίμια. Αν είναι απαραίτητος ο προσδιορισμός του χρόνου ξήρανσης, είναι 5. Απαιτούνται δοκίμια. Το δοκίμιο λειτουργεί ως δείγμα αναφοράς και ορίζει το νέο οδόστρωμα. 3 δοκίμια περνούν μέσα από τον προσομοιωτή φθοράς. </w:t>
      </w:r>
    </w:p>
    <w:p w:rsidR="00B2761F" w:rsidRPr="00A37E2F" w:rsidRDefault="00B2761F" w:rsidP="007C21AF">
      <w:pPr>
        <w:pStyle w:val="Heading1"/>
        <w:numPr>
          <w:ilvl w:val="2"/>
          <w:numId w:val="5"/>
        </w:numPr>
        <w:ind w:left="1440" w:hanging="720"/>
        <w:jc w:val="both"/>
        <w:rPr>
          <w:rFonts w:asciiTheme="minorHAnsi" w:hAnsiTheme="minorHAnsi"/>
          <w:sz w:val="24"/>
          <w:szCs w:val="24"/>
        </w:rPr>
      </w:pPr>
      <w:bookmarkStart w:id="27" w:name="_Toc2194166"/>
      <w:bookmarkStart w:id="28" w:name="_Toc12476439"/>
      <w:r>
        <w:rPr>
          <w:rFonts w:asciiTheme="minorHAnsi" w:hAnsiTheme="minorHAnsi"/>
          <w:sz w:val="24"/>
        </w:rPr>
        <w:t>Μετρήσεις που αφορούν την εφαρμογή</w:t>
      </w:r>
      <w:bookmarkEnd w:id="27"/>
      <w:bookmarkEnd w:id="28"/>
    </w:p>
    <w:p w:rsidR="000D70C0" w:rsidRPr="003A38BA" w:rsidRDefault="000D70C0" w:rsidP="007C21AF">
      <w:pPr>
        <w:spacing w:after="120"/>
        <w:ind w:left="0" w:firstLine="0"/>
        <w:jc w:val="both"/>
      </w:pPr>
      <w:r>
        <w:t xml:space="preserve">Η διαγράμμιση εφαρμόζεται με θερμοκρασία αέρα από +10°C έως +35°C και σχετική υγρασία έως 80% κατ’ ανώτατο όριο. Η θερμοκρασία του αέρα καθώς και η σχετική υγρασία πρέπει να προσδιορίζονται και να καταγράφονται αμέσως πριν την έναρξη της εφαρμογής. </w:t>
      </w:r>
    </w:p>
    <w:p w:rsidR="000503D0" w:rsidRPr="003A38BA" w:rsidRDefault="004F79C9" w:rsidP="007C21AF">
      <w:pPr>
        <w:spacing w:after="120"/>
        <w:ind w:left="0" w:firstLine="0"/>
        <w:jc w:val="both"/>
      </w:pPr>
      <w:r>
        <w:t>Πρέπει να προσδιορίζεται ο χρόνος ξήρανσης έως τον χρόνο δυνατότητας διέλευσης για βαφές και ψυχροπλαστικά υλικά, να κατατάσσεται στις κατηγορίες που αναφέρονται στον πίνακα 2 και να καταγράφεται σε συνδυασμό με τις κλιματικές συνθήκες (θερμοκρασία περιβάλλοντος, θερμοκρασία της επιφάνειας των δοκιμίων και σχετική υγρασία αέρα). Για θερμοπλαστικές διαγραμμίσεις ο χρόνος ξήρανσης κατατάσσεται συνήθως στην κατηγορία T2 (≤10 min). Η δυνατότητα διέλευσης πάνω από μια διαγράμμιση συνίσταται κατά τον χρόνο που δεν εμφανίζονται παραμορφώσεις κατά τη διαδικασία διέλευσης. Ο χρόνος ξήρανσης</w:t>
      </w:r>
      <w:r>
        <w:rPr>
          <w:rStyle w:val="FootnoteReference"/>
        </w:rPr>
        <w:footnoteReference w:id="2"/>
      </w:r>
      <w:r>
        <w:t xml:space="preserve"> υπολογίζεται, κατά κύριο λόγο, σύμφωνα με το DIN EN 13197, παράρτημα A. </w:t>
      </w:r>
    </w:p>
    <w:p w:rsidR="000503D0" w:rsidRPr="003A38BA" w:rsidRDefault="003E3497" w:rsidP="007C21AF">
      <w:pPr>
        <w:pStyle w:val="Subtitle"/>
        <w:ind w:left="1440" w:hanging="1440"/>
        <w:jc w:val="both"/>
        <w:rPr>
          <w:spacing w:val="0"/>
        </w:rPr>
      </w:pPr>
      <w:r>
        <w:t>Πίνακας 2:</w:t>
      </w:r>
      <w:r>
        <w:tab/>
        <w:t>Κατηγορίες δυνατότητας διέλευσης</w:t>
      </w:r>
    </w:p>
    <w:tbl>
      <w:tblPr>
        <w:tblStyle w:val="TableGrid"/>
        <w:tblW w:w="0" w:type="auto"/>
        <w:tblInd w:w="108" w:type="dxa"/>
        <w:tblLook w:val="04A0" w:firstRow="1" w:lastRow="0" w:firstColumn="1" w:lastColumn="0" w:noHBand="0" w:noVBand="1"/>
      </w:tblPr>
      <w:tblGrid>
        <w:gridCol w:w="2209"/>
        <w:gridCol w:w="1040"/>
        <w:gridCol w:w="1005"/>
        <w:gridCol w:w="1006"/>
        <w:gridCol w:w="1007"/>
        <w:gridCol w:w="1007"/>
      </w:tblGrid>
      <w:tr w:rsidR="00921E13" w:rsidRPr="003A38BA" w:rsidTr="00EB1650">
        <w:tc>
          <w:tcPr>
            <w:tcW w:w="2209" w:type="dxa"/>
          </w:tcPr>
          <w:p w:rsidR="00921E13" w:rsidRPr="003A38BA" w:rsidRDefault="00921E13" w:rsidP="00A503EF">
            <w:pPr>
              <w:spacing w:after="120"/>
              <w:ind w:left="0" w:firstLine="0"/>
            </w:pPr>
            <w:r>
              <w:t>Κατηγορία δυνατότητας διέλευσης</w:t>
            </w:r>
          </w:p>
        </w:tc>
        <w:tc>
          <w:tcPr>
            <w:tcW w:w="1040" w:type="dxa"/>
          </w:tcPr>
          <w:p w:rsidR="00921E13" w:rsidRPr="003A38BA" w:rsidRDefault="00921E13" w:rsidP="000503D0">
            <w:pPr>
              <w:spacing w:after="120"/>
              <w:ind w:left="0" w:firstLine="0"/>
              <w:jc w:val="center"/>
            </w:pPr>
            <w:r>
              <w:t>T0</w:t>
            </w:r>
          </w:p>
        </w:tc>
        <w:tc>
          <w:tcPr>
            <w:tcW w:w="1005" w:type="dxa"/>
          </w:tcPr>
          <w:p w:rsidR="00921E13" w:rsidRPr="003A38BA" w:rsidRDefault="00921E13" w:rsidP="000503D0">
            <w:pPr>
              <w:spacing w:after="120"/>
              <w:ind w:left="0" w:firstLine="0"/>
              <w:jc w:val="center"/>
            </w:pPr>
            <w:r>
              <w:t>T1</w:t>
            </w:r>
          </w:p>
        </w:tc>
        <w:tc>
          <w:tcPr>
            <w:tcW w:w="1006" w:type="dxa"/>
          </w:tcPr>
          <w:p w:rsidR="00921E13" w:rsidRPr="003A38BA" w:rsidRDefault="00921E13" w:rsidP="000503D0">
            <w:pPr>
              <w:spacing w:after="120"/>
              <w:ind w:left="0" w:firstLine="0"/>
              <w:jc w:val="center"/>
            </w:pPr>
            <w:r>
              <w:t>T2</w:t>
            </w:r>
          </w:p>
        </w:tc>
        <w:tc>
          <w:tcPr>
            <w:tcW w:w="1007" w:type="dxa"/>
          </w:tcPr>
          <w:p w:rsidR="00921E13" w:rsidRPr="003A38BA" w:rsidRDefault="00921E13" w:rsidP="000503D0">
            <w:pPr>
              <w:spacing w:after="120"/>
              <w:ind w:left="0" w:firstLine="0"/>
              <w:jc w:val="center"/>
            </w:pPr>
            <w:r>
              <w:t>T3</w:t>
            </w:r>
          </w:p>
        </w:tc>
        <w:tc>
          <w:tcPr>
            <w:tcW w:w="1007" w:type="dxa"/>
          </w:tcPr>
          <w:p w:rsidR="00921E13" w:rsidRPr="003A38BA" w:rsidRDefault="00921E13" w:rsidP="000503D0">
            <w:pPr>
              <w:spacing w:after="120"/>
              <w:ind w:left="0" w:firstLine="0"/>
              <w:jc w:val="center"/>
            </w:pPr>
            <w:r>
              <w:t>T4</w:t>
            </w:r>
          </w:p>
        </w:tc>
      </w:tr>
      <w:tr w:rsidR="00921E13" w:rsidRPr="003A38BA" w:rsidTr="00EB1650">
        <w:tc>
          <w:tcPr>
            <w:tcW w:w="2209" w:type="dxa"/>
          </w:tcPr>
          <w:p w:rsidR="00921E13" w:rsidRPr="003A38BA" w:rsidRDefault="00CD0A25" w:rsidP="00CD0A25">
            <w:pPr>
              <w:spacing w:after="120"/>
              <w:ind w:left="0" w:firstLine="0"/>
            </w:pPr>
            <w:r>
              <w:t>Χρόνος ξήρανσης σε λεπτά</w:t>
            </w:r>
          </w:p>
        </w:tc>
        <w:tc>
          <w:tcPr>
            <w:tcW w:w="1040" w:type="dxa"/>
          </w:tcPr>
          <w:p w:rsidR="00921E13" w:rsidRPr="003A38BA" w:rsidRDefault="00921E13" w:rsidP="000503D0">
            <w:pPr>
              <w:spacing w:after="120"/>
              <w:ind w:left="0" w:firstLine="0"/>
              <w:jc w:val="center"/>
            </w:pPr>
            <w:r>
              <w:t>NPD</w:t>
            </w:r>
          </w:p>
        </w:tc>
        <w:tc>
          <w:tcPr>
            <w:tcW w:w="1005" w:type="dxa"/>
          </w:tcPr>
          <w:p w:rsidR="00921E13" w:rsidRPr="003A38BA" w:rsidRDefault="00921E13" w:rsidP="000503D0">
            <w:pPr>
              <w:spacing w:after="120"/>
              <w:ind w:left="0" w:firstLine="0"/>
              <w:jc w:val="center"/>
            </w:pPr>
            <w:r>
              <w:t>≤ 1</w:t>
            </w:r>
          </w:p>
        </w:tc>
        <w:tc>
          <w:tcPr>
            <w:tcW w:w="1006" w:type="dxa"/>
          </w:tcPr>
          <w:p w:rsidR="00921E13" w:rsidRPr="003A38BA" w:rsidRDefault="00921E13" w:rsidP="000503D0">
            <w:pPr>
              <w:spacing w:after="120"/>
              <w:ind w:left="0" w:firstLine="0"/>
              <w:jc w:val="center"/>
            </w:pPr>
            <w:r>
              <w:t>≤ 10</w:t>
            </w:r>
          </w:p>
        </w:tc>
        <w:tc>
          <w:tcPr>
            <w:tcW w:w="1007" w:type="dxa"/>
          </w:tcPr>
          <w:p w:rsidR="00921E13" w:rsidRPr="003A38BA" w:rsidRDefault="00921E13" w:rsidP="000503D0">
            <w:pPr>
              <w:spacing w:after="120"/>
              <w:ind w:left="0" w:firstLine="0"/>
              <w:jc w:val="center"/>
            </w:pPr>
            <w:r>
              <w:t>≤ 20</w:t>
            </w:r>
          </w:p>
        </w:tc>
        <w:tc>
          <w:tcPr>
            <w:tcW w:w="1007" w:type="dxa"/>
          </w:tcPr>
          <w:p w:rsidR="00921E13" w:rsidRPr="003A38BA" w:rsidRDefault="00921E13" w:rsidP="000503D0">
            <w:pPr>
              <w:spacing w:after="120"/>
              <w:ind w:left="0" w:firstLine="0"/>
              <w:jc w:val="center"/>
            </w:pPr>
            <w:r>
              <w:t>≤ 30</w:t>
            </w:r>
          </w:p>
        </w:tc>
      </w:tr>
    </w:tbl>
    <w:p w:rsidR="000503D0" w:rsidRPr="003A38BA" w:rsidRDefault="000503D0" w:rsidP="00A503EF">
      <w:pPr>
        <w:spacing w:after="120"/>
        <w:ind w:left="0" w:firstLine="0"/>
      </w:pPr>
    </w:p>
    <w:p w:rsidR="004F79C9" w:rsidRPr="003A38BA" w:rsidRDefault="004F79C9" w:rsidP="007C21AF">
      <w:pPr>
        <w:spacing w:after="120"/>
        <w:ind w:left="0" w:firstLine="0"/>
        <w:jc w:val="both"/>
      </w:pPr>
      <w:r>
        <w:t>Κατά την εφαρμογή ενός συστήματος σήμανσης πρέπει να προσδιορίζονται οι ποσότητες εφαρμογής του προϊόντος που τοποθετούνται στην πραγματικότητα στο δοκίμιο καθώς και όλα τα ενσωματούμενα υλικά.</w:t>
      </w:r>
    </w:p>
    <w:p w:rsidR="00B53040" w:rsidRPr="003A38BA" w:rsidRDefault="00B53040" w:rsidP="007C21AF">
      <w:pPr>
        <w:spacing w:after="120"/>
        <w:ind w:left="0" w:firstLine="0"/>
        <w:jc w:val="both"/>
      </w:pPr>
      <w:r>
        <w:t>Η ποσότητα εφαρμογής ενός υλικού σήμανσης δηλώνεται μέσω του πάχους της στρώσης. Το πάχος της στρώσης υπολογίζεται, κατά κύριο λόγο, σύμφωνα με το DIN EN 13197, παράρτημα C. Σε ορισμένες περιπτώσεις, η ποσότητα εφαρμογής μπορεί να προσδιοριστεί με διαδοχική ζύγιση των δοκιμίων μετά την εφαρμογή των διαφορετικών συνιστωσών (προϊόν, υλικά επίπασης). Έπειτα το πάχος της στρώσης προσδιορίζεται με βάση την αποτελεσματική ποσότητα εφαρμογής. Η ποσότητα εφαρμογής σε ανάγλυφες διαγραμμίσεις προσδιορίζεται με εξισορρόπηση της ποσότητας του προϊόντος χωρίς υλικά επίπασης. Σε συστήματα λεπτών στρωμάτων είναι γενικά πιο πρακτικό να μετριέται το πάχος υγρού υμένα με μια γειωμένη, βαθμονομημένη χτένα μέτρησης.</w:t>
      </w:r>
    </w:p>
    <w:p w:rsidR="004F79C9" w:rsidRPr="003A38BA" w:rsidRDefault="004F79C9" w:rsidP="007C21AF">
      <w:pPr>
        <w:spacing w:after="120"/>
        <w:ind w:left="0" w:firstLine="0"/>
        <w:jc w:val="both"/>
      </w:pPr>
      <w:r>
        <w:t>Τα αποτελέσματα πρέπει να τεκμηριώνονται στο πρωτόκολλο εφαρμογής.</w:t>
      </w:r>
    </w:p>
    <w:p w:rsidR="000766A6" w:rsidRPr="003A38BA" w:rsidRDefault="000766A6" w:rsidP="007C21AF">
      <w:pPr>
        <w:pStyle w:val="Heading1"/>
        <w:numPr>
          <w:ilvl w:val="2"/>
          <w:numId w:val="5"/>
        </w:numPr>
        <w:ind w:left="1440" w:hanging="720"/>
        <w:jc w:val="both"/>
        <w:rPr>
          <w:rFonts w:ascii="Arial" w:hAnsi="Arial" w:cs="Arial"/>
          <w:sz w:val="24"/>
          <w:szCs w:val="24"/>
        </w:rPr>
      </w:pPr>
      <w:bookmarkStart w:id="29" w:name="_Toc2194167"/>
      <w:bookmarkStart w:id="30" w:name="_Toc12476440"/>
      <w:r>
        <w:rPr>
          <w:sz w:val="24"/>
        </w:rPr>
        <w:t>Δειγματοληψία</w:t>
      </w:r>
      <w:bookmarkEnd w:id="29"/>
      <w:bookmarkEnd w:id="30"/>
    </w:p>
    <w:p w:rsidR="000766A6" w:rsidRPr="003A38BA" w:rsidRDefault="000766A6" w:rsidP="007C21AF">
      <w:pPr>
        <w:spacing w:after="120"/>
        <w:ind w:left="0" w:firstLine="0"/>
        <w:jc w:val="both"/>
      </w:pPr>
      <w:r>
        <w:t xml:space="preserve">Για λόγους ταυτοποίησης λαμβάνονται δείγματα, κατά την εφαρμογή, από κάθε προϊόν σήμανσης, από όλα τα συστατικά στοιχεία ενός προϊόντος πολλών συστατικών καθώς και από τα </w:t>
      </w:r>
      <w:r>
        <w:lastRenderedPageBreak/>
        <w:t>ενσωματούμενα υλικά. Τα ληφθέντα δείγματα υποβάλλονται σε φυσικοχημικές εξετάσεις για την ταυτοποίηση του συστήματος σήμανσης.</w:t>
      </w:r>
    </w:p>
    <w:p w:rsidR="00260651" w:rsidRPr="003A38BA" w:rsidRDefault="00260651" w:rsidP="007C21AF">
      <w:pPr>
        <w:pStyle w:val="Heading1"/>
        <w:numPr>
          <w:ilvl w:val="2"/>
          <w:numId w:val="5"/>
        </w:numPr>
        <w:ind w:left="1440" w:hanging="720"/>
        <w:jc w:val="both"/>
        <w:rPr>
          <w:rFonts w:ascii="Arial" w:hAnsi="Arial" w:cs="Arial"/>
          <w:sz w:val="24"/>
          <w:szCs w:val="24"/>
        </w:rPr>
      </w:pPr>
      <w:bookmarkStart w:id="31" w:name="_Toc2194168"/>
      <w:bookmarkStart w:id="32" w:name="_Toc12476441"/>
      <w:r>
        <w:rPr>
          <w:sz w:val="24"/>
        </w:rPr>
        <w:t>Χρόνος σταθεροποίησης</w:t>
      </w:r>
      <w:bookmarkEnd w:id="31"/>
      <w:bookmarkEnd w:id="32"/>
    </w:p>
    <w:p w:rsidR="00260651" w:rsidRPr="003A38BA" w:rsidRDefault="00C8360F" w:rsidP="007C21AF">
      <w:pPr>
        <w:spacing w:after="120"/>
        <w:ind w:left="0" w:firstLine="0"/>
        <w:jc w:val="both"/>
      </w:pPr>
      <w:r>
        <w:t>Μετά την πρώτη εφαρμογή στον προσομοιωτή φθοράς είναι δυνατή η διέλευση σε διαλυτές βαφές σε 8 ημέρες κατά ελάχιστο όριο και 12 ημέρες κατά ανώτατο όριο. Το χρονικό διάστημα για διασπορές πρέπει να είναι μεγαλύτερο κατά μία εβδομάδα για βαφές που περιέχουν διαλύτες. Η διέλευση σε όλα τα άλλα συστήματα σήμανσης επιτρέπεται 48 ώρες μετά την πρώτη εφαρμογή.</w:t>
      </w:r>
    </w:p>
    <w:p w:rsidR="005517CE" w:rsidRPr="003A38BA" w:rsidRDefault="005517CE" w:rsidP="007C21AF">
      <w:pPr>
        <w:spacing w:after="120"/>
        <w:ind w:left="0" w:firstLine="0"/>
        <w:jc w:val="both"/>
      </w:pPr>
      <w:r>
        <w:t xml:space="preserve">Τα προπαρασκευασμένα δοκίμια πρέπει να αποθηκεύονται σε κλιματιζόμενο χώρο σε θερμοκρασία 20°±5°C και σχετική υγρασία αέρα από 45 % έως 75 % για ξήρανση και σκλήρυνση. </w:t>
      </w:r>
    </w:p>
    <w:p w:rsidR="005517CE" w:rsidRPr="003A38BA" w:rsidRDefault="005517CE" w:rsidP="007C21AF">
      <w:pPr>
        <w:pStyle w:val="Heading1"/>
        <w:numPr>
          <w:ilvl w:val="2"/>
          <w:numId w:val="5"/>
        </w:numPr>
        <w:ind w:left="1440" w:hanging="720"/>
        <w:jc w:val="both"/>
        <w:rPr>
          <w:sz w:val="24"/>
          <w:szCs w:val="24"/>
        </w:rPr>
      </w:pPr>
      <w:bookmarkStart w:id="33" w:name="_Toc2194169"/>
      <w:bookmarkStart w:id="34" w:name="_Toc12476442"/>
      <w:r>
        <w:rPr>
          <w:sz w:val="24"/>
        </w:rPr>
        <w:t>Κατεύθυνση εφαρμογής</w:t>
      </w:r>
      <w:bookmarkEnd w:id="33"/>
      <w:bookmarkEnd w:id="34"/>
    </w:p>
    <w:p w:rsidR="005517CE" w:rsidRPr="003A38BA" w:rsidRDefault="005517CE" w:rsidP="007C21AF">
      <w:pPr>
        <w:spacing w:after="120"/>
        <w:ind w:left="0" w:firstLine="0"/>
        <w:jc w:val="both"/>
      </w:pPr>
      <w:r>
        <w:t xml:space="preserve">Κατά την εφαρμογή στα δοκίμια πρέπει να λαμβάνεται υπόψη ότι τα δοκίμια στον προσομοιωτή φθοράς πρέπει να είναι στραμμένα έτσι ώστε η διέλευση στα συστήματα σήμανσης να γίνεται προς την κατεύθυνση της εφαρμογής. </w:t>
      </w:r>
    </w:p>
    <w:p w:rsidR="006D5959" w:rsidRPr="003A38BA" w:rsidRDefault="006D5959" w:rsidP="007C21AF">
      <w:pPr>
        <w:pStyle w:val="Heading1"/>
        <w:numPr>
          <w:ilvl w:val="1"/>
          <w:numId w:val="5"/>
        </w:numPr>
        <w:jc w:val="both"/>
        <w:rPr>
          <w:rFonts w:ascii="Arial" w:hAnsi="Arial" w:cs="Arial"/>
          <w:sz w:val="24"/>
          <w:szCs w:val="24"/>
        </w:rPr>
      </w:pPr>
      <w:bookmarkStart w:id="35" w:name="_Toc2194170"/>
      <w:bookmarkStart w:id="36" w:name="_Toc12476443"/>
      <w:r>
        <w:rPr>
          <w:sz w:val="24"/>
        </w:rPr>
        <w:t>Δείγμα αναφοράς</w:t>
      </w:r>
      <w:bookmarkEnd w:id="35"/>
      <w:bookmarkEnd w:id="36"/>
    </w:p>
    <w:p w:rsidR="00EB7D09" w:rsidRPr="003A38BA" w:rsidRDefault="006D5959" w:rsidP="007C21AF">
      <w:pPr>
        <w:spacing w:after="120"/>
        <w:ind w:left="0" w:firstLine="0"/>
        <w:jc w:val="both"/>
      </w:pPr>
      <w:r>
        <w:t xml:space="preserve">Σε κάθε δοκιμαστική λειτουργία για την παρακολούθηση της ομαλής πορείας της δοκιμής πρέπει να περιλαμβάνεται τουλάχιστον ένα δοκίμιο, το οποίο διαθέτει επίστρωση ενός πρότυπου συστήματος σήμανσης (δείγμα αναφοράς). Το προϊόν σήμανσης καθώς και οι οδηγίες εφαρμογής για το δείγμα αναφοράς πρέπει να είναι προκαθορισμένα. </w:t>
      </w:r>
    </w:p>
    <w:p w:rsidR="006D5959" w:rsidRPr="003A38BA" w:rsidRDefault="006D5959" w:rsidP="007C21AF">
      <w:pPr>
        <w:spacing w:after="120"/>
        <w:ind w:left="0" w:firstLine="0"/>
        <w:jc w:val="both"/>
      </w:pPr>
      <w:r>
        <w:t xml:space="preserve">Τα αποτελέσματα κάθε δοκιμής χρησιμοποιούνται για τη διασφάλιση ποιότητας (βλέπε τμήμα 4.4.5). </w:t>
      </w:r>
    </w:p>
    <w:p w:rsidR="00B2761F" w:rsidRPr="003A38BA" w:rsidRDefault="00B2761F" w:rsidP="007C21AF">
      <w:pPr>
        <w:pStyle w:val="Heading1"/>
        <w:numPr>
          <w:ilvl w:val="1"/>
          <w:numId w:val="5"/>
        </w:numPr>
        <w:jc w:val="both"/>
        <w:rPr>
          <w:sz w:val="24"/>
          <w:szCs w:val="24"/>
        </w:rPr>
      </w:pPr>
      <w:bookmarkStart w:id="37" w:name="_Toc2194171"/>
      <w:bookmarkStart w:id="38" w:name="_Toc12476444"/>
      <w:r>
        <w:rPr>
          <w:sz w:val="24"/>
        </w:rPr>
        <w:t>Διεξαγωγή της δοκιμής</w:t>
      </w:r>
      <w:bookmarkEnd w:id="37"/>
      <w:bookmarkEnd w:id="38"/>
    </w:p>
    <w:p w:rsidR="00D1262E" w:rsidRPr="003A38BA" w:rsidRDefault="00AD7468" w:rsidP="007C21AF">
      <w:pPr>
        <w:spacing w:after="120"/>
        <w:ind w:left="0" w:firstLine="0"/>
        <w:jc w:val="both"/>
      </w:pPr>
      <w:r>
        <w:t>Δεν επιτρέπεται η διέλευση πάνω από τα προπαρασκευασμένα δοκίμια πριν την πάροδο του προκαθορισμένου χρόνου σταθεροποίησης. Δεν επιτρέπεται να υποβάλλονται σε δοκιμή τα δοκίμια που δεν έχουν στεγνώσει πλήρως ή δεν έχουν σκληρύνει, με αποτέλεσμα να βλάπτουν υπό προϋποθέσεις άλλα δοκίμια. Για την κάλυψη της ελάχιστης απαραίτητης επιφάνειας μετρήσεων 800 cm</w:t>
      </w:r>
      <w:r>
        <w:rPr>
          <w:vertAlign w:val="superscript"/>
        </w:rPr>
        <w:t>2</w:t>
      </w:r>
      <w:r>
        <w:t xml:space="preserve"> πρέπει να χρησιμοποιείται τουλάχιστον ο απαιτούμενος αριθμός 3 δοκιμίων, στα οποία εφαρμόζεται ελάχιστο πλάτος επάλειψης 20 cm. Η διάταξη των δοκιμίων στον προσομοιωτή φθοράς είναι τυχαία. Τα 3 δοκίμια ενός συστήματος σήμανσης δεν διαχωρίζονται, αλλά διατάσσονται απευθείας το ένα δίπλα στο άλλο. </w:t>
      </w:r>
    </w:p>
    <w:p w:rsidR="00B2761F" w:rsidRPr="003A38BA" w:rsidRDefault="008C64DB" w:rsidP="007C21AF">
      <w:pPr>
        <w:spacing w:after="120"/>
        <w:ind w:left="0" w:firstLine="0"/>
        <w:jc w:val="both"/>
      </w:pPr>
      <w:r>
        <w:t>Κατά τη δοκιμή των θερμοπλαστικών απαιτείται μια συστηματική διάταξη. Τα δοκίμια διατάσσονται κατά τρόπο, ώστε ο τροχός να μπορεί να κυλίσει εκ περιτροπής πάνω από μια ομάδα δοκιμίων και μια ισάριθμη ομάδα κενών πλακών. Από την περίμετρο του τροχού και τις διαστάσεις των δοκιμίων και των κενών πλακών προκύπτει ότι διατάσσονται κάθε φορά 2 συστήματα σήμανσης που αποτελούνται από 3 δοκίμια το καθένα. Έπειτα ακολουθούν 6 κενές πλάκες πριν τη διάταξη των επόμενων 2 συστημάτων σήμανσης.</w:t>
      </w:r>
    </w:p>
    <w:p w:rsidR="006D5959" w:rsidRPr="003A38BA" w:rsidRDefault="006D5959" w:rsidP="007C21AF">
      <w:pPr>
        <w:pStyle w:val="Heading1"/>
        <w:numPr>
          <w:ilvl w:val="2"/>
          <w:numId w:val="5"/>
        </w:numPr>
        <w:ind w:left="1440" w:hanging="720"/>
        <w:jc w:val="both"/>
        <w:rPr>
          <w:rFonts w:ascii="Arial" w:hAnsi="Arial" w:cs="Arial"/>
          <w:sz w:val="24"/>
          <w:szCs w:val="24"/>
        </w:rPr>
      </w:pPr>
      <w:bookmarkStart w:id="39" w:name="_Toc2194172"/>
      <w:bookmarkStart w:id="40" w:name="_Toc12476445"/>
      <w:r>
        <w:rPr>
          <w:sz w:val="24"/>
        </w:rPr>
        <w:t>Συνθήκες δοκιμής</w:t>
      </w:r>
      <w:bookmarkEnd w:id="39"/>
      <w:bookmarkEnd w:id="40"/>
    </w:p>
    <w:p w:rsidR="00AD7468" w:rsidRPr="003A38BA" w:rsidRDefault="00AD7468" w:rsidP="007C21AF">
      <w:pPr>
        <w:spacing w:after="120"/>
        <w:ind w:left="0" w:firstLine="0"/>
        <w:jc w:val="both"/>
      </w:pPr>
      <w:r>
        <w:t>Οι συνθήκες δοκιμής και οι κύκλοι μετρήσεων ορίζονται στους πίνακες 3 και 4.</w:t>
      </w:r>
    </w:p>
    <w:p w:rsidR="004D7F92" w:rsidRPr="003A38BA" w:rsidRDefault="004D7F92" w:rsidP="007C21AF">
      <w:pPr>
        <w:spacing w:after="120"/>
        <w:ind w:left="0" w:firstLine="0"/>
        <w:jc w:val="both"/>
      </w:pPr>
      <w:r>
        <w:t>Ο αριθμός των δειγμάτων χρωμάτων, μεμβρανών και ψυχροπλαστικών που υποβάλλονται ταυτόχρονα σε δοκιμή περιορίζεται από τον αριθμό των περιβλημάτων στον περιστρεφόμενο δίσκο. Για θερμοπλαστικά συστήματα σήμανσης ο αριθμός περιορίζεται συνήθως σε 12 δείγματα.</w:t>
      </w:r>
    </w:p>
    <w:p w:rsidR="004D7F92" w:rsidRPr="003A38BA" w:rsidRDefault="004D7F92" w:rsidP="007C21AF">
      <w:pPr>
        <w:spacing w:after="120"/>
        <w:ind w:left="0" w:firstLine="0"/>
        <w:jc w:val="both"/>
      </w:pPr>
      <w:r>
        <w:lastRenderedPageBreak/>
        <w:t>Οι διαγραμμίσεις από διαφορετικά προϊόντα σήμανσης συνήθως δεν υποβάλλονται ταυτόχρονα σε δοκιμή. Γίνεται διάκριση μεταξύ: χρωμάτων (διαλυτή βαφή, διασπορά), ψυχροπλαστικών, υμένα σε βάση αλουμινίου, υμένα σε άλλη βάση, θερμοπλαστικών.</w:t>
      </w:r>
    </w:p>
    <w:p w:rsidR="00C34F3E" w:rsidRPr="003A38BA" w:rsidRDefault="003E3497" w:rsidP="00A11530">
      <w:pPr>
        <w:pStyle w:val="Subtitle"/>
        <w:keepNext/>
        <w:ind w:left="1440" w:hanging="1440"/>
        <w:jc w:val="both"/>
        <w:rPr>
          <w:spacing w:val="0"/>
        </w:rPr>
      </w:pPr>
      <w:r>
        <w:t>Πίνακας 3:</w:t>
      </w:r>
      <w:r>
        <w:tab/>
        <w:t>Συνθήκες δοκιμής</w:t>
      </w:r>
    </w:p>
    <w:tbl>
      <w:tblPr>
        <w:tblStyle w:val="TableGrid"/>
        <w:tblW w:w="0" w:type="auto"/>
        <w:tblLook w:val="04A0" w:firstRow="1" w:lastRow="0" w:firstColumn="1" w:lastColumn="0" w:noHBand="0" w:noVBand="1"/>
      </w:tblPr>
      <w:tblGrid>
        <w:gridCol w:w="4606"/>
        <w:gridCol w:w="4606"/>
      </w:tblGrid>
      <w:tr w:rsidR="00AD7468" w:rsidRPr="003A38BA" w:rsidTr="00AD7468">
        <w:tc>
          <w:tcPr>
            <w:tcW w:w="4606" w:type="dxa"/>
          </w:tcPr>
          <w:p w:rsidR="00AD7468" w:rsidRPr="003A38BA" w:rsidRDefault="00AD7468" w:rsidP="00A503EF">
            <w:pPr>
              <w:spacing w:after="120"/>
              <w:ind w:left="0" w:firstLine="0"/>
            </w:pPr>
            <w:r>
              <w:t>Αριθμός δοκιμαστικών τροχών</w:t>
            </w:r>
          </w:p>
        </w:tc>
        <w:tc>
          <w:tcPr>
            <w:tcW w:w="4606" w:type="dxa"/>
          </w:tcPr>
          <w:p w:rsidR="00AD7468" w:rsidRPr="003A38BA" w:rsidRDefault="00AD7468" w:rsidP="00A503EF">
            <w:pPr>
              <w:spacing w:after="120"/>
              <w:ind w:left="0" w:firstLine="0"/>
            </w:pPr>
            <w:r>
              <w:t>4</w:t>
            </w:r>
            <w:r>
              <w:rPr>
                <w:vertAlign w:val="superscript"/>
              </w:rPr>
              <w:t xml:space="preserve"> </w:t>
            </w:r>
            <w:r>
              <w:t>ή 8 σε συνάρτηση με το προϊόν που υποβάλλεται σε δοκιμή (βλέπε τμήμα 4.1.1)</w:t>
            </w:r>
          </w:p>
        </w:tc>
      </w:tr>
      <w:tr w:rsidR="00AD7468" w:rsidRPr="003A38BA" w:rsidTr="00AD7468">
        <w:tc>
          <w:tcPr>
            <w:tcW w:w="4606" w:type="dxa"/>
          </w:tcPr>
          <w:p w:rsidR="00AD7468" w:rsidRPr="003A38BA" w:rsidRDefault="00AD7468" w:rsidP="00A503EF">
            <w:pPr>
              <w:spacing w:after="120"/>
              <w:ind w:left="0" w:firstLine="0"/>
            </w:pPr>
            <w:r>
              <w:t>Είδος των δοκιμαστικών ελαστικών</w:t>
            </w:r>
          </w:p>
        </w:tc>
        <w:tc>
          <w:tcPr>
            <w:tcW w:w="4606" w:type="dxa"/>
          </w:tcPr>
          <w:p w:rsidR="00AD7468" w:rsidRPr="003A38BA" w:rsidRDefault="00AD7468" w:rsidP="00A503EF">
            <w:pPr>
              <w:spacing w:after="120"/>
              <w:ind w:left="0" w:firstLine="0"/>
            </w:pPr>
            <w:r>
              <w:t>Εγκεκριμένα ελαστικά που είναι διαθέσιμα στο εμπόριο σύμφωνα με το τμήμα 4.1.1</w:t>
            </w:r>
          </w:p>
          <w:p w:rsidR="00AD7468" w:rsidRPr="003A38BA" w:rsidRDefault="00AD7468" w:rsidP="00A503EF">
            <w:pPr>
              <w:spacing w:after="120"/>
              <w:ind w:left="0" w:firstLine="0"/>
            </w:pPr>
            <w:r>
              <w:t>Νέα ελαστικά για κάθε δοκιμή</w:t>
            </w:r>
            <w:r>
              <w:rPr>
                <w:rStyle w:val="FootnoteReference"/>
              </w:rPr>
              <w:footnoteReference w:id="3"/>
            </w:r>
          </w:p>
        </w:tc>
      </w:tr>
      <w:tr w:rsidR="00AD7468" w:rsidRPr="003A38BA" w:rsidTr="00AD7468">
        <w:tc>
          <w:tcPr>
            <w:tcW w:w="4606" w:type="dxa"/>
          </w:tcPr>
          <w:p w:rsidR="00AD7468" w:rsidRPr="003A38BA" w:rsidRDefault="00AD7468" w:rsidP="00A503EF">
            <w:pPr>
              <w:spacing w:after="120"/>
              <w:ind w:left="0" w:firstLine="0"/>
            </w:pPr>
            <w:r>
              <w:t>Πίεση ελαστικών</w:t>
            </w:r>
          </w:p>
        </w:tc>
        <w:tc>
          <w:tcPr>
            <w:tcW w:w="4606" w:type="dxa"/>
          </w:tcPr>
          <w:p w:rsidR="00AD7468" w:rsidRPr="003A38BA" w:rsidRDefault="00AD7468" w:rsidP="00A503EF">
            <w:pPr>
              <w:spacing w:after="120"/>
              <w:ind w:left="0" w:firstLine="0"/>
            </w:pPr>
            <w:r>
              <w:t>0,25 ± 0,02 MPa</w:t>
            </w:r>
          </w:p>
        </w:tc>
      </w:tr>
      <w:tr w:rsidR="00AD7468" w:rsidRPr="003A38BA" w:rsidTr="00AD7468">
        <w:tc>
          <w:tcPr>
            <w:tcW w:w="4606" w:type="dxa"/>
          </w:tcPr>
          <w:p w:rsidR="00AD7468" w:rsidRPr="003A38BA" w:rsidRDefault="00AD7468" w:rsidP="00A503EF">
            <w:pPr>
              <w:spacing w:after="120"/>
              <w:ind w:left="0" w:firstLine="0"/>
            </w:pPr>
            <w:r>
              <w:t>Φορτίο τροχού</w:t>
            </w:r>
          </w:p>
        </w:tc>
        <w:tc>
          <w:tcPr>
            <w:tcW w:w="4606" w:type="dxa"/>
          </w:tcPr>
          <w:p w:rsidR="00AD7468" w:rsidRPr="003A38BA" w:rsidRDefault="00AD7468" w:rsidP="00A503EF">
            <w:pPr>
              <w:spacing w:after="120"/>
              <w:ind w:left="0" w:firstLine="0"/>
            </w:pPr>
            <w:r>
              <w:t>3000 ± 300 N</w:t>
            </w:r>
          </w:p>
        </w:tc>
      </w:tr>
      <w:tr w:rsidR="00AD7468" w:rsidRPr="003A38BA" w:rsidTr="00AD7468">
        <w:tc>
          <w:tcPr>
            <w:tcW w:w="4606" w:type="dxa"/>
          </w:tcPr>
          <w:p w:rsidR="00AD7468" w:rsidRPr="003A38BA" w:rsidRDefault="00AD7468" w:rsidP="00A503EF">
            <w:pPr>
              <w:spacing w:after="120"/>
              <w:ind w:left="0" w:firstLine="0"/>
            </w:pPr>
            <w:r>
              <w:t>Βύθιση</w:t>
            </w:r>
          </w:p>
        </w:tc>
        <w:tc>
          <w:tcPr>
            <w:tcW w:w="4606" w:type="dxa"/>
          </w:tcPr>
          <w:p w:rsidR="00AD7468" w:rsidRPr="003A38BA" w:rsidRDefault="00AD7468" w:rsidP="00921E13">
            <w:pPr>
              <w:spacing w:after="120"/>
              <w:ind w:left="0" w:firstLine="0"/>
            </w:pPr>
            <w:r>
              <w:t>0° έως και μέγιστη απόκλιση ± 1°</w:t>
            </w:r>
          </w:p>
        </w:tc>
      </w:tr>
      <w:tr w:rsidR="00AD7468" w:rsidRPr="003A38BA" w:rsidTr="00AD7468">
        <w:tc>
          <w:tcPr>
            <w:tcW w:w="4606" w:type="dxa"/>
          </w:tcPr>
          <w:p w:rsidR="00AD7468" w:rsidRPr="003A38BA" w:rsidRDefault="00AD7468" w:rsidP="00A503EF">
            <w:pPr>
              <w:spacing w:after="120"/>
              <w:ind w:left="0" w:firstLine="0"/>
            </w:pPr>
            <w:r>
              <w:t>Κλίση</w:t>
            </w:r>
          </w:p>
        </w:tc>
        <w:tc>
          <w:tcPr>
            <w:tcW w:w="4606" w:type="dxa"/>
          </w:tcPr>
          <w:p w:rsidR="00AD7468" w:rsidRPr="003A38BA" w:rsidRDefault="00AD7468" w:rsidP="00A503EF">
            <w:pPr>
              <w:spacing w:after="120"/>
              <w:ind w:left="0" w:firstLine="0"/>
            </w:pPr>
            <w:r>
              <w:t>Ανά τροχό εκ περιτροπής +1° (±10‘) / -1° (±10‘)</w:t>
            </w:r>
          </w:p>
        </w:tc>
      </w:tr>
      <w:tr w:rsidR="00AD7468" w:rsidRPr="003A38BA" w:rsidTr="00AD7468">
        <w:tc>
          <w:tcPr>
            <w:tcW w:w="4606" w:type="dxa"/>
          </w:tcPr>
          <w:p w:rsidR="00AD7468" w:rsidRPr="003A38BA" w:rsidRDefault="00AD7468" w:rsidP="00A503EF">
            <w:pPr>
              <w:spacing w:after="120"/>
              <w:ind w:left="0" w:firstLine="0"/>
            </w:pPr>
            <w:r>
              <w:t>Ταχύτητα</w:t>
            </w:r>
          </w:p>
        </w:tc>
        <w:tc>
          <w:tcPr>
            <w:tcW w:w="4606" w:type="dxa"/>
          </w:tcPr>
          <w:p w:rsidR="00AD7468" w:rsidRPr="003A38BA" w:rsidRDefault="00AD7468" w:rsidP="00A503EF">
            <w:pPr>
              <w:spacing w:after="120"/>
              <w:ind w:left="0" w:firstLine="0"/>
            </w:pPr>
            <w:r>
              <w:t>15 km/h ± 1 km/h σε περίπτωση πλύσης</w:t>
            </w:r>
          </w:p>
          <w:p w:rsidR="00AD7468" w:rsidRPr="003A38BA" w:rsidRDefault="00AD7468" w:rsidP="00A503EF">
            <w:pPr>
              <w:spacing w:after="120"/>
              <w:ind w:left="0" w:firstLine="0"/>
            </w:pPr>
            <w:r>
              <w:t>60 km/h ± 3 km/h</w:t>
            </w:r>
          </w:p>
        </w:tc>
      </w:tr>
      <w:tr w:rsidR="00AD7468" w:rsidRPr="003A38BA" w:rsidTr="00AD7468">
        <w:tc>
          <w:tcPr>
            <w:tcW w:w="4606" w:type="dxa"/>
          </w:tcPr>
          <w:p w:rsidR="00AD7468" w:rsidRPr="003A38BA" w:rsidRDefault="00AD7468" w:rsidP="00A503EF">
            <w:pPr>
              <w:spacing w:after="120"/>
              <w:ind w:left="0" w:firstLine="0"/>
            </w:pPr>
            <w:r>
              <w:t>Φορά περιστροφής</w:t>
            </w:r>
          </w:p>
        </w:tc>
        <w:tc>
          <w:tcPr>
            <w:tcW w:w="4606" w:type="dxa"/>
          </w:tcPr>
          <w:p w:rsidR="00AD7468" w:rsidRPr="003A38BA" w:rsidRDefault="00AD7468" w:rsidP="00BF3220">
            <w:pPr>
              <w:spacing w:after="120"/>
              <w:ind w:left="0" w:firstLine="0"/>
            </w:pPr>
            <w:r>
              <w:t>50 % σε κάθε κατεύθυνση</w:t>
            </w:r>
          </w:p>
        </w:tc>
      </w:tr>
      <w:tr w:rsidR="00AD7468" w:rsidRPr="003A38BA" w:rsidTr="00AD7468">
        <w:tc>
          <w:tcPr>
            <w:tcW w:w="4606" w:type="dxa"/>
          </w:tcPr>
          <w:p w:rsidR="00AD7468" w:rsidRPr="003A38BA" w:rsidRDefault="0043206D" w:rsidP="00A503EF">
            <w:pPr>
              <w:spacing w:after="120"/>
              <w:ind w:left="0" w:firstLine="0"/>
            </w:pPr>
            <w:r>
              <w:t>Διάστημα μέτρησης</w:t>
            </w:r>
          </w:p>
        </w:tc>
        <w:tc>
          <w:tcPr>
            <w:tcW w:w="4606" w:type="dxa"/>
          </w:tcPr>
          <w:p w:rsidR="00AD7468" w:rsidRPr="003A38BA" w:rsidRDefault="0043206D" w:rsidP="00A503EF">
            <w:pPr>
              <w:spacing w:after="120"/>
              <w:ind w:left="0" w:firstLine="0"/>
            </w:pPr>
            <w:r>
              <w:t>0, 0,01, 0,1, 0,2, 0,5, 1,0, 2,0, 3,0 και 4,0 x 10</w:t>
            </w:r>
            <w:r>
              <w:rPr>
                <w:vertAlign w:val="superscript"/>
              </w:rPr>
              <w:t>6</w:t>
            </w:r>
          </w:p>
        </w:tc>
      </w:tr>
      <w:tr w:rsidR="0043206D" w:rsidRPr="003A38BA" w:rsidTr="00AD7468">
        <w:tc>
          <w:tcPr>
            <w:tcW w:w="4606" w:type="dxa"/>
          </w:tcPr>
          <w:p w:rsidR="0043206D" w:rsidRPr="003A38BA" w:rsidRDefault="0043206D" w:rsidP="00A503EF">
            <w:pPr>
              <w:spacing w:after="120"/>
              <w:ind w:left="0" w:firstLine="0"/>
            </w:pPr>
            <w:r>
              <w:t>Θερμοκρασία δωματίου</w:t>
            </w:r>
          </w:p>
        </w:tc>
        <w:tc>
          <w:tcPr>
            <w:tcW w:w="4606" w:type="dxa"/>
          </w:tcPr>
          <w:p w:rsidR="0043206D" w:rsidRPr="003A38BA" w:rsidRDefault="0043206D" w:rsidP="00A503EF">
            <w:pPr>
              <w:spacing w:after="120"/>
              <w:ind w:left="0" w:firstLine="0"/>
            </w:pPr>
            <w:r>
              <w:t>5°C έως 10°C</w:t>
            </w:r>
          </w:p>
        </w:tc>
      </w:tr>
    </w:tbl>
    <w:p w:rsidR="00AD7468" w:rsidRPr="003A38BA" w:rsidRDefault="00AD7468" w:rsidP="00D9642C">
      <w:pPr>
        <w:spacing w:after="120"/>
        <w:ind w:left="0" w:firstLine="0"/>
      </w:pPr>
    </w:p>
    <w:p w:rsidR="00D9642C" w:rsidRPr="003A38BA" w:rsidRDefault="00D9642C" w:rsidP="00A11530">
      <w:pPr>
        <w:pStyle w:val="Subtitle"/>
        <w:keepNext/>
        <w:ind w:left="1440" w:hanging="1440"/>
        <w:jc w:val="both"/>
        <w:rPr>
          <w:spacing w:val="0"/>
        </w:rPr>
      </w:pPr>
      <w:r>
        <w:t>Πίνακας 4:</w:t>
      </w:r>
      <w:r>
        <w:tab/>
        <w:t>Κύκλοι μέτρησης</w:t>
      </w:r>
    </w:p>
    <w:tbl>
      <w:tblPr>
        <w:tblStyle w:val="TableGrid"/>
        <w:tblW w:w="0" w:type="auto"/>
        <w:tblLook w:val="04A0" w:firstRow="1" w:lastRow="0" w:firstColumn="1" w:lastColumn="0" w:noHBand="0" w:noVBand="1"/>
      </w:tblPr>
      <w:tblGrid>
        <w:gridCol w:w="1316"/>
        <w:gridCol w:w="1316"/>
        <w:gridCol w:w="1316"/>
        <w:gridCol w:w="1316"/>
        <w:gridCol w:w="1316"/>
        <w:gridCol w:w="1316"/>
        <w:gridCol w:w="1316"/>
      </w:tblGrid>
      <w:tr w:rsidR="00C34F3E" w:rsidRPr="003A38BA" w:rsidTr="00C34F3E">
        <w:tc>
          <w:tcPr>
            <w:tcW w:w="1316" w:type="dxa"/>
          </w:tcPr>
          <w:p w:rsidR="00C34F3E" w:rsidRPr="003A38BA" w:rsidRDefault="00C34F3E" w:rsidP="00A503EF">
            <w:pPr>
              <w:spacing w:after="120"/>
              <w:ind w:left="0" w:firstLine="0"/>
              <w:rPr>
                <w:b/>
                <w:sz w:val="18"/>
                <w:szCs w:val="18"/>
              </w:rPr>
            </w:pPr>
            <w:r>
              <w:rPr>
                <w:b/>
                <w:sz w:val="18"/>
              </w:rPr>
              <w:t>Κύκλος μέτρησης</w:t>
            </w:r>
          </w:p>
        </w:tc>
        <w:tc>
          <w:tcPr>
            <w:tcW w:w="1316" w:type="dxa"/>
          </w:tcPr>
          <w:p w:rsidR="00C34F3E" w:rsidRPr="003A38BA" w:rsidRDefault="00C34F3E" w:rsidP="00A503EF">
            <w:pPr>
              <w:spacing w:after="120"/>
              <w:ind w:left="0" w:firstLine="0"/>
              <w:rPr>
                <w:b/>
                <w:sz w:val="18"/>
                <w:szCs w:val="18"/>
              </w:rPr>
            </w:pPr>
            <w:r>
              <w:rPr>
                <w:b/>
                <w:sz w:val="18"/>
              </w:rPr>
              <w:t>Διελεύσεις τροχών του κύκλου μετρήσεων</w:t>
            </w:r>
          </w:p>
        </w:tc>
        <w:tc>
          <w:tcPr>
            <w:tcW w:w="1316" w:type="dxa"/>
          </w:tcPr>
          <w:p w:rsidR="00C34F3E" w:rsidRPr="003A38BA" w:rsidRDefault="00C34F3E" w:rsidP="00A503EF">
            <w:pPr>
              <w:spacing w:after="120"/>
              <w:ind w:left="0" w:firstLine="0"/>
              <w:rPr>
                <w:b/>
                <w:sz w:val="18"/>
                <w:szCs w:val="18"/>
              </w:rPr>
            </w:pPr>
            <w:r>
              <w:rPr>
                <w:b/>
                <w:sz w:val="18"/>
              </w:rPr>
              <w:t>Διελεύσεις τροχών σε έκπλυση στην αρχή</w:t>
            </w:r>
          </w:p>
        </w:tc>
        <w:tc>
          <w:tcPr>
            <w:tcW w:w="1316" w:type="dxa"/>
          </w:tcPr>
          <w:p w:rsidR="00C34F3E" w:rsidRPr="003A38BA" w:rsidRDefault="00C34F3E" w:rsidP="00A503EF">
            <w:pPr>
              <w:spacing w:after="120"/>
              <w:ind w:left="0" w:firstLine="0"/>
              <w:rPr>
                <w:b/>
                <w:sz w:val="18"/>
                <w:szCs w:val="18"/>
              </w:rPr>
            </w:pPr>
            <w:r>
              <w:rPr>
                <w:b/>
                <w:sz w:val="18"/>
              </w:rPr>
              <w:t>Διελεύσεις τροχών σε στεγνή διαγράμμιση</w:t>
            </w:r>
          </w:p>
        </w:tc>
        <w:tc>
          <w:tcPr>
            <w:tcW w:w="1316" w:type="dxa"/>
          </w:tcPr>
          <w:p w:rsidR="00C34F3E" w:rsidRPr="003A38BA" w:rsidRDefault="00C34F3E" w:rsidP="00A503EF">
            <w:pPr>
              <w:spacing w:after="120"/>
              <w:ind w:left="0" w:firstLine="0"/>
              <w:rPr>
                <w:b/>
                <w:sz w:val="18"/>
                <w:szCs w:val="18"/>
              </w:rPr>
            </w:pPr>
            <w:r>
              <w:rPr>
                <w:b/>
                <w:sz w:val="18"/>
              </w:rPr>
              <w:t>Διελεύσεις τροχών σε έκπλυση στο τέλος *)</w:t>
            </w:r>
          </w:p>
        </w:tc>
        <w:tc>
          <w:tcPr>
            <w:tcW w:w="1316" w:type="dxa"/>
          </w:tcPr>
          <w:p w:rsidR="00C34F3E" w:rsidRPr="003A38BA" w:rsidRDefault="00C34F3E" w:rsidP="00A503EF">
            <w:pPr>
              <w:spacing w:after="120"/>
              <w:ind w:left="0" w:firstLine="0"/>
              <w:rPr>
                <w:b/>
                <w:sz w:val="18"/>
                <w:szCs w:val="18"/>
              </w:rPr>
            </w:pPr>
            <w:r>
              <w:rPr>
                <w:b/>
                <w:sz w:val="18"/>
              </w:rPr>
              <w:t xml:space="preserve">Διελεύσεις τροχών έως τροποποίηση της κατεύθυνσης περιστροφής </w:t>
            </w:r>
          </w:p>
        </w:tc>
        <w:tc>
          <w:tcPr>
            <w:tcW w:w="1316" w:type="dxa"/>
          </w:tcPr>
          <w:p w:rsidR="00C34F3E" w:rsidRPr="003A38BA" w:rsidRDefault="00C34F3E" w:rsidP="00A503EF">
            <w:pPr>
              <w:spacing w:after="120"/>
              <w:ind w:left="0" w:firstLine="0"/>
              <w:rPr>
                <w:b/>
                <w:sz w:val="18"/>
                <w:szCs w:val="18"/>
              </w:rPr>
            </w:pPr>
            <w:r>
              <w:rPr>
                <w:b/>
                <w:sz w:val="18"/>
              </w:rPr>
              <w:t>Διελεύσεις τροχών συνολικά</w:t>
            </w:r>
          </w:p>
        </w:tc>
      </w:tr>
      <w:tr w:rsidR="00C34F3E" w:rsidRPr="003A38BA" w:rsidTr="00C34F3E">
        <w:tc>
          <w:tcPr>
            <w:tcW w:w="1316" w:type="dxa"/>
          </w:tcPr>
          <w:p w:rsidR="00C34F3E" w:rsidRPr="003A38BA" w:rsidRDefault="00EB7D09" w:rsidP="00C34F3E">
            <w:pPr>
              <w:spacing w:after="120"/>
              <w:ind w:left="0" w:firstLine="0"/>
              <w:jc w:val="center"/>
            </w:pPr>
            <w:r>
              <w:t>1</w:t>
            </w:r>
          </w:p>
        </w:tc>
        <w:tc>
          <w:tcPr>
            <w:tcW w:w="1316" w:type="dxa"/>
          </w:tcPr>
          <w:p w:rsidR="00C34F3E" w:rsidRPr="003A38BA" w:rsidRDefault="00EB7D09" w:rsidP="00C34F3E">
            <w:pPr>
              <w:spacing w:after="120"/>
              <w:ind w:left="0" w:firstLine="0"/>
              <w:jc w:val="center"/>
            </w:pPr>
            <w:r>
              <w:t>10.000</w:t>
            </w:r>
          </w:p>
        </w:tc>
        <w:tc>
          <w:tcPr>
            <w:tcW w:w="1316" w:type="dxa"/>
          </w:tcPr>
          <w:p w:rsidR="00C34F3E" w:rsidRPr="003A38BA" w:rsidRDefault="00EB7D09" w:rsidP="00C34F3E">
            <w:pPr>
              <w:spacing w:after="120"/>
              <w:ind w:left="0" w:firstLine="0"/>
              <w:jc w:val="center"/>
            </w:pPr>
            <w:r>
              <w:t>1.750</w:t>
            </w:r>
          </w:p>
        </w:tc>
        <w:tc>
          <w:tcPr>
            <w:tcW w:w="1316" w:type="dxa"/>
          </w:tcPr>
          <w:p w:rsidR="00C34F3E" w:rsidRPr="003A38BA" w:rsidRDefault="00EB7D09" w:rsidP="00C34F3E">
            <w:pPr>
              <w:spacing w:after="120"/>
              <w:ind w:left="0" w:firstLine="0"/>
              <w:jc w:val="center"/>
            </w:pPr>
            <w:r>
              <w:t>6.500</w:t>
            </w:r>
          </w:p>
        </w:tc>
        <w:tc>
          <w:tcPr>
            <w:tcW w:w="1316" w:type="dxa"/>
          </w:tcPr>
          <w:p w:rsidR="00C34F3E" w:rsidRPr="003A38BA" w:rsidRDefault="00EB7D09" w:rsidP="00C34F3E">
            <w:pPr>
              <w:spacing w:after="120"/>
              <w:ind w:left="0" w:firstLine="0"/>
              <w:jc w:val="center"/>
            </w:pPr>
            <w:r>
              <w:t>1.750</w:t>
            </w:r>
          </w:p>
        </w:tc>
        <w:tc>
          <w:tcPr>
            <w:tcW w:w="1316" w:type="dxa"/>
          </w:tcPr>
          <w:p w:rsidR="00C34F3E" w:rsidRPr="003A38BA" w:rsidRDefault="00EB7D09" w:rsidP="00C34F3E">
            <w:pPr>
              <w:spacing w:after="120"/>
              <w:ind w:left="0" w:firstLine="0"/>
              <w:jc w:val="center"/>
            </w:pPr>
            <w:r>
              <w:t>5.000</w:t>
            </w:r>
          </w:p>
        </w:tc>
        <w:tc>
          <w:tcPr>
            <w:tcW w:w="1316" w:type="dxa"/>
          </w:tcPr>
          <w:p w:rsidR="00C34F3E" w:rsidRPr="003A38BA" w:rsidRDefault="00EB7D09" w:rsidP="00C34F3E">
            <w:pPr>
              <w:spacing w:after="120"/>
              <w:ind w:left="0" w:firstLine="0"/>
              <w:jc w:val="center"/>
            </w:pPr>
            <w:r>
              <w:t>10.000</w:t>
            </w:r>
          </w:p>
        </w:tc>
      </w:tr>
      <w:tr w:rsidR="00C34F3E" w:rsidRPr="003A38BA" w:rsidTr="00C34F3E">
        <w:tc>
          <w:tcPr>
            <w:tcW w:w="1316" w:type="dxa"/>
          </w:tcPr>
          <w:p w:rsidR="00C34F3E" w:rsidRPr="003A38BA" w:rsidRDefault="00EB7D09" w:rsidP="003114C1">
            <w:pPr>
              <w:spacing w:after="120"/>
              <w:ind w:left="0" w:firstLine="0"/>
              <w:jc w:val="center"/>
            </w:pPr>
            <w:r>
              <w:t xml:space="preserve">2 </w:t>
            </w:r>
          </w:p>
        </w:tc>
        <w:tc>
          <w:tcPr>
            <w:tcW w:w="1316" w:type="dxa"/>
          </w:tcPr>
          <w:p w:rsidR="00C34F3E" w:rsidRPr="003A38BA" w:rsidRDefault="003114C1" w:rsidP="00C34F3E">
            <w:pPr>
              <w:spacing w:after="120"/>
              <w:ind w:left="0" w:firstLine="0"/>
              <w:jc w:val="center"/>
            </w:pPr>
            <w:r>
              <w:t>90.000</w:t>
            </w:r>
          </w:p>
        </w:tc>
        <w:tc>
          <w:tcPr>
            <w:tcW w:w="1316" w:type="dxa"/>
          </w:tcPr>
          <w:p w:rsidR="00C34F3E" w:rsidRPr="003A38BA" w:rsidRDefault="00EB7D09" w:rsidP="00C34F3E">
            <w:pPr>
              <w:spacing w:after="120"/>
              <w:ind w:left="0" w:firstLine="0"/>
              <w:jc w:val="center"/>
            </w:pPr>
            <w:r>
              <w:t>-</w:t>
            </w:r>
          </w:p>
        </w:tc>
        <w:tc>
          <w:tcPr>
            <w:tcW w:w="1316" w:type="dxa"/>
          </w:tcPr>
          <w:p w:rsidR="00C34F3E" w:rsidRPr="003A38BA" w:rsidRDefault="003114C1" w:rsidP="00C34F3E">
            <w:pPr>
              <w:spacing w:after="120"/>
              <w:ind w:left="0" w:firstLine="0"/>
              <w:jc w:val="center"/>
            </w:pPr>
            <w:r>
              <w:t>88.250</w:t>
            </w:r>
          </w:p>
        </w:tc>
        <w:tc>
          <w:tcPr>
            <w:tcW w:w="1316" w:type="dxa"/>
          </w:tcPr>
          <w:p w:rsidR="00C34F3E" w:rsidRPr="003A38BA" w:rsidRDefault="003114C1" w:rsidP="00C34F3E">
            <w:pPr>
              <w:spacing w:after="120"/>
              <w:ind w:left="0" w:firstLine="0"/>
              <w:jc w:val="center"/>
            </w:pPr>
            <w:r>
              <w:t>1.750</w:t>
            </w:r>
          </w:p>
        </w:tc>
        <w:tc>
          <w:tcPr>
            <w:tcW w:w="1316" w:type="dxa"/>
          </w:tcPr>
          <w:p w:rsidR="00C34F3E" w:rsidRPr="003A38BA" w:rsidRDefault="003114C1" w:rsidP="00C34F3E">
            <w:pPr>
              <w:spacing w:after="120"/>
              <w:ind w:left="0" w:firstLine="0"/>
              <w:jc w:val="center"/>
            </w:pPr>
            <w:r>
              <w:t>25.000</w:t>
            </w:r>
          </w:p>
        </w:tc>
        <w:tc>
          <w:tcPr>
            <w:tcW w:w="1316" w:type="dxa"/>
          </w:tcPr>
          <w:p w:rsidR="00C34F3E" w:rsidRPr="003A38BA" w:rsidRDefault="003114C1" w:rsidP="00C34F3E">
            <w:pPr>
              <w:spacing w:after="120"/>
              <w:ind w:left="0" w:firstLine="0"/>
              <w:jc w:val="center"/>
            </w:pPr>
            <w:r>
              <w:t>100.000</w:t>
            </w:r>
          </w:p>
        </w:tc>
      </w:tr>
      <w:tr w:rsidR="003114C1" w:rsidRPr="003A38BA" w:rsidTr="00C34F3E">
        <w:tc>
          <w:tcPr>
            <w:tcW w:w="1316" w:type="dxa"/>
          </w:tcPr>
          <w:p w:rsidR="003114C1" w:rsidRPr="003A38BA" w:rsidRDefault="003114C1" w:rsidP="00C34F3E">
            <w:pPr>
              <w:spacing w:after="120"/>
              <w:ind w:left="0" w:firstLine="0"/>
              <w:jc w:val="center"/>
            </w:pPr>
            <w:r>
              <w:t>3</w:t>
            </w:r>
          </w:p>
        </w:tc>
        <w:tc>
          <w:tcPr>
            <w:tcW w:w="1316" w:type="dxa"/>
          </w:tcPr>
          <w:p w:rsidR="003114C1" w:rsidRPr="003A38BA" w:rsidRDefault="003114C1" w:rsidP="003114C1">
            <w:pPr>
              <w:spacing w:after="120"/>
              <w:ind w:left="0" w:firstLine="0"/>
              <w:jc w:val="center"/>
            </w:pPr>
            <w:r>
              <w:t>100.000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96.500</w:t>
            </w:r>
          </w:p>
        </w:tc>
        <w:tc>
          <w:tcPr>
            <w:tcW w:w="1316" w:type="dxa"/>
          </w:tcPr>
          <w:p w:rsidR="003114C1" w:rsidRPr="003A38BA" w:rsidRDefault="003114C1" w:rsidP="003114C1">
            <w:pPr>
              <w:spacing w:after="120"/>
              <w:ind w:left="0" w:firstLine="0"/>
              <w:jc w:val="center"/>
            </w:pPr>
            <w:r>
              <w:t>3.500</w:t>
            </w:r>
          </w:p>
        </w:tc>
        <w:tc>
          <w:tcPr>
            <w:tcW w:w="1316" w:type="dxa"/>
          </w:tcPr>
          <w:p w:rsidR="003114C1" w:rsidRPr="003A38BA" w:rsidRDefault="003114C1" w:rsidP="003114C1">
            <w:pPr>
              <w:spacing w:after="120"/>
              <w:ind w:left="0" w:firstLine="0"/>
              <w:jc w:val="center"/>
            </w:pPr>
            <w:r>
              <w:t>25.000</w:t>
            </w:r>
          </w:p>
        </w:tc>
        <w:tc>
          <w:tcPr>
            <w:tcW w:w="1316" w:type="dxa"/>
          </w:tcPr>
          <w:p w:rsidR="003114C1" w:rsidRPr="003A38BA" w:rsidRDefault="003114C1" w:rsidP="003114C1">
            <w:pPr>
              <w:spacing w:after="120"/>
              <w:ind w:left="0" w:firstLine="0"/>
              <w:jc w:val="center"/>
            </w:pPr>
            <w:r>
              <w:t>200.000</w:t>
            </w:r>
          </w:p>
        </w:tc>
      </w:tr>
      <w:tr w:rsidR="003114C1" w:rsidRPr="003A38BA" w:rsidTr="00C34F3E">
        <w:tc>
          <w:tcPr>
            <w:tcW w:w="1316" w:type="dxa"/>
          </w:tcPr>
          <w:p w:rsidR="003114C1" w:rsidRPr="003A38BA" w:rsidRDefault="003114C1" w:rsidP="00C34F3E">
            <w:pPr>
              <w:spacing w:after="120"/>
              <w:ind w:left="0" w:firstLine="0"/>
              <w:jc w:val="center"/>
            </w:pPr>
            <w:r>
              <w:t>4</w:t>
            </w:r>
          </w:p>
        </w:tc>
        <w:tc>
          <w:tcPr>
            <w:tcW w:w="1316" w:type="dxa"/>
          </w:tcPr>
          <w:p w:rsidR="003114C1" w:rsidRPr="003A38BA" w:rsidRDefault="003114C1" w:rsidP="003114C1">
            <w:pPr>
              <w:spacing w:after="120"/>
              <w:ind w:left="0" w:firstLine="0"/>
              <w:jc w:val="center"/>
            </w:pPr>
            <w:r>
              <w:t>300.000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290.000</w:t>
            </w:r>
          </w:p>
        </w:tc>
        <w:tc>
          <w:tcPr>
            <w:tcW w:w="1316" w:type="dxa"/>
          </w:tcPr>
          <w:p w:rsidR="003114C1" w:rsidRPr="003A38BA" w:rsidRDefault="003114C1" w:rsidP="003114C1">
            <w:pPr>
              <w:spacing w:after="120"/>
              <w:ind w:left="0" w:firstLine="0"/>
              <w:jc w:val="center"/>
            </w:pPr>
            <w:r>
              <w:t>10.000</w:t>
            </w:r>
          </w:p>
        </w:tc>
        <w:tc>
          <w:tcPr>
            <w:tcW w:w="1316" w:type="dxa"/>
          </w:tcPr>
          <w:p w:rsidR="003114C1" w:rsidRPr="003A38BA" w:rsidRDefault="003114C1" w:rsidP="003114C1">
            <w:pPr>
              <w:spacing w:after="120"/>
              <w:ind w:left="0" w:firstLine="0"/>
              <w:jc w:val="center"/>
            </w:pPr>
            <w:r>
              <w:t>25.000</w:t>
            </w:r>
          </w:p>
        </w:tc>
        <w:tc>
          <w:tcPr>
            <w:tcW w:w="1316" w:type="dxa"/>
          </w:tcPr>
          <w:p w:rsidR="003114C1" w:rsidRPr="003A38BA" w:rsidRDefault="003114C1" w:rsidP="003114C1">
            <w:pPr>
              <w:spacing w:after="120"/>
              <w:ind w:left="0" w:firstLine="0"/>
              <w:jc w:val="center"/>
            </w:pPr>
            <w:r>
              <w:t>500.000</w:t>
            </w:r>
          </w:p>
        </w:tc>
      </w:tr>
      <w:tr w:rsidR="003114C1" w:rsidRPr="003A38BA" w:rsidTr="00C34F3E">
        <w:tc>
          <w:tcPr>
            <w:tcW w:w="1316" w:type="dxa"/>
          </w:tcPr>
          <w:p w:rsidR="003114C1" w:rsidRPr="003A38BA" w:rsidRDefault="003114C1" w:rsidP="00C34F3E">
            <w:pPr>
              <w:spacing w:after="120"/>
              <w:ind w:left="0" w:firstLine="0"/>
              <w:jc w:val="center"/>
            </w:pPr>
            <w:r>
              <w:t>5</w:t>
            </w:r>
          </w:p>
        </w:tc>
        <w:tc>
          <w:tcPr>
            <w:tcW w:w="1316" w:type="dxa"/>
          </w:tcPr>
          <w:p w:rsidR="003114C1" w:rsidRPr="003A38BA" w:rsidRDefault="003114C1" w:rsidP="003114C1">
            <w:pPr>
              <w:spacing w:after="120"/>
              <w:ind w:left="0" w:firstLine="0"/>
              <w:jc w:val="center"/>
            </w:pPr>
            <w:r>
              <w:t>500.000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490.000</w:t>
            </w:r>
          </w:p>
        </w:tc>
        <w:tc>
          <w:tcPr>
            <w:tcW w:w="1316" w:type="dxa"/>
          </w:tcPr>
          <w:p w:rsidR="003114C1" w:rsidRPr="003A38BA" w:rsidRDefault="003114C1" w:rsidP="003114C1">
            <w:pPr>
              <w:spacing w:after="120"/>
              <w:ind w:left="0" w:firstLine="0"/>
              <w:jc w:val="center"/>
            </w:pPr>
            <w:r>
              <w:t>10.000</w:t>
            </w:r>
          </w:p>
        </w:tc>
        <w:tc>
          <w:tcPr>
            <w:tcW w:w="1316" w:type="dxa"/>
          </w:tcPr>
          <w:p w:rsidR="003114C1" w:rsidRPr="003A38BA" w:rsidRDefault="003114C1" w:rsidP="003114C1">
            <w:pPr>
              <w:spacing w:after="120"/>
              <w:ind w:left="0" w:firstLine="0"/>
              <w:jc w:val="center"/>
            </w:pPr>
            <w:r>
              <w:t>25.000</w:t>
            </w:r>
          </w:p>
        </w:tc>
        <w:tc>
          <w:tcPr>
            <w:tcW w:w="1316" w:type="dxa"/>
          </w:tcPr>
          <w:p w:rsidR="003114C1" w:rsidRPr="003A38BA" w:rsidRDefault="003114C1" w:rsidP="003114C1">
            <w:pPr>
              <w:spacing w:after="120"/>
              <w:ind w:left="0" w:firstLine="0"/>
              <w:jc w:val="center"/>
            </w:pPr>
            <w:r>
              <w:t>1.000.000</w:t>
            </w:r>
          </w:p>
        </w:tc>
      </w:tr>
      <w:tr w:rsidR="003114C1" w:rsidRPr="003A38BA" w:rsidTr="00C34F3E">
        <w:tc>
          <w:tcPr>
            <w:tcW w:w="1316" w:type="dxa"/>
          </w:tcPr>
          <w:p w:rsidR="003114C1" w:rsidRPr="003A38BA" w:rsidRDefault="003114C1" w:rsidP="00C34F3E">
            <w:pPr>
              <w:spacing w:after="120"/>
              <w:ind w:left="0" w:firstLine="0"/>
              <w:jc w:val="center"/>
            </w:pPr>
            <w:r>
              <w:t>6</w:t>
            </w:r>
          </w:p>
        </w:tc>
        <w:tc>
          <w:tcPr>
            <w:tcW w:w="1316" w:type="dxa"/>
          </w:tcPr>
          <w:p w:rsidR="003114C1" w:rsidRPr="003A38BA" w:rsidRDefault="003114C1" w:rsidP="003114C1">
            <w:pPr>
              <w:spacing w:after="120"/>
              <w:ind w:left="0" w:firstLine="0"/>
              <w:jc w:val="center"/>
            </w:pPr>
            <w:r>
              <w:t>1.000.000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980.000</w:t>
            </w:r>
          </w:p>
        </w:tc>
        <w:tc>
          <w:tcPr>
            <w:tcW w:w="1316" w:type="dxa"/>
          </w:tcPr>
          <w:p w:rsidR="003114C1" w:rsidRPr="003A38BA" w:rsidRDefault="003114C1" w:rsidP="003114C1">
            <w:pPr>
              <w:spacing w:after="120"/>
              <w:ind w:left="0" w:firstLine="0"/>
              <w:jc w:val="center"/>
            </w:pPr>
            <w:r>
              <w:t>20.000</w:t>
            </w:r>
          </w:p>
        </w:tc>
        <w:tc>
          <w:tcPr>
            <w:tcW w:w="1316" w:type="dxa"/>
          </w:tcPr>
          <w:p w:rsidR="003114C1" w:rsidRPr="003A38BA" w:rsidRDefault="003114C1" w:rsidP="003114C1">
            <w:pPr>
              <w:spacing w:after="120"/>
              <w:ind w:left="0" w:firstLine="0"/>
              <w:jc w:val="center"/>
            </w:pPr>
            <w:r>
              <w:t>25.000</w:t>
            </w:r>
          </w:p>
        </w:tc>
        <w:tc>
          <w:tcPr>
            <w:tcW w:w="1316" w:type="dxa"/>
          </w:tcPr>
          <w:p w:rsidR="003114C1" w:rsidRPr="003A38BA" w:rsidRDefault="003114C1" w:rsidP="003114C1">
            <w:pPr>
              <w:spacing w:after="120"/>
              <w:ind w:left="0" w:firstLine="0"/>
              <w:jc w:val="center"/>
            </w:pPr>
            <w:r>
              <w:t>2.000.000</w:t>
            </w:r>
          </w:p>
        </w:tc>
      </w:tr>
      <w:tr w:rsidR="003114C1" w:rsidRPr="003A38BA" w:rsidTr="00C34F3E">
        <w:tc>
          <w:tcPr>
            <w:tcW w:w="1316" w:type="dxa"/>
          </w:tcPr>
          <w:p w:rsidR="003114C1" w:rsidRPr="003A38BA" w:rsidRDefault="003114C1" w:rsidP="00C34F3E">
            <w:pPr>
              <w:spacing w:after="120"/>
              <w:ind w:left="0" w:firstLine="0"/>
              <w:jc w:val="center"/>
            </w:pPr>
            <w:r>
              <w:t>7</w:t>
            </w:r>
          </w:p>
        </w:tc>
        <w:tc>
          <w:tcPr>
            <w:tcW w:w="1316" w:type="dxa"/>
          </w:tcPr>
          <w:p w:rsidR="003114C1" w:rsidRPr="003A38BA" w:rsidRDefault="003114C1" w:rsidP="003114C1">
            <w:pPr>
              <w:spacing w:after="120"/>
              <w:ind w:left="0" w:firstLine="0"/>
              <w:jc w:val="center"/>
            </w:pPr>
            <w:r>
              <w:t>1.000.000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980.000</w:t>
            </w:r>
          </w:p>
        </w:tc>
        <w:tc>
          <w:tcPr>
            <w:tcW w:w="1316" w:type="dxa"/>
          </w:tcPr>
          <w:p w:rsidR="003114C1" w:rsidRPr="003A38BA" w:rsidRDefault="003114C1" w:rsidP="003114C1">
            <w:pPr>
              <w:spacing w:after="120"/>
              <w:ind w:left="0" w:firstLine="0"/>
              <w:jc w:val="center"/>
            </w:pPr>
            <w:r>
              <w:t>20.000</w:t>
            </w:r>
          </w:p>
        </w:tc>
        <w:tc>
          <w:tcPr>
            <w:tcW w:w="1316" w:type="dxa"/>
          </w:tcPr>
          <w:p w:rsidR="003114C1" w:rsidRPr="003A38BA" w:rsidRDefault="003114C1" w:rsidP="003114C1">
            <w:pPr>
              <w:spacing w:after="120"/>
              <w:ind w:left="0" w:firstLine="0"/>
              <w:jc w:val="center"/>
            </w:pPr>
            <w:r>
              <w:t>25.000</w:t>
            </w:r>
          </w:p>
        </w:tc>
        <w:tc>
          <w:tcPr>
            <w:tcW w:w="1316" w:type="dxa"/>
          </w:tcPr>
          <w:p w:rsidR="003114C1" w:rsidRPr="003A38BA" w:rsidRDefault="003114C1" w:rsidP="003114C1">
            <w:pPr>
              <w:spacing w:after="120"/>
              <w:ind w:left="0" w:firstLine="0"/>
              <w:jc w:val="center"/>
            </w:pPr>
            <w:r>
              <w:t>3.000.000</w:t>
            </w:r>
          </w:p>
        </w:tc>
      </w:tr>
      <w:tr w:rsidR="003114C1" w:rsidRPr="003A38BA" w:rsidTr="00C34F3E">
        <w:tc>
          <w:tcPr>
            <w:tcW w:w="1316" w:type="dxa"/>
          </w:tcPr>
          <w:p w:rsidR="003114C1" w:rsidRPr="003A38BA" w:rsidRDefault="003114C1" w:rsidP="00EB7D09">
            <w:pPr>
              <w:spacing w:after="120"/>
              <w:ind w:left="0" w:firstLine="0"/>
              <w:jc w:val="center"/>
            </w:pPr>
            <w:r>
              <w:t>8</w:t>
            </w:r>
          </w:p>
        </w:tc>
        <w:tc>
          <w:tcPr>
            <w:tcW w:w="1316" w:type="dxa"/>
          </w:tcPr>
          <w:p w:rsidR="003114C1" w:rsidRPr="003A38BA" w:rsidRDefault="003114C1" w:rsidP="003114C1">
            <w:pPr>
              <w:spacing w:after="120"/>
              <w:ind w:left="0" w:firstLine="0"/>
              <w:jc w:val="center"/>
            </w:pPr>
            <w:r>
              <w:t>1.000.000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980.000</w:t>
            </w:r>
          </w:p>
        </w:tc>
        <w:tc>
          <w:tcPr>
            <w:tcW w:w="1316" w:type="dxa"/>
          </w:tcPr>
          <w:p w:rsidR="003114C1" w:rsidRPr="003A38BA" w:rsidRDefault="003114C1" w:rsidP="003114C1">
            <w:pPr>
              <w:spacing w:after="120"/>
              <w:ind w:left="0" w:firstLine="0"/>
              <w:jc w:val="center"/>
            </w:pPr>
            <w:r>
              <w:t>20.000</w:t>
            </w:r>
          </w:p>
        </w:tc>
        <w:tc>
          <w:tcPr>
            <w:tcW w:w="1316" w:type="dxa"/>
          </w:tcPr>
          <w:p w:rsidR="003114C1" w:rsidRPr="003A38BA" w:rsidRDefault="003114C1" w:rsidP="003114C1">
            <w:pPr>
              <w:spacing w:after="120"/>
              <w:ind w:left="0" w:firstLine="0"/>
              <w:jc w:val="center"/>
            </w:pPr>
            <w:r>
              <w:t>25.000</w:t>
            </w:r>
          </w:p>
        </w:tc>
        <w:tc>
          <w:tcPr>
            <w:tcW w:w="1316" w:type="dxa"/>
          </w:tcPr>
          <w:p w:rsidR="003114C1" w:rsidRPr="003A38BA" w:rsidRDefault="003114C1" w:rsidP="003114C1">
            <w:pPr>
              <w:spacing w:after="120"/>
              <w:ind w:left="0" w:firstLine="0"/>
              <w:jc w:val="center"/>
            </w:pPr>
            <w:r>
              <w:t>4.000.000</w:t>
            </w:r>
          </w:p>
        </w:tc>
      </w:tr>
      <w:tr w:rsidR="003114C1" w:rsidRPr="003A38BA" w:rsidTr="00234C80">
        <w:tc>
          <w:tcPr>
            <w:tcW w:w="9212" w:type="dxa"/>
            <w:gridSpan w:val="7"/>
          </w:tcPr>
          <w:p w:rsidR="003114C1" w:rsidRPr="003A38BA" w:rsidRDefault="003114C1" w:rsidP="00C94718">
            <w:pPr>
              <w:spacing w:after="120"/>
              <w:ind w:left="0" w:firstLine="0"/>
            </w:pPr>
            <w:r>
              <w:t xml:space="preserve">*) Για την έκπλυση χρησιμοποιείται αποκλειστικά νερό χωρίς καθόλου προσμείξεις. Κατά τη δοκιμή θερμοπλαστικών συστημάτων σήμανσης ο αριθμός των διελεύσεων σε περίπτωση πλύσης αυξάνεται κατά 50 %. Ο αριθμός των διελεύσεων σε στεγνό οδόστρωμα προσαρμόζεται αντίστοιχα. </w:t>
            </w:r>
          </w:p>
        </w:tc>
      </w:tr>
    </w:tbl>
    <w:p w:rsidR="00B2761F" w:rsidRPr="003A38BA" w:rsidRDefault="00B2761F" w:rsidP="007C21AF">
      <w:pPr>
        <w:pStyle w:val="Heading1"/>
        <w:numPr>
          <w:ilvl w:val="2"/>
          <w:numId w:val="5"/>
        </w:numPr>
        <w:ind w:left="1440" w:hanging="720"/>
        <w:jc w:val="both"/>
        <w:rPr>
          <w:sz w:val="24"/>
          <w:szCs w:val="24"/>
        </w:rPr>
      </w:pPr>
      <w:bookmarkStart w:id="41" w:name="_Toc2194173"/>
      <w:bookmarkStart w:id="42" w:name="_Toc12476446"/>
      <w:r>
        <w:rPr>
          <w:sz w:val="24"/>
        </w:rPr>
        <w:lastRenderedPageBreak/>
        <w:t>Μετρήσεις σχετικά με τον προσομοιωτή και τις συνθήκες δοκιμής</w:t>
      </w:r>
      <w:bookmarkEnd w:id="41"/>
      <w:bookmarkEnd w:id="42"/>
    </w:p>
    <w:p w:rsidR="009759A4" w:rsidRPr="003A38BA" w:rsidRDefault="00061E4E" w:rsidP="007C21AF">
      <w:pPr>
        <w:spacing w:after="120"/>
        <w:ind w:left="0" w:firstLine="0"/>
        <w:jc w:val="both"/>
      </w:pPr>
      <w:r>
        <w:t>Πίεση ελαστικών, βύθιση και γωνία σύνδεσης πρέπει να ελέγχονται σύμφωνα με το τμήμα 4.1.1 και, αν χρειάζεται, να διορθώνονται.</w:t>
      </w:r>
    </w:p>
    <w:p w:rsidR="00061E4E" w:rsidRPr="003A38BA" w:rsidRDefault="00061E4E" w:rsidP="007C21AF">
      <w:pPr>
        <w:spacing w:after="120"/>
        <w:ind w:left="0" w:firstLine="0"/>
        <w:jc w:val="both"/>
      </w:pPr>
      <w:r>
        <w:t>Η θερμοκρασία δωματίου, η θερμοκρασία της επιφάνειας της πλάκας δοκιμής, το φορτίο τροχού, η ταχύτητα και ο αριθμός των διελεύσεων πρέπει να επιβλέπονται συνεχώς κατά τη διάρκεια της δοκιμής και να καταγράφονται.</w:t>
      </w:r>
    </w:p>
    <w:p w:rsidR="00B2761F" w:rsidRPr="003A38BA" w:rsidRDefault="00B2761F" w:rsidP="007C21AF">
      <w:pPr>
        <w:pStyle w:val="Heading1"/>
        <w:numPr>
          <w:ilvl w:val="2"/>
          <w:numId w:val="5"/>
        </w:numPr>
        <w:ind w:left="1440" w:hanging="720"/>
        <w:jc w:val="both"/>
        <w:rPr>
          <w:sz w:val="24"/>
          <w:szCs w:val="24"/>
        </w:rPr>
      </w:pPr>
      <w:bookmarkStart w:id="43" w:name="_Toc2194174"/>
      <w:bookmarkStart w:id="44" w:name="_Toc12476447"/>
      <w:r>
        <w:rPr>
          <w:sz w:val="24"/>
        </w:rPr>
        <w:t>Μετρήσεις των τεχνικών χαρακτηριστικών που αφορούν την κυκλοφορία για τα συστήματα σήμανσης</w:t>
      </w:r>
      <w:bookmarkEnd w:id="43"/>
      <w:bookmarkEnd w:id="44"/>
    </w:p>
    <w:p w:rsidR="00DF3B72" w:rsidRPr="003A38BA" w:rsidRDefault="00DF3B72" w:rsidP="007C21AF">
      <w:pPr>
        <w:spacing w:after="120"/>
        <w:ind w:left="0" w:firstLine="0"/>
        <w:jc w:val="both"/>
      </w:pPr>
      <w:r>
        <w:t>Τα τεχνικά χαρακτηριστικά που αφορούν την κυκλοφορία για τα συστήματα σήμανσης ορίζονται σταδιακά κατά τη διάρκεια της δοκιμής καταλληλότητας. Οι μετρήσεις πραγματοποιούνται συνήθως σύμφωνα με τις διατάξεις του DIN EN 1436.</w:t>
      </w:r>
    </w:p>
    <w:p w:rsidR="00D9642C" w:rsidRPr="003A38BA" w:rsidRDefault="00D9642C" w:rsidP="007C21AF">
      <w:pPr>
        <w:spacing w:after="120"/>
        <w:ind w:left="0" w:firstLine="0"/>
        <w:jc w:val="both"/>
      </w:pPr>
      <w:r>
        <w:t>Προσδιορίζεται η ορατότητα την ημέρα με βάση τους συντελεστές φωτεινότητας για διάχυτο φωτισμό Qd και η χρωματική ποιότητα (x,y) του χρωματικού σημείου, η ορατότητα τη νύχτα σε στεγνή διαγράμμιση με βάση τους συντελεστές φωτεινότητας για οπισθανάκλαση RL (στεγνή), η ορατότητα τη νύχτα σε υγρή διαγράμμιση με βάση τους συντελεστές φωτεινότητας σε οπισθανάκλαση RL (υγρή) για διαγραμμίσεις τύπου ΙΙ, η αντιολισθηρότητα σε μονάδες SRT και η αντοχή του υλικού σε ποσοστό.</w:t>
      </w:r>
    </w:p>
    <w:p w:rsidR="001D17DA" w:rsidRPr="003A38BA" w:rsidRDefault="001D17DA" w:rsidP="007C21AF">
      <w:pPr>
        <w:spacing w:after="120"/>
        <w:ind w:left="0" w:firstLine="0"/>
        <w:jc w:val="both"/>
      </w:pPr>
      <w:r>
        <w:t xml:space="preserve">Ο υπολογισμός των συντελεστών φωτεινότητας σε οπισθανάκλαση RL (υγρή) πραγματοποιείται στο 2 % της επίκλισης των δοκιμαστικών πλακών. </w:t>
      </w:r>
    </w:p>
    <w:p w:rsidR="00A13538" w:rsidRPr="003A38BA" w:rsidRDefault="00A13538" w:rsidP="007C21AF">
      <w:pPr>
        <w:spacing w:after="120"/>
        <w:ind w:left="0" w:firstLine="0"/>
        <w:jc w:val="both"/>
      </w:pPr>
      <w:r>
        <w:t>Για την αντοχή σε φθορά η αναλογία της επιφάνειας που καλύπτεται από τη διαγράμμιση και όπου έχει γίνει διέλευση τροχών προσδιορίζεται σε σχέση με την ίδια επιφάνεια όπου δεν έχει γίνει διέλευση τροχών. Ακριβή σχετικά στοιχεία περιλαμβάνονται στο αναθεωρημένο τεχνικό δελτίο για ανάγλυφες διαγραμμίσεις (επί του παρόντος στο στάδιο του σχεδίου).</w:t>
      </w:r>
    </w:p>
    <w:p w:rsidR="00D9642C" w:rsidRPr="003A38BA" w:rsidRDefault="00D9642C" w:rsidP="007C21AF">
      <w:pPr>
        <w:spacing w:after="120"/>
        <w:ind w:left="0" w:firstLine="0"/>
        <w:jc w:val="both"/>
      </w:pPr>
      <w:r>
        <w:t>Οι μετρήσεις πραγματοποιούνται και για τις 3 δοκιμαστικές πλάκες και ως αποτέλεσμα δηλώνεται σε κάθε περίπτωση η υπολογιζόμενη μέση τιμή. Η επιφάνεια που καλύπτεται και στις 3 δοκιμαστικές πλάκες από τις μετρήσεις αντιστοιχεί σε 400 cm².</w:t>
      </w:r>
    </w:p>
    <w:p w:rsidR="008B4E60" w:rsidRPr="003A38BA" w:rsidRDefault="00D9642C" w:rsidP="007C21AF">
      <w:pPr>
        <w:spacing w:after="120"/>
        <w:ind w:left="0" w:firstLine="0"/>
        <w:jc w:val="both"/>
      </w:pPr>
      <w:r>
        <w:t>Οι μετρήσεις πραγματοποιούνται πριν την έναρξη των διελεύσεων τροχών και μετά το τέλος του κύκλου μετρήσεων. Για τα τεχνικά χαρακτηριστικά του φωτός πραγματοποιούνται μετρήσεις για το νέο οδόστρωμα μετά από 10.000 διελεύσεις τροχών. Η μέτρηση των τεχνικών χαρακτηριστικών του φωτός πριν την έναρξη των διελεύσεων τροχών εξυπηρετεί αποκλειστικά πληροφοριακούς σκοπούς και δεν αφορά το αποτέλεσμα της δοκιμής.</w:t>
      </w:r>
    </w:p>
    <w:p w:rsidR="00D9642C" w:rsidRPr="003A38BA" w:rsidRDefault="001D17DA" w:rsidP="007C21AF">
      <w:pPr>
        <w:spacing w:after="120"/>
        <w:ind w:left="0" w:firstLine="0"/>
        <w:jc w:val="both"/>
      </w:pPr>
      <w:r>
        <w:t>Κατά τη μέτρηση της αντιολισθηρότητας πραγματοποιούνται μετρήσεις για το νέο οδόστρωμα πριν την έναρξη των διελεύσεων τροχών. Η κατανομή των κύκλων μετρήσεων συμμορφώνεται μεταξύ άλλων με τις κλάσεις κυκλοφορίας και είναι διαθέσιμη στον πίνακα 5. Ο κύκλος μέτρησης 1 λήγει μετά από 10.000 διελεύσεις τροχών.</w:t>
      </w:r>
    </w:p>
    <w:p w:rsidR="003114C1" w:rsidRPr="003A38BA" w:rsidRDefault="003E3497" w:rsidP="00A11530">
      <w:pPr>
        <w:pStyle w:val="Subtitle"/>
        <w:keepNext/>
        <w:ind w:left="1440" w:hanging="1440"/>
        <w:jc w:val="both"/>
        <w:rPr>
          <w:spacing w:val="0"/>
        </w:rPr>
      </w:pPr>
      <w:r>
        <w:t>Πίνακας 5:</w:t>
      </w:r>
      <w:r>
        <w:tab/>
        <w:t>Κατάταξη των κλάσεων κυκλοφορίας σε σχέση με τους κύκλους μετρήσεων</w:t>
      </w:r>
    </w:p>
    <w:tbl>
      <w:tblPr>
        <w:tblStyle w:val="TableGrid"/>
        <w:tblW w:w="0" w:type="auto"/>
        <w:tblInd w:w="357" w:type="dxa"/>
        <w:tblLook w:val="04A0" w:firstRow="1" w:lastRow="0" w:firstColumn="1" w:lastColumn="0" w:noHBand="0" w:noVBand="1"/>
      </w:tblPr>
      <w:tblGrid>
        <w:gridCol w:w="2965"/>
        <w:gridCol w:w="2984"/>
        <w:gridCol w:w="2982"/>
      </w:tblGrid>
      <w:tr w:rsidR="003114C1" w:rsidRPr="003A38BA" w:rsidTr="003114C1">
        <w:tc>
          <w:tcPr>
            <w:tcW w:w="2965" w:type="dxa"/>
          </w:tcPr>
          <w:p w:rsidR="003114C1" w:rsidRPr="003A38BA" w:rsidRDefault="003114C1" w:rsidP="003114C1">
            <w:pPr>
              <w:ind w:left="0" w:firstLine="0"/>
              <w:jc w:val="center"/>
            </w:pPr>
            <w:r>
              <w:t>Κύκλος μέτρησης</w:t>
            </w:r>
          </w:p>
        </w:tc>
        <w:tc>
          <w:tcPr>
            <w:tcW w:w="2984" w:type="dxa"/>
          </w:tcPr>
          <w:p w:rsidR="003114C1" w:rsidRPr="003A38BA" w:rsidRDefault="003114C1" w:rsidP="003114C1">
            <w:pPr>
              <w:ind w:left="0" w:firstLine="0"/>
              <w:jc w:val="center"/>
            </w:pPr>
            <w:r>
              <w:t>Κλάση κυκλοφορίας</w:t>
            </w:r>
          </w:p>
        </w:tc>
        <w:tc>
          <w:tcPr>
            <w:tcW w:w="2982" w:type="dxa"/>
          </w:tcPr>
          <w:p w:rsidR="003114C1" w:rsidRPr="003A38BA" w:rsidRDefault="003114C1" w:rsidP="003114C1">
            <w:pPr>
              <w:ind w:left="0" w:firstLine="0"/>
              <w:jc w:val="center"/>
            </w:pPr>
            <w:r>
              <w:t>Αριθμός διελεύσεων τροχών</w:t>
            </w:r>
          </w:p>
        </w:tc>
      </w:tr>
      <w:tr w:rsidR="003114C1" w:rsidRPr="003A38BA" w:rsidTr="003114C1">
        <w:tc>
          <w:tcPr>
            <w:tcW w:w="2965" w:type="dxa"/>
          </w:tcPr>
          <w:p w:rsidR="003114C1" w:rsidRPr="003A38BA" w:rsidRDefault="003114C1" w:rsidP="003114C1">
            <w:pPr>
              <w:ind w:left="0" w:firstLine="0"/>
              <w:jc w:val="center"/>
            </w:pPr>
            <w:r>
              <w:t>1</w:t>
            </w:r>
          </w:p>
        </w:tc>
        <w:tc>
          <w:tcPr>
            <w:tcW w:w="2984" w:type="dxa"/>
          </w:tcPr>
          <w:p w:rsidR="003114C1" w:rsidRPr="003A38BA" w:rsidRDefault="003114C1" w:rsidP="003114C1">
            <w:pPr>
              <w:ind w:left="0" w:firstLine="0"/>
              <w:jc w:val="center"/>
            </w:pPr>
            <w:r>
              <w:t>P0</w:t>
            </w:r>
          </w:p>
        </w:tc>
        <w:tc>
          <w:tcPr>
            <w:tcW w:w="2982" w:type="dxa"/>
          </w:tcPr>
          <w:p w:rsidR="003114C1" w:rsidRPr="003A38BA" w:rsidRDefault="003114C1" w:rsidP="003114C1">
            <w:pPr>
              <w:ind w:left="0" w:firstLine="0"/>
              <w:jc w:val="center"/>
            </w:pPr>
            <w:r>
              <w:t>&lt; 50.000</w:t>
            </w:r>
          </w:p>
        </w:tc>
      </w:tr>
      <w:tr w:rsidR="003114C1" w:rsidRPr="003A38BA" w:rsidTr="003114C1">
        <w:tc>
          <w:tcPr>
            <w:tcW w:w="2965" w:type="dxa"/>
          </w:tcPr>
          <w:p w:rsidR="003114C1" w:rsidRPr="003A38BA" w:rsidRDefault="003114C1" w:rsidP="003114C1">
            <w:pPr>
              <w:ind w:left="0" w:firstLine="0"/>
              <w:jc w:val="center"/>
            </w:pPr>
            <w:r>
              <w:t>2</w:t>
            </w:r>
          </w:p>
        </w:tc>
        <w:tc>
          <w:tcPr>
            <w:tcW w:w="2984" w:type="dxa"/>
          </w:tcPr>
          <w:p w:rsidR="003114C1" w:rsidRPr="003A38BA" w:rsidRDefault="003114C1" w:rsidP="003114C1">
            <w:pPr>
              <w:ind w:left="0" w:firstLine="0"/>
              <w:jc w:val="center"/>
            </w:pPr>
            <w:r>
              <w:t>P2</w:t>
            </w:r>
          </w:p>
        </w:tc>
        <w:tc>
          <w:tcPr>
            <w:tcW w:w="2982" w:type="dxa"/>
          </w:tcPr>
          <w:p w:rsidR="003114C1" w:rsidRPr="003A38BA" w:rsidRDefault="003114C1" w:rsidP="003114C1">
            <w:pPr>
              <w:ind w:left="0" w:firstLine="0"/>
              <w:jc w:val="center"/>
            </w:pPr>
            <w:r>
              <w:t>100.000</w:t>
            </w:r>
          </w:p>
        </w:tc>
      </w:tr>
      <w:tr w:rsidR="003114C1" w:rsidRPr="003A38BA" w:rsidTr="003114C1">
        <w:tc>
          <w:tcPr>
            <w:tcW w:w="2965" w:type="dxa"/>
          </w:tcPr>
          <w:p w:rsidR="003114C1" w:rsidRPr="003A38BA" w:rsidRDefault="003114C1" w:rsidP="003114C1">
            <w:pPr>
              <w:ind w:left="0" w:firstLine="0"/>
              <w:jc w:val="center"/>
            </w:pPr>
            <w:r>
              <w:t>3</w:t>
            </w:r>
          </w:p>
        </w:tc>
        <w:tc>
          <w:tcPr>
            <w:tcW w:w="2984" w:type="dxa"/>
          </w:tcPr>
          <w:p w:rsidR="003114C1" w:rsidRPr="003A38BA" w:rsidRDefault="003114C1" w:rsidP="003114C1">
            <w:pPr>
              <w:ind w:left="0" w:firstLine="0"/>
              <w:jc w:val="center"/>
            </w:pPr>
            <w:r>
              <w:t>P3</w:t>
            </w:r>
          </w:p>
        </w:tc>
        <w:tc>
          <w:tcPr>
            <w:tcW w:w="2982" w:type="dxa"/>
          </w:tcPr>
          <w:p w:rsidR="003114C1" w:rsidRPr="003A38BA" w:rsidRDefault="003114C1" w:rsidP="003114C1">
            <w:pPr>
              <w:ind w:left="0" w:firstLine="0"/>
              <w:jc w:val="center"/>
            </w:pPr>
            <w:r>
              <w:t>200.000</w:t>
            </w:r>
          </w:p>
        </w:tc>
      </w:tr>
      <w:tr w:rsidR="003114C1" w:rsidRPr="003A38BA" w:rsidTr="003114C1">
        <w:tc>
          <w:tcPr>
            <w:tcW w:w="2965" w:type="dxa"/>
          </w:tcPr>
          <w:p w:rsidR="003114C1" w:rsidRPr="003A38BA" w:rsidRDefault="003114C1" w:rsidP="003114C1">
            <w:pPr>
              <w:ind w:left="0" w:firstLine="0"/>
              <w:jc w:val="center"/>
            </w:pPr>
            <w:r>
              <w:t>4</w:t>
            </w:r>
          </w:p>
        </w:tc>
        <w:tc>
          <w:tcPr>
            <w:tcW w:w="2984" w:type="dxa"/>
          </w:tcPr>
          <w:p w:rsidR="003114C1" w:rsidRPr="003A38BA" w:rsidRDefault="003114C1" w:rsidP="003114C1">
            <w:pPr>
              <w:ind w:left="0" w:firstLine="0"/>
              <w:jc w:val="center"/>
            </w:pPr>
            <w:r>
              <w:t>P4</w:t>
            </w:r>
          </w:p>
        </w:tc>
        <w:tc>
          <w:tcPr>
            <w:tcW w:w="2982" w:type="dxa"/>
          </w:tcPr>
          <w:p w:rsidR="003114C1" w:rsidRPr="003A38BA" w:rsidRDefault="003114C1" w:rsidP="003114C1">
            <w:pPr>
              <w:ind w:left="0" w:firstLine="0"/>
              <w:jc w:val="center"/>
            </w:pPr>
            <w:r>
              <w:t>500.000</w:t>
            </w:r>
          </w:p>
        </w:tc>
      </w:tr>
      <w:tr w:rsidR="003114C1" w:rsidRPr="003A38BA" w:rsidTr="003114C1">
        <w:tc>
          <w:tcPr>
            <w:tcW w:w="2965" w:type="dxa"/>
          </w:tcPr>
          <w:p w:rsidR="003114C1" w:rsidRPr="003A38BA" w:rsidRDefault="003114C1" w:rsidP="003114C1">
            <w:pPr>
              <w:ind w:left="0" w:firstLine="0"/>
              <w:jc w:val="center"/>
            </w:pPr>
            <w:r>
              <w:t>5</w:t>
            </w:r>
          </w:p>
        </w:tc>
        <w:tc>
          <w:tcPr>
            <w:tcW w:w="2984" w:type="dxa"/>
          </w:tcPr>
          <w:p w:rsidR="003114C1" w:rsidRPr="003A38BA" w:rsidRDefault="003114C1" w:rsidP="003114C1">
            <w:pPr>
              <w:ind w:left="0" w:firstLine="0"/>
              <w:jc w:val="center"/>
            </w:pPr>
            <w:r>
              <w:t>P5</w:t>
            </w:r>
          </w:p>
        </w:tc>
        <w:tc>
          <w:tcPr>
            <w:tcW w:w="2982" w:type="dxa"/>
          </w:tcPr>
          <w:p w:rsidR="003114C1" w:rsidRPr="003A38BA" w:rsidRDefault="003114C1" w:rsidP="003114C1">
            <w:pPr>
              <w:ind w:left="0" w:firstLine="0"/>
              <w:jc w:val="center"/>
            </w:pPr>
            <w:r>
              <w:t>1.000.000</w:t>
            </w:r>
          </w:p>
        </w:tc>
      </w:tr>
      <w:tr w:rsidR="003114C1" w:rsidRPr="003A38BA" w:rsidTr="003114C1">
        <w:tc>
          <w:tcPr>
            <w:tcW w:w="2965" w:type="dxa"/>
          </w:tcPr>
          <w:p w:rsidR="003114C1" w:rsidRPr="003A38BA" w:rsidRDefault="003114C1" w:rsidP="003114C1">
            <w:pPr>
              <w:ind w:left="0" w:firstLine="0"/>
              <w:jc w:val="center"/>
            </w:pPr>
            <w:r>
              <w:t>6</w:t>
            </w:r>
          </w:p>
        </w:tc>
        <w:tc>
          <w:tcPr>
            <w:tcW w:w="2984" w:type="dxa"/>
          </w:tcPr>
          <w:p w:rsidR="003114C1" w:rsidRPr="003A38BA" w:rsidRDefault="003114C1" w:rsidP="003114C1">
            <w:pPr>
              <w:ind w:left="0" w:firstLine="0"/>
              <w:jc w:val="center"/>
            </w:pPr>
            <w:r>
              <w:t>P6</w:t>
            </w:r>
          </w:p>
        </w:tc>
        <w:tc>
          <w:tcPr>
            <w:tcW w:w="2982" w:type="dxa"/>
          </w:tcPr>
          <w:p w:rsidR="003114C1" w:rsidRPr="003A38BA" w:rsidRDefault="003114C1" w:rsidP="003114C1">
            <w:pPr>
              <w:ind w:left="0" w:firstLine="0"/>
              <w:jc w:val="center"/>
            </w:pPr>
            <w:r>
              <w:t>2.000.000</w:t>
            </w:r>
          </w:p>
        </w:tc>
      </w:tr>
      <w:tr w:rsidR="003114C1" w:rsidRPr="003A38BA" w:rsidTr="003114C1">
        <w:tc>
          <w:tcPr>
            <w:tcW w:w="2965" w:type="dxa"/>
          </w:tcPr>
          <w:p w:rsidR="003114C1" w:rsidRPr="003A38BA" w:rsidRDefault="003114C1" w:rsidP="003114C1">
            <w:pPr>
              <w:ind w:left="0" w:firstLine="0"/>
              <w:jc w:val="center"/>
            </w:pPr>
            <w:r>
              <w:t>7</w:t>
            </w:r>
          </w:p>
        </w:tc>
        <w:tc>
          <w:tcPr>
            <w:tcW w:w="2984" w:type="dxa"/>
          </w:tcPr>
          <w:p w:rsidR="003114C1" w:rsidRPr="003A38BA" w:rsidRDefault="003114C1" w:rsidP="003114C1">
            <w:pPr>
              <w:ind w:left="0" w:firstLine="0"/>
              <w:jc w:val="center"/>
            </w:pPr>
            <w:r>
              <w:t>-</w:t>
            </w:r>
          </w:p>
        </w:tc>
        <w:tc>
          <w:tcPr>
            <w:tcW w:w="2982" w:type="dxa"/>
          </w:tcPr>
          <w:p w:rsidR="003114C1" w:rsidRPr="003A38BA" w:rsidRDefault="003114C1" w:rsidP="003114C1">
            <w:pPr>
              <w:ind w:left="0" w:firstLine="0"/>
              <w:jc w:val="center"/>
            </w:pPr>
            <w:r>
              <w:t>3.000.000</w:t>
            </w:r>
          </w:p>
        </w:tc>
      </w:tr>
      <w:tr w:rsidR="003114C1" w:rsidRPr="003A38BA" w:rsidTr="003114C1">
        <w:tc>
          <w:tcPr>
            <w:tcW w:w="2965" w:type="dxa"/>
          </w:tcPr>
          <w:p w:rsidR="003114C1" w:rsidRPr="003A38BA" w:rsidRDefault="003114C1" w:rsidP="003114C1">
            <w:pPr>
              <w:ind w:left="0" w:firstLine="0"/>
              <w:jc w:val="center"/>
            </w:pPr>
            <w:r>
              <w:t>8</w:t>
            </w:r>
          </w:p>
        </w:tc>
        <w:tc>
          <w:tcPr>
            <w:tcW w:w="2984" w:type="dxa"/>
          </w:tcPr>
          <w:p w:rsidR="003114C1" w:rsidRPr="003A38BA" w:rsidRDefault="003114C1" w:rsidP="003114C1">
            <w:pPr>
              <w:ind w:left="0" w:firstLine="0"/>
              <w:jc w:val="center"/>
            </w:pPr>
            <w:r>
              <w:t>P7</w:t>
            </w:r>
          </w:p>
        </w:tc>
        <w:tc>
          <w:tcPr>
            <w:tcW w:w="2982" w:type="dxa"/>
          </w:tcPr>
          <w:p w:rsidR="003114C1" w:rsidRPr="003A38BA" w:rsidRDefault="003114C1" w:rsidP="003114C1">
            <w:pPr>
              <w:ind w:left="0" w:firstLine="0"/>
              <w:jc w:val="center"/>
            </w:pPr>
            <w:r>
              <w:t>4.000.000</w:t>
            </w:r>
          </w:p>
        </w:tc>
      </w:tr>
    </w:tbl>
    <w:p w:rsidR="00993CFC" w:rsidRPr="003A38BA" w:rsidRDefault="00993CFC" w:rsidP="007C21AF">
      <w:pPr>
        <w:pStyle w:val="Heading1"/>
        <w:numPr>
          <w:ilvl w:val="2"/>
          <w:numId w:val="5"/>
        </w:numPr>
        <w:ind w:left="1440" w:hanging="720"/>
        <w:jc w:val="both"/>
        <w:rPr>
          <w:sz w:val="24"/>
          <w:szCs w:val="24"/>
        </w:rPr>
      </w:pPr>
      <w:bookmarkStart w:id="45" w:name="_Toc2194175"/>
      <w:bookmarkStart w:id="46" w:name="_Toc12476448"/>
      <w:r>
        <w:rPr>
          <w:sz w:val="24"/>
        </w:rPr>
        <w:lastRenderedPageBreak/>
        <w:t>Αξιολόγηση των δοκιμών</w:t>
      </w:r>
      <w:bookmarkEnd w:id="45"/>
      <w:bookmarkEnd w:id="46"/>
    </w:p>
    <w:p w:rsidR="00993CFC" w:rsidRPr="003A38BA" w:rsidRDefault="00993CFC" w:rsidP="007C21AF">
      <w:pPr>
        <w:spacing w:after="120"/>
        <w:ind w:left="0" w:firstLine="0"/>
        <w:jc w:val="both"/>
      </w:pPr>
      <w:r>
        <w:t>Τα αποτελέσματα της δοκιμής καταλληλότητας συνοψίζονται σε έναν πίνακα με τις τιμές μέτρησης. Αν πληρούνται οι ελάχιστες απαιτήσεις σύμφωνα με τους ZTV M για το νέο οδόστρωμα και την οριακή κατάσταση λειτουργικότητας καθώς και οι απαιτήσεις των TL M, είναι δυνατή η έκδοση ενός πιστοποιητικού δοκιμής (βλέπε παράρτημα Α). Για τις ελάχιστες απαιτήσεις σύμφωνα με τους ZTV M επιλέχθηκαν για τα τεχνικά χαρακτηριστικά του φωτός υψηλότερες κλάσεις σύμφωνα με το DIN EN 1436. Αν δεν πληρούνται επαρκώς οι ελάχιστες απαιτήσεις σύμφωνα με τους ZTV M και/ή δεν πληρούνται οι απαιτήσεις των TL M, ωστόσο πληρούνται οι ελάχιστες απαιτήσεις σύμφωνα με το DIN EN 1436, είναι δυνατή η έκδοση βεβαίωσης της δοκιμής (βλέπε παράρτημα A). Σε περίπτωση επιβεβαίωσης σύμφωνα με το DIN EN 1436, σε αντίθεση με ένα πιστοποιητικό δοκιμής σύμφωνα με το ZTV M, δεν είναι δυνατό να προσδιοριστεί μια απόδοση για μία ή περισσότερες ιδιότητες, αν αυτό είναι επιθυμητό από τον αιτούντα.</w:t>
      </w:r>
    </w:p>
    <w:p w:rsidR="00617E85" w:rsidRPr="003A38BA" w:rsidRDefault="00617E85" w:rsidP="007C21AF">
      <w:pPr>
        <w:spacing w:after="120"/>
        <w:ind w:left="0" w:firstLine="0"/>
        <w:jc w:val="both"/>
      </w:pPr>
      <w:r>
        <w:t>Για την αξιολόγηση της αντιολισθηρότητας με βάση τις επαληθεύσεις των συγκρίσεων για τις τιμές αντιολισθηρότητας σε σχέση με τα πεδία ελέγχου και τον προσομοιωτή φθοράς καθορίστηκαν αποκλίνουσες απαιτήσεις για τον προσομοιωτή φθοράς. Στην τιμή SRT που υπολογίστηκε κατά τη δοκιμή του προσομοιωτή φθοράς συνυπολογίστηκαν 5 σημεία, ώστε η χαμηλότερη κλάση S1 να θεωρείται ότι εκπληρώθηκε με τιμή SRT 40. Η παρούσα ρύθμιση δεν ισχύει όμως για τη μέτρηση της αντιολισθηρότητας σε νέα οδοστρώματα πριν την έναρξη των διελεύσεων τροχών. Στο πλαίσιο αυτό, απαιτείται τιμή SRT 45.</w:t>
      </w:r>
    </w:p>
    <w:p w:rsidR="00D9642C" w:rsidRPr="003A38BA" w:rsidRDefault="00D9642C" w:rsidP="007C21AF">
      <w:pPr>
        <w:pStyle w:val="Heading1"/>
        <w:numPr>
          <w:ilvl w:val="2"/>
          <w:numId w:val="5"/>
        </w:numPr>
        <w:ind w:left="1440" w:hanging="720"/>
        <w:jc w:val="both"/>
        <w:rPr>
          <w:sz w:val="24"/>
          <w:szCs w:val="24"/>
        </w:rPr>
      </w:pPr>
      <w:bookmarkStart w:id="47" w:name="_Toc2194176"/>
      <w:bookmarkStart w:id="48" w:name="_Toc12476449"/>
      <w:r>
        <w:rPr>
          <w:sz w:val="24"/>
        </w:rPr>
        <w:t>Έλεγχος των δοκιμών (αναπαραγωγικότητα)</w:t>
      </w:r>
      <w:bookmarkEnd w:id="47"/>
      <w:bookmarkEnd w:id="48"/>
    </w:p>
    <w:p w:rsidR="00D9642C" w:rsidRPr="003A38BA" w:rsidRDefault="00D9642C" w:rsidP="007C21AF">
      <w:pPr>
        <w:spacing w:after="120"/>
        <w:ind w:left="0" w:firstLine="0"/>
        <w:jc w:val="both"/>
      </w:pPr>
      <w:r>
        <w:t xml:space="preserve">Σε κάθε δοκιμαστική λειτουργία περιλαμβάνεται ένα δείγμα αναφοράς για την παρακολούθηση της ομαλής πορείας της δοκιμής. </w:t>
      </w:r>
    </w:p>
    <w:p w:rsidR="00D9642C" w:rsidRPr="003A38BA" w:rsidRDefault="00946519" w:rsidP="007C21AF">
      <w:pPr>
        <w:spacing w:after="120"/>
        <w:ind w:left="0" w:firstLine="0"/>
        <w:jc w:val="both"/>
      </w:pPr>
      <w:r>
        <w:t>Σε κάθε δείγμα αναφοράς στο πλαίσιο της δοκιμής καταλληλότητας πρέπει επίσης να γίνεται μέτρηση όλων των χαρακτηριστικών που αναφέρονται στο τμήμα 4.4.3. Τα αποτελέσματα των μετρήσεων δεν πρέπει να αποκλίνουν από τα αρχικά αποτελέσματα για το επιλεγμένο δείγμα, λαμβάνοντας υπόψη τις ανοχές που αναφέρονται παρακάτω.</w:t>
      </w:r>
    </w:p>
    <w:p w:rsidR="00946519" w:rsidRPr="003A38BA" w:rsidRDefault="00946519" w:rsidP="007C21AF">
      <w:pPr>
        <w:spacing w:after="120"/>
        <w:ind w:left="0" w:firstLine="0"/>
        <w:jc w:val="both"/>
      </w:pPr>
      <w:r>
        <w:t>15 % για την ορατότητα την ημέρα</w:t>
      </w:r>
    </w:p>
    <w:p w:rsidR="00946519" w:rsidRPr="003A38BA" w:rsidRDefault="00946519" w:rsidP="007C21AF">
      <w:pPr>
        <w:spacing w:after="120"/>
        <w:ind w:left="0" w:firstLine="0"/>
        <w:jc w:val="both"/>
      </w:pPr>
      <w:r>
        <w:t>15 % για την ορατότητα μετά από 100.000 διελεύσεις τροχών</w:t>
      </w:r>
    </w:p>
    <w:p w:rsidR="00DF3B72" w:rsidRPr="003A38BA" w:rsidRDefault="00946519" w:rsidP="007C21AF">
      <w:pPr>
        <w:spacing w:after="120"/>
        <w:ind w:left="0" w:firstLine="0"/>
        <w:jc w:val="both"/>
      </w:pPr>
      <w:r>
        <w:t>± 5 μονάδες SRT για την αντιολισθηρότητα</w:t>
      </w:r>
    </w:p>
    <w:p w:rsidR="00993CFC" w:rsidRPr="003A38BA" w:rsidRDefault="00F653D9" w:rsidP="007C21AF">
      <w:pPr>
        <w:spacing w:after="120"/>
        <w:ind w:left="0" w:firstLine="0"/>
        <w:jc w:val="both"/>
      </w:pPr>
      <w:r>
        <w:t>Αν οι αποκλίσεις είναι μεγαλύτερες, είναι απαραίτητη η πραγματοποίηση αυτοψίας των οριακών συνθηκών της δοκιμής καθώς και του υλικού αναφοράς, ώστε να είναι δυνατή η ομαλή πορείας της δοκιμής.</w:t>
      </w:r>
    </w:p>
    <w:p w:rsidR="00536458" w:rsidRPr="003A38BA" w:rsidRDefault="00536458" w:rsidP="007C21AF">
      <w:pPr>
        <w:pStyle w:val="Heading1"/>
        <w:numPr>
          <w:ilvl w:val="0"/>
          <w:numId w:val="5"/>
        </w:numPr>
        <w:jc w:val="both"/>
        <w:rPr>
          <w:sz w:val="24"/>
          <w:szCs w:val="24"/>
        </w:rPr>
      </w:pPr>
      <w:bookmarkStart w:id="49" w:name="_Toc353893698"/>
      <w:bookmarkStart w:id="50" w:name="_Toc2194177"/>
      <w:bookmarkStart w:id="51" w:name="_Toc12476450"/>
      <w:r>
        <w:rPr>
          <w:sz w:val="24"/>
        </w:rPr>
        <w:t>Φυσικοχημικές δοκιμές των προϊόντων διαγράμμισης και των ενσωματούμενων υλικών (δοκιμή πρωτοτύπου)</w:t>
      </w:r>
      <w:bookmarkEnd w:id="49"/>
      <w:bookmarkEnd w:id="50"/>
      <w:bookmarkEnd w:id="51"/>
    </w:p>
    <w:p w:rsidR="00536458" w:rsidRPr="003A38BA" w:rsidRDefault="00536458" w:rsidP="007C21AF">
      <w:pPr>
        <w:pStyle w:val="Heading1"/>
        <w:numPr>
          <w:ilvl w:val="1"/>
          <w:numId w:val="5"/>
        </w:numPr>
        <w:jc w:val="both"/>
        <w:rPr>
          <w:sz w:val="24"/>
          <w:szCs w:val="24"/>
        </w:rPr>
      </w:pPr>
      <w:bookmarkStart w:id="52" w:name="_Toc86465553"/>
      <w:bookmarkStart w:id="53" w:name="_Toc115598045"/>
      <w:bookmarkStart w:id="54" w:name="_Toc120375499"/>
      <w:bookmarkStart w:id="55" w:name="_Toc150173015"/>
      <w:bookmarkStart w:id="56" w:name="_Toc150819913"/>
      <w:bookmarkStart w:id="57" w:name="_Toc353893699"/>
      <w:bookmarkStart w:id="58" w:name="_Toc2194178"/>
      <w:bookmarkStart w:id="59" w:name="_Toc12476451"/>
      <w:r>
        <w:rPr>
          <w:sz w:val="24"/>
        </w:rPr>
        <w:t>Γενικά</w:t>
      </w:r>
      <w:bookmarkEnd w:id="52"/>
      <w:bookmarkEnd w:id="53"/>
      <w:bookmarkEnd w:id="54"/>
      <w:bookmarkEnd w:id="55"/>
      <w:bookmarkEnd w:id="56"/>
      <w:bookmarkEnd w:id="57"/>
      <w:bookmarkEnd w:id="58"/>
      <w:bookmarkEnd w:id="59"/>
    </w:p>
    <w:p w:rsidR="00536458" w:rsidRPr="003A38BA" w:rsidRDefault="00536458" w:rsidP="007C21AF">
      <w:pPr>
        <w:spacing w:after="120"/>
        <w:ind w:left="0" w:firstLine="0"/>
        <w:jc w:val="both"/>
      </w:pPr>
      <w:r>
        <w:t>Οι δοκιμές των πρωτοτύπων συμβάλλουν στη διασφάλιση της ποιότητας και στον έλεγχο των υλικών οριζόντιας σήμανσης για απαγορευμένες επικίνδυνες ουσίες. Ταυτόχρονα η δοκιμή πρωτοτύπων λειτουργεί ως βάση για μεταγενέστερες δειγματοληπτικές δοκιμές ισοτιμίας. Στο DIN EN 1871 καθορίζονται οι φυσικοχημικές απαιτήσεις των υλικών οριζόντιας σήμανσης ως συστατικό στοιχείο των συστημάτων οριζόντιας σήμανσης. Οι απαιτήσεις για προϊόντα επίπασης και γυάλινα σφαιρίδια προανάμιξης συμμορφώνονται με τα DIN EN 1423 και DIN EN 1424. Οι δοκιμές ταυτοποίησης των υλικών και υμένων οριζόντιας σήμανσης περιγράφονται στα πρότυπα DIN EN 12802 και DIN EN 1790.</w:t>
      </w:r>
    </w:p>
    <w:p w:rsidR="00536458" w:rsidRPr="003A38BA" w:rsidRDefault="00536458" w:rsidP="007C21AF">
      <w:pPr>
        <w:spacing w:after="120"/>
        <w:ind w:left="0" w:firstLine="0"/>
        <w:jc w:val="both"/>
      </w:pPr>
      <w:r>
        <w:lastRenderedPageBreak/>
        <w:t xml:space="preserve">Οι αναλύσεις των πρωτοτύπων που διεξάγονται κατά τη δοκιμή καταλληλότητας των συστημάτων οριζόντιας σήμανσης περιλαμβάνονται στον πίνακα 7. Οι απαραίτητες αποκλίσεις από τις υπάρχουσες μεθόδους περιγράφονται στο τμήμα 5.3. </w:t>
      </w:r>
    </w:p>
    <w:p w:rsidR="00536458" w:rsidRPr="003A38BA" w:rsidRDefault="00536458" w:rsidP="007C21AF">
      <w:pPr>
        <w:pStyle w:val="Subtitle"/>
        <w:keepNext/>
        <w:ind w:left="1440" w:hanging="1440"/>
        <w:jc w:val="both"/>
        <w:rPr>
          <w:spacing w:val="0"/>
        </w:rPr>
      </w:pPr>
      <w:r>
        <w:t>Πίνακας 7</w:t>
      </w:r>
      <w:r>
        <w:tab/>
        <w:t>Σύνοψη των προτύπων μεθόδων δοκιμής</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559"/>
        <w:gridCol w:w="992"/>
        <w:gridCol w:w="992"/>
        <w:gridCol w:w="1134"/>
        <w:gridCol w:w="993"/>
        <w:gridCol w:w="1417"/>
      </w:tblGrid>
      <w:tr w:rsidR="00536458" w:rsidRPr="003A38BA" w:rsidTr="003E3497">
        <w:tc>
          <w:tcPr>
            <w:tcW w:w="2197" w:type="dxa"/>
            <w:tcBorders>
              <w:top w:val="single" w:sz="12" w:space="0" w:color="auto"/>
              <w:left w:val="single" w:sz="12" w:space="0" w:color="auto"/>
              <w:bottom w:val="single" w:sz="12" w:space="0" w:color="auto"/>
              <w:right w:val="nil"/>
            </w:tcBorders>
          </w:tcPr>
          <w:p w:rsidR="00536458" w:rsidRPr="003A38BA" w:rsidRDefault="00536458" w:rsidP="00536458">
            <w:pPr>
              <w:pStyle w:val="Tab-Kopf"/>
              <w:rPr>
                <w:sz w:val="22"/>
                <w:szCs w:val="22"/>
              </w:rPr>
            </w:pPr>
            <w:r>
              <w:rPr>
                <w:sz w:val="22"/>
              </w:rPr>
              <w:t>Παράμετρος</w:t>
            </w:r>
          </w:p>
        </w:tc>
        <w:tc>
          <w:tcPr>
            <w:tcW w:w="1559" w:type="dxa"/>
            <w:tcBorders>
              <w:top w:val="single" w:sz="12" w:space="0" w:color="auto"/>
              <w:left w:val="single" w:sz="4" w:space="0" w:color="auto"/>
              <w:bottom w:val="single" w:sz="12" w:space="0" w:color="auto"/>
            </w:tcBorders>
          </w:tcPr>
          <w:p w:rsidR="00536458" w:rsidRPr="003A38BA" w:rsidRDefault="00536458" w:rsidP="00536458">
            <w:pPr>
              <w:pStyle w:val="Tab-Kopf"/>
              <w:rPr>
                <w:sz w:val="22"/>
                <w:szCs w:val="22"/>
              </w:rPr>
            </w:pPr>
            <w:r>
              <w:rPr>
                <w:sz w:val="22"/>
              </w:rPr>
              <w:t>Υδατοδιαλυτές βαφές (υπόστρωμα)</w:t>
            </w:r>
          </w:p>
        </w:tc>
        <w:tc>
          <w:tcPr>
            <w:tcW w:w="992" w:type="dxa"/>
            <w:tcBorders>
              <w:top w:val="single" w:sz="12" w:space="0" w:color="auto"/>
              <w:bottom w:val="single" w:sz="12" w:space="0" w:color="auto"/>
            </w:tcBorders>
          </w:tcPr>
          <w:p w:rsidR="00536458" w:rsidRPr="003A38BA" w:rsidRDefault="00536458" w:rsidP="00536458">
            <w:pPr>
              <w:pStyle w:val="Tab-Kopf"/>
              <w:rPr>
                <w:sz w:val="22"/>
                <w:szCs w:val="22"/>
              </w:rPr>
            </w:pPr>
            <w:r>
              <w:rPr>
                <w:sz w:val="22"/>
              </w:rPr>
              <w:t>Διασπορές</w:t>
            </w:r>
          </w:p>
        </w:tc>
        <w:tc>
          <w:tcPr>
            <w:tcW w:w="992" w:type="dxa"/>
            <w:tcBorders>
              <w:top w:val="single" w:sz="12" w:space="0" w:color="auto"/>
              <w:bottom w:val="single" w:sz="12" w:space="0" w:color="auto"/>
            </w:tcBorders>
          </w:tcPr>
          <w:p w:rsidR="00536458" w:rsidRPr="003A38BA" w:rsidRDefault="00536458" w:rsidP="00536458">
            <w:pPr>
              <w:pStyle w:val="Tab-Kopf"/>
              <w:rPr>
                <w:sz w:val="22"/>
                <w:szCs w:val="22"/>
              </w:rPr>
            </w:pPr>
            <w:r>
              <w:rPr>
                <w:sz w:val="22"/>
              </w:rPr>
              <w:t>βαφές αντίδρασης</w:t>
            </w:r>
          </w:p>
        </w:tc>
        <w:tc>
          <w:tcPr>
            <w:tcW w:w="1134" w:type="dxa"/>
            <w:tcBorders>
              <w:top w:val="single" w:sz="12" w:space="0" w:color="auto"/>
              <w:bottom w:val="single" w:sz="12" w:space="0" w:color="auto"/>
            </w:tcBorders>
          </w:tcPr>
          <w:p w:rsidR="00536458" w:rsidRPr="003A38BA" w:rsidRDefault="00536458" w:rsidP="00536458">
            <w:pPr>
              <w:pStyle w:val="Tab-Kopf"/>
              <w:rPr>
                <w:sz w:val="22"/>
                <w:szCs w:val="22"/>
              </w:rPr>
            </w:pPr>
            <w:r>
              <w:rPr>
                <w:sz w:val="22"/>
              </w:rPr>
              <w:t>Θερμοπλαστικά υλικά</w:t>
            </w:r>
          </w:p>
        </w:tc>
        <w:tc>
          <w:tcPr>
            <w:tcW w:w="993" w:type="dxa"/>
            <w:tcBorders>
              <w:top w:val="single" w:sz="12" w:space="0" w:color="auto"/>
              <w:bottom w:val="single" w:sz="12" w:space="0" w:color="auto"/>
            </w:tcBorders>
          </w:tcPr>
          <w:p w:rsidR="00536458" w:rsidRPr="003A38BA" w:rsidRDefault="00536458" w:rsidP="00536458">
            <w:pPr>
              <w:pStyle w:val="Tab-Kopf"/>
              <w:rPr>
                <w:sz w:val="22"/>
                <w:szCs w:val="22"/>
              </w:rPr>
            </w:pPr>
            <w:r>
              <w:rPr>
                <w:sz w:val="22"/>
              </w:rPr>
              <w:t>Υμένες</w:t>
            </w:r>
          </w:p>
        </w:tc>
        <w:tc>
          <w:tcPr>
            <w:tcW w:w="1417" w:type="dxa"/>
            <w:tcBorders>
              <w:top w:val="single" w:sz="12" w:space="0" w:color="auto"/>
              <w:bottom w:val="single" w:sz="12" w:space="0" w:color="auto"/>
              <w:right w:val="single" w:sz="12" w:space="0" w:color="auto"/>
            </w:tcBorders>
          </w:tcPr>
          <w:p w:rsidR="00536458" w:rsidRPr="003A38BA" w:rsidRDefault="00536458" w:rsidP="00536458">
            <w:pPr>
              <w:pStyle w:val="Tab-Kopf"/>
              <w:rPr>
                <w:kern w:val="0"/>
                <w:sz w:val="22"/>
                <w:szCs w:val="22"/>
              </w:rPr>
            </w:pPr>
            <w:r>
              <w:rPr>
                <w:kern w:val="0"/>
                <w:sz w:val="22"/>
              </w:rPr>
              <w:t>Αναφορά</w:t>
            </w:r>
          </w:p>
        </w:tc>
      </w:tr>
      <w:tr w:rsidR="00536458" w:rsidRPr="003A38BA" w:rsidTr="003E3497">
        <w:tc>
          <w:tcPr>
            <w:tcW w:w="2197" w:type="dxa"/>
            <w:tcBorders>
              <w:top w:val="single" w:sz="12" w:space="0" w:color="auto"/>
              <w:left w:val="single" w:sz="12" w:space="0" w:color="auto"/>
            </w:tcBorders>
          </w:tcPr>
          <w:p w:rsidR="00536458" w:rsidRPr="003A38BA" w:rsidRDefault="00536458" w:rsidP="00536458">
            <w:pPr>
              <w:spacing w:line="280" w:lineRule="exact"/>
              <w:ind w:left="0" w:firstLine="0"/>
            </w:pPr>
            <w:r>
              <w:t>Πυκνότητα</w:t>
            </w:r>
          </w:p>
        </w:tc>
        <w:tc>
          <w:tcPr>
            <w:tcW w:w="1559" w:type="dxa"/>
            <w:tcBorders>
              <w:top w:val="single" w:sz="12" w:space="0" w:color="auto"/>
            </w:tcBorders>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tcBorders>
              <w:top w:val="single" w:sz="12" w:space="0" w:color="auto"/>
            </w:tcBorders>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tcBorders>
              <w:top w:val="single" w:sz="12" w:space="0" w:color="auto"/>
            </w:tcBorders>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tcBorders>
              <w:top w:val="single" w:sz="12" w:space="0" w:color="auto"/>
            </w:tcBorders>
            <w:vAlign w:val="center"/>
          </w:tcPr>
          <w:p w:rsidR="00536458" w:rsidRPr="003A38BA" w:rsidRDefault="00536458" w:rsidP="0088418C">
            <w:pPr>
              <w:spacing w:after="80" w:line="300" w:lineRule="exact"/>
              <w:jc w:val="center"/>
              <w:rPr>
                <w:rFonts w:ascii="Arial" w:hAnsi="Arial" w:cs="Arial"/>
                <w:bCs/>
                <w:sz w:val="20"/>
                <w:szCs w:val="20"/>
              </w:rPr>
            </w:pPr>
          </w:p>
        </w:tc>
        <w:tc>
          <w:tcPr>
            <w:tcW w:w="993" w:type="dxa"/>
            <w:tcBorders>
              <w:top w:val="single" w:sz="12" w:space="0" w:color="auto"/>
            </w:tcBorders>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top w:val="single" w:sz="12" w:space="0" w:color="auto"/>
              <w:right w:val="single" w:sz="12" w:space="0" w:color="auto"/>
            </w:tcBorders>
          </w:tcPr>
          <w:p w:rsidR="00536458" w:rsidRPr="003A38BA" w:rsidRDefault="00536458" w:rsidP="00536458">
            <w:pPr>
              <w:pStyle w:val="Einzug-1"/>
              <w:rPr>
                <w:rFonts w:asciiTheme="minorHAnsi" w:hAnsiTheme="minorHAnsi"/>
                <w:sz w:val="22"/>
                <w:szCs w:val="22"/>
              </w:rPr>
            </w:pPr>
            <w:r>
              <w:rPr>
                <w:rFonts w:asciiTheme="minorHAnsi" w:hAnsiTheme="minorHAnsi"/>
                <w:sz w:val="22"/>
              </w:rPr>
              <w:t>ISO – 2811-1</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Πτητικές ενώσεις</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Αναλογία συνδετικών</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Περιεκτικότητα σε διοξείδιο του τιτανίου</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pStyle w:val="Header"/>
              <w:tabs>
                <w:tab w:val="clear" w:pos="4536"/>
                <w:tab w:val="clear" w:pos="9072"/>
              </w:tabs>
              <w:spacing w:before="60" w:after="60" w:line="240" w:lineRule="exact"/>
              <w:rPr>
                <w:rFonts w:asciiTheme="minorHAnsi" w:hAnsiTheme="minorHAnsi"/>
                <w:sz w:val="22"/>
                <w:szCs w:val="22"/>
              </w:rPr>
            </w:pPr>
            <w:r>
              <w:rPr>
                <w:rFonts w:asciiTheme="minorHAnsi" w:hAnsiTheme="minorHAnsi"/>
                <w:sz w:val="22"/>
              </w:rPr>
              <w:t>Ποσοστά υλικών προανάμιξης</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Ανάλυση των υλικών επίπασης</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1423, TP M</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Ανάλυση για μόλυβδο και κάδμιο</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 xml:space="preserve">x </w:t>
            </w:r>
            <w:r>
              <w:rPr>
                <w:rFonts w:ascii="Arial" w:hAnsi="Arial"/>
                <w:sz w:val="20"/>
                <w:vertAlign w:val="superscript"/>
              </w:rPr>
              <w:t>1)</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 xml:space="preserve">x </w:t>
            </w:r>
            <w:r>
              <w:rPr>
                <w:rFonts w:ascii="Arial" w:hAnsi="Arial"/>
                <w:sz w:val="20"/>
                <w:vertAlign w:val="superscript"/>
              </w:rPr>
              <w:t>1)</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 xml:space="preserve">x </w:t>
            </w:r>
            <w:r>
              <w:rPr>
                <w:rFonts w:ascii="Arial" w:hAnsi="Arial"/>
                <w:sz w:val="20"/>
                <w:vertAlign w:val="superscript"/>
              </w:rPr>
              <w:t>1)</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 xml:space="preserve">x </w:t>
            </w:r>
            <w:r>
              <w:rPr>
                <w:rFonts w:ascii="Arial" w:hAnsi="Arial"/>
                <w:sz w:val="20"/>
                <w:vertAlign w:val="superscript"/>
              </w:rPr>
              <w:t>1)</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 xml:space="preserve">x </w:t>
            </w:r>
            <w:r>
              <w:rPr>
                <w:rFonts w:ascii="Arial" w:hAnsi="Arial"/>
                <w:sz w:val="20"/>
                <w:vertAlign w:val="superscript"/>
              </w:rPr>
              <w:t>1)</w:t>
            </w:r>
          </w:p>
        </w:tc>
        <w:tc>
          <w:tcPr>
            <w:tcW w:w="1417" w:type="dxa"/>
            <w:tcBorders>
              <w:right w:val="single" w:sz="12" w:space="0" w:color="auto"/>
            </w:tcBorders>
          </w:tcPr>
          <w:p w:rsidR="00536458" w:rsidRPr="003A38BA" w:rsidRDefault="00536458" w:rsidP="00536458">
            <w:pPr>
              <w:pStyle w:val="Einzug-1"/>
              <w:rPr>
                <w:rFonts w:asciiTheme="minorHAnsi" w:hAnsiTheme="minorHAnsi"/>
                <w:sz w:val="22"/>
                <w:szCs w:val="22"/>
              </w:rPr>
            </w:pPr>
            <w:r>
              <w:rPr>
                <w:rFonts w:asciiTheme="minorHAnsi" w:hAnsiTheme="minorHAnsi"/>
                <w:sz w:val="22"/>
              </w:rPr>
              <w:t>ISO 11466</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Κατάλοιπα αποτέφρωσης</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Φάσμα υπερύθρου του συνδετικού μέσου</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r>
              <w:rPr>
                <w:b/>
                <w:vertAlign w:val="superscript"/>
              </w:rPr>
              <w:t>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Υπέρυθρο φάσμα χρωστικών και πληρωτικών υλικών</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Προσδιορισμός πτητικών οργανικών ενώσεων/μονομερών/ολιγομερών</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Ανάλυση της συγκολλητικής επάλειψης</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88418C" w:rsidP="0088418C">
            <w:pPr>
              <w:spacing w:after="80" w:line="300" w:lineRule="exact"/>
              <w:jc w:val="center"/>
              <w:rPr>
                <w:rFonts w:ascii="Arial" w:hAnsi="Arial" w:cs="Arial"/>
                <w:sz w:val="20"/>
                <w:szCs w:val="20"/>
              </w:rPr>
            </w:pPr>
            <w:r>
              <w:rPr>
                <w:rFonts w:ascii="Arial" w:hAnsi="Arial"/>
                <w:sz w:val="20"/>
              </w:rPr>
              <w:t>x</w:t>
            </w:r>
          </w:p>
        </w:tc>
        <w:tc>
          <w:tcPr>
            <w:tcW w:w="1417" w:type="dxa"/>
            <w:tcBorders>
              <w:right w:val="single" w:sz="12" w:space="0" w:color="auto"/>
            </w:tcBorders>
          </w:tcPr>
          <w:p w:rsidR="00536458" w:rsidRPr="003A38BA" w:rsidRDefault="00536458" w:rsidP="00536458">
            <w:pPr>
              <w:spacing w:line="280" w:lineRule="exact"/>
            </w:pPr>
            <w:r>
              <w:t>DIN EN 1790</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Θερμόγραμμα</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88418C" w:rsidP="0088418C">
            <w:pPr>
              <w:spacing w:after="80" w:line="300" w:lineRule="exact"/>
              <w:jc w:val="center"/>
              <w:rPr>
                <w:rFonts w:ascii="Arial" w:hAnsi="Arial" w:cs="Arial"/>
                <w:sz w:val="20"/>
                <w:szCs w:val="20"/>
              </w:rPr>
            </w:pPr>
            <w:r>
              <w:rPr>
                <w:rFonts w:ascii="Arial" w:hAnsi="Arial"/>
                <w:sz w:val="20"/>
              </w:rPr>
              <w:t>x</w:t>
            </w:r>
          </w:p>
        </w:tc>
        <w:tc>
          <w:tcPr>
            <w:tcW w:w="1417" w:type="dxa"/>
            <w:tcBorders>
              <w:right w:val="single" w:sz="12" w:space="0" w:color="auto"/>
            </w:tcBorders>
          </w:tcPr>
          <w:p w:rsidR="00536458" w:rsidRPr="003A38BA" w:rsidRDefault="00536458" w:rsidP="00536458">
            <w:pPr>
              <w:spacing w:line="280" w:lineRule="exact"/>
            </w:pPr>
            <w:r>
              <w:t>DIN EN 1790</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60" w:lineRule="exact"/>
              <w:ind w:left="0" w:firstLine="0"/>
            </w:pPr>
            <w:r>
              <w:t>Ανάλυση εικόνας</w:t>
            </w:r>
          </w:p>
        </w:tc>
        <w:tc>
          <w:tcPr>
            <w:tcW w:w="1559"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3" w:type="dxa"/>
            <w:vAlign w:val="center"/>
          </w:tcPr>
          <w:p w:rsidR="00536458" w:rsidRPr="003A38BA" w:rsidRDefault="0088418C" w:rsidP="0088418C">
            <w:pPr>
              <w:spacing w:before="60" w:after="60" w:line="260" w:lineRule="exact"/>
              <w:jc w:val="center"/>
              <w:rPr>
                <w:rFonts w:ascii="Arial" w:hAnsi="Arial" w:cs="Arial"/>
                <w:sz w:val="20"/>
                <w:szCs w:val="20"/>
              </w:rPr>
            </w:pPr>
            <w:r>
              <w:rPr>
                <w:rFonts w:ascii="Arial" w:hAnsi="Arial"/>
                <w:sz w:val="20"/>
              </w:rPr>
              <w:t>x</w:t>
            </w:r>
          </w:p>
        </w:tc>
        <w:tc>
          <w:tcPr>
            <w:tcW w:w="1417" w:type="dxa"/>
            <w:tcBorders>
              <w:right w:val="single" w:sz="12" w:space="0" w:color="auto"/>
            </w:tcBorders>
          </w:tcPr>
          <w:p w:rsidR="00536458" w:rsidRPr="003A38BA" w:rsidRDefault="00C32DCC" w:rsidP="00536458">
            <w:pPr>
              <w:spacing w:line="280" w:lineRule="exact"/>
            </w:pPr>
            <w:r>
              <w:t>TP M</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60" w:lineRule="exact"/>
              <w:ind w:left="0" w:firstLine="0"/>
            </w:pPr>
            <w:r>
              <w:t>Σημείο μάλθωσης κατά Wilhelmi</w:t>
            </w:r>
          </w:p>
        </w:tc>
        <w:tc>
          <w:tcPr>
            <w:tcW w:w="1559"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3A38BA" w:rsidRDefault="00BD23B3" w:rsidP="0088418C">
            <w:pPr>
              <w:spacing w:before="60" w:after="60" w:line="26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1871</w:t>
            </w:r>
          </w:p>
        </w:tc>
      </w:tr>
      <w:tr w:rsidR="00DF4A21" w:rsidRPr="003A38BA" w:rsidTr="003E3497">
        <w:tc>
          <w:tcPr>
            <w:tcW w:w="2197" w:type="dxa"/>
            <w:tcBorders>
              <w:left w:val="single" w:sz="12" w:space="0" w:color="auto"/>
              <w:bottom w:val="single" w:sz="12" w:space="0" w:color="auto"/>
            </w:tcBorders>
          </w:tcPr>
          <w:p w:rsidR="00DF4A21" w:rsidRPr="003A38BA" w:rsidRDefault="00DF4A21" w:rsidP="00536458">
            <w:pPr>
              <w:spacing w:before="60" w:after="60" w:line="260" w:lineRule="exact"/>
              <w:ind w:left="0" w:firstLine="0"/>
            </w:pPr>
            <w:r>
              <w:t xml:space="preserve">Δοκιμή διείσδυσης </w:t>
            </w:r>
          </w:p>
        </w:tc>
        <w:tc>
          <w:tcPr>
            <w:tcW w:w="1559"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1134"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r>
              <w:rPr>
                <w:rFonts w:ascii="Arial" w:hAnsi="Arial"/>
                <w:sz w:val="20"/>
              </w:rPr>
              <w:t>x</w:t>
            </w:r>
          </w:p>
        </w:tc>
        <w:tc>
          <w:tcPr>
            <w:tcW w:w="993"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1417" w:type="dxa"/>
            <w:tcBorders>
              <w:bottom w:val="single" w:sz="12" w:space="0" w:color="auto"/>
              <w:right w:val="single" w:sz="12" w:space="0" w:color="auto"/>
            </w:tcBorders>
          </w:tcPr>
          <w:p w:rsidR="00DF4A21" w:rsidRPr="003A38BA" w:rsidRDefault="00DF4A21" w:rsidP="00536458">
            <w:pPr>
              <w:spacing w:line="280" w:lineRule="exact"/>
            </w:pPr>
            <w:r>
              <w:t>DIN EN 1871</w:t>
            </w:r>
          </w:p>
        </w:tc>
      </w:tr>
    </w:tbl>
    <w:p w:rsidR="00536458" w:rsidRPr="003A38BA" w:rsidRDefault="00536458" w:rsidP="007C21AF">
      <w:pPr>
        <w:pStyle w:val="FootnoteText"/>
        <w:numPr>
          <w:ilvl w:val="0"/>
          <w:numId w:val="7"/>
        </w:numPr>
        <w:spacing w:after="80"/>
        <w:ind w:left="357" w:hanging="357"/>
        <w:jc w:val="both"/>
        <w:rPr>
          <w:rFonts w:asciiTheme="minorHAnsi" w:hAnsiTheme="minorHAnsi"/>
          <w:sz w:val="18"/>
        </w:rPr>
      </w:pPr>
      <w:r>
        <w:rPr>
          <w:rFonts w:asciiTheme="minorHAnsi" w:hAnsiTheme="minorHAnsi"/>
          <w:sz w:val="18"/>
        </w:rPr>
        <w:t>Σε υλικά για προσωρινή σήμανση</w:t>
      </w:r>
    </w:p>
    <w:p w:rsidR="00536458" w:rsidRPr="003A38BA" w:rsidRDefault="00536458" w:rsidP="007C21AF">
      <w:pPr>
        <w:pStyle w:val="FootnoteText"/>
        <w:numPr>
          <w:ilvl w:val="0"/>
          <w:numId w:val="7"/>
        </w:numPr>
        <w:spacing w:after="80"/>
        <w:ind w:left="357" w:hanging="357"/>
        <w:jc w:val="both"/>
        <w:rPr>
          <w:rFonts w:asciiTheme="minorHAnsi" w:hAnsiTheme="minorHAnsi"/>
          <w:sz w:val="18"/>
        </w:rPr>
      </w:pPr>
      <w:r>
        <w:rPr>
          <w:rFonts w:asciiTheme="minorHAnsi" w:hAnsiTheme="minorHAnsi"/>
          <w:sz w:val="18"/>
        </w:rPr>
        <w:t>Σε διασπορές πρέπει να αφαιρείται το συνδετικό με τετραϋδροφουράνιο (THF) για να αποφεύγονται οι ιζηματοποιήσεις</w:t>
      </w:r>
    </w:p>
    <w:p w:rsidR="00536458" w:rsidRPr="003A38BA" w:rsidRDefault="00536458" w:rsidP="007C21AF">
      <w:pPr>
        <w:pStyle w:val="Heading1"/>
        <w:numPr>
          <w:ilvl w:val="1"/>
          <w:numId w:val="5"/>
        </w:numPr>
        <w:jc w:val="both"/>
        <w:rPr>
          <w:sz w:val="24"/>
          <w:szCs w:val="24"/>
        </w:rPr>
      </w:pPr>
      <w:bookmarkStart w:id="60" w:name="_Toc150157103"/>
      <w:bookmarkStart w:id="61" w:name="_Toc150172942"/>
      <w:bookmarkStart w:id="62" w:name="_Toc150173017"/>
      <w:bookmarkStart w:id="63" w:name="_Toc150174570"/>
      <w:bookmarkStart w:id="64" w:name="_Toc150819423"/>
      <w:bookmarkStart w:id="65" w:name="_Toc150819855"/>
      <w:bookmarkStart w:id="66" w:name="_Toc150819915"/>
      <w:bookmarkStart w:id="67" w:name="_Toc297110226"/>
      <w:bookmarkStart w:id="68" w:name="_Toc297110277"/>
      <w:bookmarkStart w:id="69" w:name="_Toc86465554"/>
      <w:bookmarkStart w:id="70" w:name="_Toc115598046"/>
      <w:bookmarkStart w:id="71" w:name="_Toc120375500"/>
      <w:bookmarkStart w:id="72" w:name="_Toc150173018"/>
      <w:bookmarkStart w:id="73" w:name="_Toc150819916"/>
      <w:bookmarkStart w:id="74" w:name="_Toc353893700"/>
      <w:bookmarkStart w:id="75" w:name="_Toc2194179"/>
      <w:bookmarkStart w:id="76" w:name="_Toc12476452"/>
      <w:bookmarkEnd w:id="60"/>
      <w:bookmarkEnd w:id="61"/>
      <w:bookmarkEnd w:id="62"/>
      <w:bookmarkEnd w:id="63"/>
      <w:bookmarkEnd w:id="64"/>
      <w:bookmarkEnd w:id="65"/>
      <w:bookmarkEnd w:id="66"/>
      <w:bookmarkEnd w:id="67"/>
      <w:bookmarkEnd w:id="68"/>
      <w:r>
        <w:rPr>
          <w:sz w:val="24"/>
        </w:rPr>
        <w:t>Δειγματοληψία</w:t>
      </w:r>
      <w:bookmarkEnd w:id="69"/>
      <w:bookmarkEnd w:id="70"/>
      <w:bookmarkEnd w:id="71"/>
      <w:bookmarkEnd w:id="72"/>
      <w:bookmarkEnd w:id="73"/>
      <w:bookmarkEnd w:id="74"/>
      <w:bookmarkEnd w:id="75"/>
      <w:bookmarkEnd w:id="76"/>
    </w:p>
    <w:p w:rsidR="00E54343" w:rsidRPr="003A38BA" w:rsidRDefault="00E54343" w:rsidP="007C21AF">
      <w:pPr>
        <w:spacing w:after="120"/>
        <w:ind w:left="0" w:firstLine="0"/>
        <w:jc w:val="both"/>
      </w:pPr>
      <w:bookmarkStart w:id="77" w:name="_Toc150157105"/>
      <w:bookmarkStart w:id="78" w:name="_Toc150172944"/>
      <w:bookmarkStart w:id="79" w:name="_Toc150173019"/>
      <w:bookmarkStart w:id="80" w:name="_Toc150174572"/>
      <w:bookmarkStart w:id="81" w:name="_Toc150819425"/>
      <w:bookmarkStart w:id="82" w:name="_Toc150819857"/>
      <w:bookmarkStart w:id="83" w:name="_Toc150819917"/>
      <w:bookmarkEnd w:id="77"/>
      <w:bookmarkEnd w:id="78"/>
      <w:bookmarkEnd w:id="79"/>
      <w:bookmarkEnd w:id="80"/>
      <w:bookmarkEnd w:id="81"/>
      <w:bookmarkEnd w:id="82"/>
      <w:bookmarkEnd w:id="83"/>
      <w:r>
        <w:t>Στο πλαίσιο της δοκιμής καταλληλότητας ο αιτών βεβαιώνει γραπτώς ότι τα υλικά και τα ενσωματούμενα υλικά που διατίθενται για εφαρμογή είναι αντιπροσωπευτικά για την παραγωγή. Ο αιτών είναι υπεύθυνος για την επάρκεια ποσοτήτων δειγμάτων που υποβάλλονται για τη δοκιμή πρωτοτύπων (βλ. 4.2.3).</w:t>
      </w:r>
    </w:p>
    <w:p w:rsidR="00536458" w:rsidRPr="003A38BA" w:rsidRDefault="00536458" w:rsidP="007C21AF">
      <w:pPr>
        <w:spacing w:after="120"/>
        <w:ind w:left="0" w:firstLine="0"/>
        <w:jc w:val="both"/>
      </w:pPr>
      <w:r>
        <w:lastRenderedPageBreak/>
        <w:t>Τα δοχεία δειγματοληψίας μετά το γέμισμα πρέπει να ασφαλίζουν με στεγανότητα και να προστατεύονται με κατάλληλη σφράγιση από πιθανή νόθευση. Κατάλληλα δοχεία δειγμάτων είναι π.χ. κουτιά 1 l με δοχεία με κάψουλα ή αεροστεγές κάλυμμα, βιδωτά πλαστικά δοχεία από πολυουρεθάνη ή πολυπροπυλένιο. Οι απώλειες διαλυτών αποφεύγονται, αν το δοχείο των δειγμάτων είναι όσο το δυνατόν πιο γεμάτο και αφού ασφαλιστεί, περιστραφεί μία φορά. Σε υλικά οριζόντιας σήμανσης με βάση το νερό απαιτείται η χρήση αεροστεγών πλαστικών δοχείων ή κουτιών με κάψουλα και εσωτερική επίστρωση.</w:t>
      </w:r>
    </w:p>
    <w:p w:rsidR="00536458" w:rsidRPr="003A38BA" w:rsidRDefault="00536458" w:rsidP="007C21AF">
      <w:pPr>
        <w:spacing w:after="120"/>
        <w:ind w:left="0" w:firstLine="0"/>
        <w:jc w:val="both"/>
      </w:pPr>
      <w:r>
        <w:t xml:space="preserve">Τα δείγματα πρέπει να φέρουν σαφή περιγραφή. </w:t>
      </w:r>
    </w:p>
    <w:p w:rsidR="00536458" w:rsidRPr="003A38BA" w:rsidRDefault="007F44BC" w:rsidP="007C21AF">
      <w:pPr>
        <w:pStyle w:val="Heading1"/>
        <w:numPr>
          <w:ilvl w:val="1"/>
          <w:numId w:val="5"/>
        </w:numPr>
        <w:jc w:val="both"/>
        <w:rPr>
          <w:sz w:val="24"/>
          <w:szCs w:val="24"/>
        </w:rPr>
      </w:pPr>
      <w:bookmarkStart w:id="84" w:name="_Toc297110228"/>
      <w:bookmarkStart w:id="85" w:name="_Toc297110279"/>
      <w:bookmarkStart w:id="86" w:name="_Toc2194180"/>
      <w:bookmarkStart w:id="87" w:name="_Toc12476453"/>
      <w:bookmarkStart w:id="88" w:name="_Toc84303240"/>
      <w:bookmarkStart w:id="89" w:name="_Toc86465557"/>
      <w:bookmarkStart w:id="90" w:name="_Toc115598049"/>
      <w:bookmarkEnd w:id="84"/>
      <w:bookmarkEnd w:id="85"/>
      <w:r>
        <w:rPr>
          <w:sz w:val="24"/>
        </w:rPr>
        <w:t>Δοκιμή πρωτοτύπων μη προδιαμορφωμένων συστημάτων οριζόντιας σήμανσης</w:t>
      </w:r>
      <w:bookmarkEnd w:id="86"/>
      <w:bookmarkEnd w:id="87"/>
    </w:p>
    <w:bookmarkEnd w:id="88"/>
    <w:bookmarkEnd w:id="89"/>
    <w:bookmarkEnd w:id="90"/>
    <w:p w:rsidR="00536458" w:rsidRPr="003A38BA" w:rsidRDefault="00536458" w:rsidP="007C21AF">
      <w:pPr>
        <w:ind w:left="0" w:firstLine="0"/>
        <w:jc w:val="both"/>
      </w:pPr>
      <w:r>
        <w:t>Τα χαρακτηριστικά ενός συστήματος οριζόντιας σήμανσης υποβάλλονται από τον αιτούνται με την αίτηση για δοκιμή καταλληλότητας, και καταγράφονται, ελέγχονται  και τεκμηριώνονται κατά τη δοκιμή πρωτοτύπου και στο πλαίσιο μεταγενέστερης δοκιμής ελέγχου σύμφωνα με τους ZTV M καθίσταται δυνατή η ταυτοποίηση. Στη συνέχεια περιγράφονται οι μέθοδοι δοκιμής των πρωτοτύπων.</w:t>
      </w:r>
    </w:p>
    <w:p w:rsidR="00536458" w:rsidRPr="003A38BA" w:rsidRDefault="00536458" w:rsidP="007C21AF">
      <w:pPr>
        <w:pStyle w:val="Heading1"/>
        <w:numPr>
          <w:ilvl w:val="2"/>
          <w:numId w:val="5"/>
        </w:numPr>
        <w:ind w:left="1440" w:hanging="872"/>
        <w:jc w:val="both"/>
        <w:rPr>
          <w:sz w:val="24"/>
          <w:szCs w:val="24"/>
        </w:rPr>
      </w:pPr>
      <w:bookmarkStart w:id="91" w:name="_Toc2194181"/>
      <w:bookmarkStart w:id="92" w:name="_Toc12476454"/>
      <w:bookmarkStart w:id="93" w:name="_Toc84303245"/>
      <w:bookmarkStart w:id="94" w:name="_Toc86465562"/>
      <w:bookmarkStart w:id="95" w:name="_Toc115598053"/>
      <w:bookmarkStart w:id="96" w:name="_Toc150174577"/>
      <w:bookmarkStart w:id="97" w:name="_Toc273346566"/>
      <w:bookmarkStart w:id="98" w:name="_Toc353893703"/>
      <w:r>
        <w:rPr>
          <w:sz w:val="24"/>
        </w:rPr>
        <w:t>Προσδιορισμός των οργανικών και ανόργανων ενώσεων</w:t>
      </w:r>
      <w:bookmarkEnd w:id="91"/>
      <w:bookmarkEnd w:id="92"/>
    </w:p>
    <w:p w:rsidR="00536458" w:rsidRPr="003A38BA" w:rsidRDefault="00536458" w:rsidP="007C21AF">
      <w:pPr>
        <w:ind w:left="0" w:firstLine="0"/>
        <w:jc w:val="both"/>
      </w:pPr>
      <w:r>
        <w:t>Η αναλογία πτητικών συστατικών των χρωμάτων οριζόντιας σήμανσης και υποστρωμάτων ορίζεται, κατά κύριο λόγο, σύμφωνα με το DIN EN 12802 σχετικά με τη ζύγιση του κατάλοιπου που διατηρήθηκε μετά από τρίωρη θέρμανση στους 105°C σε κλίβανος με δυνατότητα κυκλοφορίας αέρα. Το εν λόγω κατάλοιπο χρησιμοποιείται για τη μέτρηση της αναλογίας του συνδετικού υλικού και της αναλογίας των ανόργανων συστατικών. Μετά από τετράωρη θερμική επεξεργασία στους 4450°C σε μουφλοκάμινο αποσυντίθενται πλήρως τα οργανικά συνδετικά. Το κατάλοιπο που απομένει αποτελεί ανόργανη ύλη. Με τη ζύγιση πριν και μετά τη θερμική επεξεργασία ορίζονται τα αντίστοιχα ποσοστά κατά βάρος. Το ανόργανο κατάλοιπο που λαμβάνεται χρησιμοποιείται για την ταυτοποίηση χρωστικών και πληρωτικών υλικών και τον προσδιορισμό της περιεκτικότητας σε διοξείδιο του τιτανίου.</w:t>
      </w:r>
    </w:p>
    <w:p w:rsidR="00536458" w:rsidRPr="003A38BA" w:rsidRDefault="00536458" w:rsidP="007C21AF">
      <w:pPr>
        <w:pStyle w:val="Heading1"/>
        <w:numPr>
          <w:ilvl w:val="2"/>
          <w:numId w:val="5"/>
        </w:numPr>
        <w:ind w:left="1440" w:hanging="872"/>
        <w:jc w:val="both"/>
        <w:rPr>
          <w:sz w:val="24"/>
          <w:szCs w:val="24"/>
        </w:rPr>
      </w:pPr>
      <w:bookmarkStart w:id="99" w:name="_Toc2194182"/>
      <w:bookmarkStart w:id="100" w:name="_Toc12476455"/>
      <w:r>
        <w:rPr>
          <w:sz w:val="24"/>
        </w:rPr>
        <w:t>Προσδιορισμός των πτητικών ανόργανων ενώσεω</w:t>
      </w:r>
      <w:bookmarkEnd w:id="93"/>
      <w:r>
        <w:rPr>
          <w:sz w:val="24"/>
        </w:rPr>
        <w:t>ν και των μονομερών/ολιγομερών</w:t>
      </w:r>
      <w:bookmarkEnd w:id="94"/>
      <w:bookmarkEnd w:id="95"/>
      <w:bookmarkEnd w:id="96"/>
      <w:bookmarkEnd w:id="97"/>
      <w:bookmarkEnd w:id="98"/>
      <w:bookmarkEnd w:id="99"/>
      <w:bookmarkEnd w:id="100"/>
    </w:p>
    <w:p w:rsidR="00667BC9" w:rsidRPr="003A38BA" w:rsidRDefault="00536458" w:rsidP="007C21AF">
      <w:pPr>
        <w:ind w:left="0" w:firstLine="0"/>
        <w:jc w:val="both"/>
      </w:pPr>
      <w:r>
        <w:t xml:space="preserve">Τα πτητικά ανόργανα συστατικά σε υλικά και ενσωματούμενα υλικά οριζόντιας σήμανσης προσδιορίζονται, κατά κύριο λόγο, σύμφωνα με το πρότυπο ΕΝ 12802 με αέρια χρωματογραφία χρησιμοποιώντας φασματομετρία μάζας ως σύστημα ανίχνευσης (GC-MS). </w:t>
      </w:r>
    </w:p>
    <w:p w:rsidR="00667BC9" w:rsidRPr="003A38BA" w:rsidRDefault="00667BC9" w:rsidP="007C21AF">
      <w:pPr>
        <w:ind w:left="0" w:firstLine="0"/>
        <w:jc w:val="both"/>
      </w:pPr>
      <w:r>
        <w:t xml:space="preserve">Σύμφωνα με τους TL M ισχύουν οι παρακάτω απαιτήσεις: </w:t>
      </w:r>
    </w:p>
    <w:p w:rsidR="00536458" w:rsidRPr="003A38BA" w:rsidRDefault="00536458" w:rsidP="007C21AF">
      <w:pPr>
        <w:ind w:left="0" w:firstLine="0"/>
        <w:jc w:val="both"/>
      </w:pPr>
      <w:r>
        <w:t xml:space="preserve">Τα υλικά οριζόντιας σήμανσης μπορούν να περιλαμβάνουν πτητικούς οργανικούς διαλύτες έως 25 τοις εκατό κατά βάρος. </w:t>
      </w:r>
    </w:p>
    <w:p w:rsidR="00536458" w:rsidRPr="003A38BA" w:rsidRDefault="00536458" w:rsidP="007C21AF">
      <w:pPr>
        <w:ind w:left="0" w:firstLine="0"/>
        <w:jc w:val="both"/>
      </w:pPr>
      <w:r>
        <w:t>Οι διαλύτες που κατατάσσονται ως τοξικοί (οξεία τοξικότητα κατηγορία 1, 2 ή 3) ή επικίνδυνοι στο Παγκόσμια Εναρμονισμένο Σύστημα Ταξινόμησης και Επισήμανσης των Χημικών Ουσιών (GHS) (μεταλλαξιγόνοι, καρκινογόνοι, οξείας τοξικότητας, τοξικοί για την αναπαραγωγή, τοξικοί για τον οργανισμό, κατηγορία 1, 1Α ή 1Β) μπορούν να περιέχονται σε συνολικά ποσοστά &lt; 0,1 κατά βάρος.</w:t>
      </w:r>
    </w:p>
    <w:p w:rsidR="00536458" w:rsidRPr="003A38BA" w:rsidRDefault="00536458" w:rsidP="007C21AF">
      <w:pPr>
        <w:ind w:left="0" w:firstLine="0"/>
        <w:jc w:val="both"/>
      </w:pPr>
      <w:r>
        <w:t>Τα ποσοστά των διαλυτών που κατατάσσονται ως επιβλαβείς για την υγεία (οξείας τοξικότητας κατηγορία 4 ή επικίνδυνοι κατηγορία 2: μεταλλαξιγόνοι, καρκινογόνοι, οξείας τοξικότητας, τοξικοί για την αναπαραγωγή, τοξικοί για τον οργανισμό), δεν πρέπει να υπερβαίνουν συνολικά το 1,0 τοις εκατό κατά βάρος. Αυτό ισχύει ανεξάρτητα από το κατά πόσο οι εν λόγω ουσίες υπάρχουν ως πρόσμειξη ή πρόσθετο.</w:t>
      </w:r>
    </w:p>
    <w:p w:rsidR="00536458" w:rsidRPr="003A38BA" w:rsidRDefault="00536458" w:rsidP="007C21AF">
      <w:pPr>
        <w:pStyle w:val="Heading1"/>
        <w:numPr>
          <w:ilvl w:val="2"/>
          <w:numId w:val="5"/>
        </w:numPr>
        <w:ind w:left="1440" w:hanging="872"/>
        <w:jc w:val="both"/>
        <w:rPr>
          <w:sz w:val="24"/>
          <w:szCs w:val="24"/>
        </w:rPr>
      </w:pPr>
      <w:bookmarkStart w:id="101" w:name="_Toc84303246"/>
      <w:bookmarkStart w:id="102" w:name="_Toc86465563"/>
      <w:bookmarkStart w:id="103" w:name="_Toc115598054"/>
      <w:bookmarkStart w:id="104" w:name="_Toc150174578"/>
      <w:bookmarkStart w:id="105" w:name="_Toc273346567"/>
      <w:bookmarkStart w:id="106" w:name="_Toc353893704"/>
      <w:bookmarkStart w:id="107" w:name="_Toc2194183"/>
      <w:bookmarkStart w:id="108" w:name="_Toc12476456"/>
      <w:r>
        <w:rPr>
          <w:sz w:val="24"/>
        </w:rPr>
        <w:lastRenderedPageBreak/>
        <w:t>Προσδιορισμός της περιεκτικότητας σε διοξείδιο του τιτανίου στα ανόργανα υπολείμματα</w:t>
      </w:r>
      <w:bookmarkEnd w:id="101"/>
      <w:bookmarkEnd w:id="102"/>
      <w:bookmarkEnd w:id="103"/>
      <w:bookmarkEnd w:id="104"/>
      <w:bookmarkEnd w:id="105"/>
      <w:bookmarkEnd w:id="106"/>
      <w:bookmarkEnd w:id="107"/>
      <w:bookmarkEnd w:id="108"/>
    </w:p>
    <w:p w:rsidR="00536458" w:rsidRPr="003A38BA" w:rsidRDefault="00536458" w:rsidP="007C21AF">
      <w:pPr>
        <w:ind w:left="0" w:firstLine="0"/>
        <w:jc w:val="both"/>
      </w:pPr>
      <w:r>
        <w:t xml:space="preserve">Η περιεκτικότητα σε διοξείδιο του τιτανίου προσδιορίζεται από το ανόργανο κατάλοιπο το οποίο λαμβάνεται μετά την αποτέφρωση των υλικών οριζόντιας σήμανσης στους 450°C. </w:t>
      </w:r>
    </w:p>
    <w:p w:rsidR="00DF4A21" w:rsidRPr="003A38BA" w:rsidRDefault="00536458" w:rsidP="007C21AF">
      <w:pPr>
        <w:ind w:left="0" w:firstLine="0"/>
        <w:jc w:val="both"/>
      </w:pPr>
      <w:r>
        <w:t xml:space="preserve">Ο προσδιορισμός πραγματοποιείται, κατά κύριο λόγο, σύμφωνα με τη μέθοδο που περιγράφεται στο DIN EN 12802. Μετά την αποσύνθεση του υλικού του δείγματος σε συγκεντρωμένο θειικό οξύ και μείωση με αλουμίνιο, πραγματοποιούνται οξειδοαναγωγικές ογκομετρήσεις με θειικό σιδηροαμμώνιο. Αντί της οπτικής ανίχνευσης τελικού σημείου χρησιμοποιείται η ποτενσιομετρική ανίχνευση του τελικού σημείου. </w:t>
      </w:r>
    </w:p>
    <w:p w:rsidR="00536458" w:rsidRPr="003A38BA" w:rsidRDefault="00536458" w:rsidP="007C21AF">
      <w:pPr>
        <w:pStyle w:val="Heading1"/>
        <w:numPr>
          <w:ilvl w:val="2"/>
          <w:numId w:val="5"/>
        </w:numPr>
        <w:ind w:left="1440" w:hanging="872"/>
        <w:jc w:val="both"/>
        <w:rPr>
          <w:sz w:val="24"/>
          <w:szCs w:val="24"/>
        </w:rPr>
      </w:pPr>
      <w:bookmarkStart w:id="109" w:name="_Toc84303247"/>
      <w:bookmarkStart w:id="110" w:name="_Toc86465564"/>
      <w:bookmarkStart w:id="111" w:name="_Toc115598055"/>
      <w:bookmarkStart w:id="112" w:name="_Toc273346568"/>
      <w:bookmarkStart w:id="113" w:name="_Toc353893705"/>
      <w:bookmarkStart w:id="114" w:name="_Toc2194184"/>
      <w:bookmarkStart w:id="115" w:name="_Toc12476457"/>
      <w:r>
        <w:rPr>
          <w:sz w:val="24"/>
        </w:rPr>
        <w:t>Προσδιορισμός ποσοστών των υλικών προανάμιξης</w:t>
      </w:r>
      <w:bookmarkEnd w:id="109"/>
      <w:bookmarkEnd w:id="110"/>
      <w:bookmarkEnd w:id="111"/>
      <w:bookmarkEnd w:id="112"/>
      <w:bookmarkEnd w:id="113"/>
      <w:bookmarkEnd w:id="114"/>
      <w:bookmarkEnd w:id="115"/>
    </w:p>
    <w:p w:rsidR="00536458" w:rsidRPr="003A38BA" w:rsidRDefault="00536458" w:rsidP="007C21AF">
      <w:pPr>
        <w:spacing w:after="120"/>
        <w:ind w:left="0" w:firstLine="0"/>
        <w:jc w:val="both"/>
      </w:pPr>
      <w:r>
        <w:t>Αν τα χρησιμοποιούμενα υλικά οριζόντιας σήμανσης περιέχουν υλικά προανάμιξης (ανακλαστικά σφαιρίδια και/ή αντıολıσθητıκά αδρανή), οι αναλογίες τους υπολογίζονται, κατά κύριο λόγο, σύμφωνα με το DIN EN 12802 ως εξής:</w:t>
      </w:r>
    </w:p>
    <w:p w:rsidR="00536458" w:rsidRPr="003A38BA" w:rsidRDefault="00536458" w:rsidP="007C21AF">
      <w:pPr>
        <w:ind w:left="0" w:firstLine="0"/>
        <w:jc w:val="both"/>
      </w:pPr>
      <w:r>
        <w:t>Ένα δείγμα 15-20 g του ομογενοποιημένου υλικού οριζόντιας σήμανσης υποβάλλεται σε θερμική επεξεργασία στους 450°C σε μουφλοκάμινο. Οι εναπομείνασες ανόργανες ουσίες κοσκινίζονται με κόσκινο 90 µm. Το πέρασμα από το κόσκινο χρησιμοποιείται για ανάλυση υπέρυθρης φασματοσκοπίας των πληρωτικών υλικών και χρωστικών. Στη συνέχεια τα υπολείμματα από το κόσκινο καθαρίζονται με υγρασία μέχρι να απαλλαγούν από χρωστικές και πληρωτικές ουσίες. Συμπληρωματικά για τον διαχωρισμό μπορεί να βοηθήσει ένα λουτρό υπερήχων και αραιωμένο οξικό οξύ. Το κατάλοιπο αποξηραίνεται στον κλίβανο περίπου στους 150°C και ξαναζυγίζεται.</w:t>
      </w:r>
    </w:p>
    <w:p w:rsidR="00536458" w:rsidRPr="003A38BA" w:rsidRDefault="00536458" w:rsidP="007C21AF">
      <w:pPr>
        <w:pStyle w:val="Heading1"/>
        <w:numPr>
          <w:ilvl w:val="2"/>
          <w:numId w:val="5"/>
        </w:numPr>
        <w:ind w:left="1440" w:hanging="872"/>
        <w:jc w:val="both"/>
        <w:rPr>
          <w:sz w:val="24"/>
          <w:szCs w:val="24"/>
        </w:rPr>
      </w:pPr>
      <w:bookmarkStart w:id="116" w:name="_Toc273346569"/>
      <w:bookmarkStart w:id="117" w:name="_Toc353893706"/>
      <w:bookmarkStart w:id="118" w:name="_Toc2194185"/>
      <w:bookmarkStart w:id="119" w:name="_Toc12476458"/>
      <w:r>
        <w:rPr>
          <w:sz w:val="24"/>
        </w:rPr>
        <w:t>Προσδιορισμός του σημείου μάλθωσης κατά Wilhelmi</w:t>
      </w:r>
      <w:bookmarkEnd w:id="116"/>
      <w:bookmarkEnd w:id="117"/>
      <w:bookmarkEnd w:id="118"/>
      <w:bookmarkEnd w:id="119"/>
    </w:p>
    <w:p w:rsidR="00536458" w:rsidRPr="003A38BA" w:rsidRDefault="00536458" w:rsidP="007C21AF">
      <w:pPr>
        <w:ind w:left="0" w:firstLine="0"/>
        <w:jc w:val="both"/>
      </w:pPr>
      <w:r>
        <w:t xml:space="preserve">Θερμοπλαστικά υλικά οριζόντιας σήμανσης σε θερινές θερμοκρασίες πρέπει να παρουσιάζουν επαρκώς σταθερές διαστάσεις. Διαφορετικά, τα ανακλαστικά σφαιρίδια και τα αντıολıσθητıκά αδρανή που ενσωματώθηκαν στην επιφάνεια του συστήματος οριζόντιας σήμανσης ωθούνται προς τα μέσα με τη διέλευση των ελαστικών οχημάτων και επηρεάζεται η λειτουργία τους. Για τον ορισμό της σταθερότητας των διαστάσεων ελέγχεται το σημείο μάλθωσης σύμφωνα με το DIN EN 1871, παράρτημα ΣΤ («Wilhelmi test»). Πρέπει να επιτευχθεί τουλάχιστον η κλάση SP2 (80°C). </w:t>
      </w:r>
    </w:p>
    <w:p w:rsidR="00E35384" w:rsidRPr="003A38BA" w:rsidRDefault="007A6695" w:rsidP="007C21AF">
      <w:pPr>
        <w:pStyle w:val="Heading1"/>
        <w:numPr>
          <w:ilvl w:val="2"/>
          <w:numId w:val="5"/>
        </w:numPr>
        <w:ind w:left="1440" w:hanging="872"/>
        <w:jc w:val="both"/>
        <w:rPr>
          <w:sz w:val="24"/>
          <w:szCs w:val="24"/>
        </w:rPr>
      </w:pPr>
      <w:bookmarkStart w:id="120" w:name="_Toc2194186"/>
      <w:bookmarkStart w:id="121" w:name="_Toc12476459"/>
      <w:r>
        <w:rPr>
          <w:sz w:val="24"/>
        </w:rPr>
        <w:t>Ικανότητα διείσδυσης</w:t>
      </w:r>
      <w:bookmarkEnd w:id="120"/>
      <w:bookmarkEnd w:id="121"/>
    </w:p>
    <w:p w:rsidR="00E35384" w:rsidRPr="003A38BA" w:rsidRDefault="000B2B83" w:rsidP="0023536B">
      <w:pPr>
        <w:ind w:left="0" w:firstLine="0"/>
        <w:jc w:val="both"/>
      </w:pPr>
      <w:r>
        <w:t xml:space="preserve">Το βάθος διείσδυσης σε μια ορισμένη θερμοκρασία είναι ένας ευαίσθητος δείκτης των μεταβολών της σύνθεσης θερμοπλαστικών υλικών οριζόντιας σήμανσης. Η θερμοκρασία δοκιμής πρέπει να υπολογίζεται ανάλογα με τη σκληρότητα του θερμοπλαστικού υλικού. Η διαδικασία περιγράφεται στο πρότυπο DIN EN 1871. </w:t>
      </w:r>
    </w:p>
    <w:p w:rsidR="00536458" w:rsidRPr="003A38BA" w:rsidRDefault="00536458" w:rsidP="007C21AF">
      <w:pPr>
        <w:pStyle w:val="Heading1"/>
        <w:numPr>
          <w:ilvl w:val="2"/>
          <w:numId w:val="5"/>
        </w:numPr>
        <w:ind w:left="1440" w:hanging="872"/>
        <w:jc w:val="both"/>
        <w:rPr>
          <w:sz w:val="24"/>
          <w:szCs w:val="24"/>
        </w:rPr>
      </w:pPr>
      <w:bookmarkStart w:id="122" w:name="_Toc150173025"/>
      <w:bookmarkStart w:id="123" w:name="_Toc150174586"/>
      <w:bookmarkStart w:id="124" w:name="_Toc273346570"/>
      <w:bookmarkStart w:id="125" w:name="_Toc353893707"/>
      <w:bookmarkStart w:id="126" w:name="_Toc2194187"/>
      <w:bookmarkStart w:id="127" w:name="_Toc12476460"/>
      <w:r>
        <w:rPr>
          <w:sz w:val="24"/>
        </w:rPr>
        <w:t>Δοκιμή για την ύπαρξη μολύβδου και καδμίου</w:t>
      </w:r>
      <w:bookmarkEnd w:id="122"/>
      <w:bookmarkEnd w:id="123"/>
      <w:r>
        <w:rPr>
          <w:sz w:val="24"/>
        </w:rPr>
        <w:t xml:space="preserve"> σε προσωρινά συστήματα οριζόντιας σήμανσης</w:t>
      </w:r>
      <w:bookmarkEnd w:id="124"/>
      <w:bookmarkEnd w:id="125"/>
      <w:bookmarkEnd w:id="126"/>
      <w:bookmarkEnd w:id="127"/>
    </w:p>
    <w:p w:rsidR="00536458" w:rsidRPr="003A38BA" w:rsidRDefault="00536458" w:rsidP="007C21AF">
      <w:pPr>
        <w:spacing w:after="120"/>
        <w:ind w:left="0" w:firstLine="0"/>
        <w:jc w:val="both"/>
      </w:pPr>
      <w:r>
        <w:t xml:space="preserve">Τα υλικά οριζόντιας σήμανσης και τα ενσωματούμενα υλικά δεν επιτρέπεται να περιέχουν εκχυλίσιμες αναλογίες των βαρέων μετάλλων μόλυβδος, κάδμιο ή αντιμόνιο. Η προετοιμασία του δείγματος πραγματοποιείται, κατά κύριο λόγο, σύμφωνα με τις Γερμανικές Βασικές Διεργασίες Εξέτασης του νερού, των λυμάτων και της ιλύος, τμήμα S4 (DEV-S4). Η εν λόγω δοκιμή διενεργείται, συμπληρωματικά με τη μέθοδο του DIN EN 1790, ως εξής: </w:t>
      </w:r>
    </w:p>
    <w:p w:rsidR="00536458" w:rsidRPr="003A38BA" w:rsidRDefault="00536458" w:rsidP="007C21AF">
      <w:pPr>
        <w:ind w:left="0" w:firstLine="0"/>
        <w:jc w:val="both"/>
      </w:pPr>
      <w:r>
        <w:t>Δύο δείγματα υμένα μεγέθους περίπου 5 x 5 cm ζυγίζονται και στη συνέχεια καίγονται στους 450°C. Το κατάλοιπο σφραγίζεται και προσδιορίζονται τα βαρέα μέταλλα σύμφωνα με το ISO 11466 και τον ICP-OES ή AAS.</w:t>
      </w:r>
    </w:p>
    <w:p w:rsidR="00536458" w:rsidRPr="003A38BA" w:rsidRDefault="00536458" w:rsidP="007C21AF">
      <w:pPr>
        <w:pStyle w:val="Heading1"/>
        <w:numPr>
          <w:ilvl w:val="1"/>
          <w:numId w:val="5"/>
        </w:numPr>
        <w:jc w:val="both"/>
        <w:rPr>
          <w:sz w:val="24"/>
          <w:szCs w:val="24"/>
        </w:rPr>
      </w:pPr>
      <w:bookmarkStart w:id="128" w:name="_Urmusterprüfung_bei_Markierungsfolien"/>
      <w:bookmarkStart w:id="129" w:name="_Toc150173023"/>
      <w:bookmarkStart w:id="130" w:name="_Toc150174579"/>
      <w:bookmarkStart w:id="131" w:name="_Toc273346571"/>
      <w:bookmarkStart w:id="132" w:name="_Toc353893708"/>
      <w:bookmarkStart w:id="133" w:name="_Toc2194188"/>
      <w:bookmarkStart w:id="134" w:name="_Toc12476461"/>
      <w:bookmarkEnd w:id="128"/>
      <w:r>
        <w:rPr>
          <w:sz w:val="24"/>
        </w:rPr>
        <w:lastRenderedPageBreak/>
        <w:t>Δοκιμή των πρωτοτύπων των υμένων οριζόντιας σήμανσης (διαδικασία ταυτοποίησης)</w:t>
      </w:r>
      <w:bookmarkEnd w:id="129"/>
      <w:bookmarkEnd w:id="130"/>
      <w:bookmarkEnd w:id="131"/>
      <w:bookmarkEnd w:id="132"/>
      <w:bookmarkEnd w:id="133"/>
      <w:bookmarkEnd w:id="134"/>
    </w:p>
    <w:p w:rsidR="00536458" w:rsidRPr="003A38BA" w:rsidRDefault="00536458" w:rsidP="007C21AF">
      <w:pPr>
        <w:ind w:left="0" w:firstLine="0"/>
        <w:jc w:val="both"/>
      </w:pPr>
      <w:r>
        <w:t>Η διαδικασία δοκιμής των πρωτοτύπων των υμένων οριζόντιας σήμανσης οδών περιγράφεται στο πρότυπο DIN EN 1790. Παρακάτω περιγράφονται συμπληρωματικές ή αποκλίνουσες διατάξεις.</w:t>
      </w:r>
    </w:p>
    <w:p w:rsidR="00536458" w:rsidRPr="003A38BA" w:rsidRDefault="00536458" w:rsidP="007C21AF">
      <w:pPr>
        <w:pStyle w:val="Heading1"/>
        <w:numPr>
          <w:ilvl w:val="2"/>
          <w:numId w:val="5"/>
        </w:numPr>
        <w:ind w:left="1440" w:hanging="720"/>
        <w:jc w:val="both"/>
        <w:rPr>
          <w:sz w:val="24"/>
          <w:szCs w:val="24"/>
        </w:rPr>
      </w:pPr>
      <w:bookmarkStart w:id="135" w:name="_Toc150174580"/>
      <w:bookmarkStart w:id="136" w:name="_Toc273346572"/>
      <w:bookmarkStart w:id="137" w:name="_Toc353893709"/>
      <w:bookmarkStart w:id="138" w:name="_Toc2194189"/>
      <w:bookmarkStart w:id="139" w:name="_Toc12476462"/>
      <w:r>
        <w:rPr>
          <w:sz w:val="24"/>
        </w:rPr>
        <w:t>Δείγματα αναφοράς των υμένων</w:t>
      </w:r>
      <w:bookmarkEnd w:id="135"/>
      <w:bookmarkEnd w:id="136"/>
      <w:bookmarkEnd w:id="137"/>
      <w:bookmarkEnd w:id="138"/>
      <w:bookmarkEnd w:id="139"/>
    </w:p>
    <w:p w:rsidR="00536458" w:rsidRPr="003A38BA" w:rsidRDefault="00536458" w:rsidP="007C21AF">
      <w:pPr>
        <w:ind w:left="0" w:firstLine="0"/>
        <w:jc w:val="both"/>
      </w:pPr>
      <w:r>
        <w:t>Διατηρούνται δείγματα των υμένων που εξετάστηκαν στο πλαίσιο της δοκιμής καταλληλότητας. Τα δείγματα αναφοράς έχουν μήκος περίπου 1 m και αποθηκεύονται σε ψυχρό και σκοτεινό μέρος.</w:t>
      </w:r>
    </w:p>
    <w:p w:rsidR="00536458" w:rsidRPr="003A38BA" w:rsidRDefault="00536458" w:rsidP="007C21AF">
      <w:pPr>
        <w:pStyle w:val="Heading1"/>
        <w:numPr>
          <w:ilvl w:val="2"/>
          <w:numId w:val="5"/>
        </w:numPr>
        <w:ind w:left="1440" w:hanging="720"/>
        <w:jc w:val="both"/>
        <w:rPr>
          <w:sz w:val="24"/>
          <w:szCs w:val="24"/>
        </w:rPr>
      </w:pPr>
      <w:bookmarkStart w:id="140" w:name="_Toc273346573"/>
      <w:bookmarkStart w:id="141" w:name="_Toc353893710"/>
      <w:bookmarkStart w:id="142" w:name="_Toc2194190"/>
      <w:bookmarkStart w:id="143" w:name="_Toc12476463"/>
      <w:r>
        <w:rPr>
          <w:sz w:val="24"/>
        </w:rPr>
        <w:t>Ανάλυση εικόνας των υμένων οριζόντιας σήμανσης οδών</w:t>
      </w:r>
      <w:bookmarkEnd w:id="140"/>
      <w:bookmarkEnd w:id="141"/>
      <w:bookmarkEnd w:id="142"/>
      <w:bookmarkEnd w:id="143"/>
    </w:p>
    <w:p w:rsidR="00536458" w:rsidRPr="003A38BA" w:rsidRDefault="00536458" w:rsidP="007C21AF">
      <w:pPr>
        <w:ind w:left="0" w:firstLine="0"/>
        <w:jc w:val="both"/>
      </w:pPr>
      <w:r>
        <w:t>Συμπληρωματικά με τη διαδικασία του DIN EN 1790, παράγονται μακροσκοπικές και μικροσκοπικές φωτογραφίες του υμένα οριζόντιας σήμανσης οδών. Για να καταστεί δυνατή η αντικειμενική σύγκριση μεγεθών μικροσκοπικών λήψεων χρησιμοποιείται μια κλίμακα.</w:t>
      </w:r>
    </w:p>
    <w:p w:rsidR="00536458" w:rsidRPr="003A38BA" w:rsidRDefault="00536458" w:rsidP="007C21AF">
      <w:pPr>
        <w:pStyle w:val="Heading1"/>
        <w:numPr>
          <w:ilvl w:val="2"/>
          <w:numId w:val="5"/>
        </w:numPr>
        <w:ind w:left="1440" w:hanging="720"/>
        <w:jc w:val="both"/>
        <w:rPr>
          <w:sz w:val="24"/>
          <w:szCs w:val="24"/>
        </w:rPr>
      </w:pPr>
      <w:bookmarkStart w:id="144" w:name="_Thermogrammetrische_Analyse_von"/>
      <w:bookmarkStart w:id="145" w:name="_Toc84303250"/>
      <w:bookmarkStart w:id="146" w:name="_Toc86465567"/>
      <w:bookmarkStart w:id="147" w:name="_Toc115598058"/>
      <w:bookmarkStart w:id="148" w:name="_Toc150174581"/>
      <w:bookmarkStart w:id="149" w:name="_Toc273346574"/>
      <w:bookmarkStart w:id="150" w:name="_Toc353893711"/>
      <w:bookmarkStart w:id="151" w:name="_Toc2194191"/>
      <w:bookmarkStart w:id="152" w:name="_Toc12476464"/>
      <w:bookmarkStart w:id="153" w:name="_Toc84303249"/>
      <w:bookmarkStart w:id="154" w:name="_Toc86465566"/>
      <w:bookmarkStart w:id="155" w:name="_Toc115598057"/>
      <w:bookmarkEnd w:id="144"/>
      <w:r>
        <w:rPr>
          <w:sz w:val="24"/>
        </w:rPr>
        <w:t>Θερμοσταθμική ανάλυση υμένων οριζόντιας σήμανση</w:t>
      </w:r>
      <w:bookmarkEnd w:id="145"/>
      <w:bookmarkEnd w:id="146"/>
      <w:bookmarkEnd w:id="147"/>
      <w:r>
        <w:rPr>
          <w:sz w:val="24"/>
        </w:rPr>
        <w:t>ς</w:t>
      </w:r>
      <w:bookmarkEnd w:id="148"/>
      <w:bookmarkEnd w:id="149"/>
      <w:bookmarkEnd w:id="150"/>
      <w:bookmarkEnd w:id="151"/>
      <w:bookmarkEnd w:id="152"/>
    </w:p>
    <w:p w:rsidR="00536458" w:rsidRPr="003A38BA" w:rsidRDefault="00536458" w:rsidP="007C21AF">
      <w:pPr>
        <w:ind w:left="0" w:firstLine="0"/>
        <w:jc w:val="both"/>
      </w:pPr>
      <w:r>
        <w:t>Οι υμένες οριζόντιας σήμανσης αποτελούνται συνήθως από πολλά διαφορετικά συστατικά που μπορούν να διαχωριστούν μεταξύ τους με μεγάλο κόστος. Επομένως, δεν είναι εύλογη η πλήρης χημική ανάλυση των επιμέρους συστατικών. Η θερμοσταθμική ανάλυση σύμφωνα με το DIN EN 1790 προσφέρει ωστόσο τη δυνατότητα χαρακτηρισμού της σύνθεσης με απλό τρόπο. Αντιπροσωπευτικά δείγματα του υμένα διαχωρίζονται από τον υμένα με διατρητικό μηχάνημα. Για μορφοποιημένους υμένες, λαμβάνονται δείγματα από τον χώρο ανάμεσα στις διατομές και τις διατομές, και τα αποτελέσματα της θερμογραφίας στη συνέχεια υπολογίζονται κατά μέσον όρο.</w:t>
      </w:r>
    </w:p>
    <w:p w:rsidR="00536458" w:rsidRPr="003A38BA" w:rsidRDefault="00FA1D3F" w:rsidP="007C21AF">
      <w:pPr>
        <w:ind w:left="0" w:firstLine="0"/>
        <w:jc w:val="both"/>
      </w:pPr>
      <w:r>
        <w:t>Τα δείγματα διατομής θερμαίνονται σε μια θερμαντική συσκευή σε θερμοκρασία δωματίου με ρυθμό 10 °C/min μέχρι τη θερμοκρασία των 500°C σε ατμόσφαιρα αζώτου. Στη συνέχεια για 15 λεπτά διατηρείται σταθερή η θερμοκρασία 500°C και ακολουθεί ανόπτηση με ρυθμό 10°C/min σε συνθετικό αέρα έως 1000°C. Λόγω της εξάτμισης πτητικών συστατικών και της θερμικής ή οξειδωτικής αποσύνθεσης οργανικών περιεχομένων, η μάζα του δείγματος μειώνεται με συγκεκριμένο τρόπο. Η μάζα του δείγματος μετριέται σε συνάρτηση με την εκάστοτε θερμοκρασία. Λαμβάνεται ένα θερμόγραμμα που είναι χαρακτηριστικό του δείγματος.</w:t>
      </w:r>
    </w:p>
    <w:p w:rsidR="00536458" w:rsidRPr="003A38BA" w:rsidRDefault="00536458" w:rsidP="007C21AF">
      <w:pPr>
        <w:pStyle w:val="Heading1"/>
        <w:numPr>
          <w:ilvl w:val="2"/>
          <w:numId w:val="5"/>
        </w:numPr>
        <w:ind w:left="1440" w:hanging="720"/>
        <w:jc w:val="both"/>
        <w:rPr>
          <w:sz w:val="24"/>
          <w:szCs w:val="24"/>
        </w:rPr>
      </w:pPr>
      <w:bookmarkStart w:id="156" w:name="_Toc150174582"/>
      <w:bookmarkStart w:id="157" w:name="_Toc273346575"/>
      <w:bookmarkStart w:id="158" w:name="_Toc353893712"/>
      <w:bookmarkStart w:id="159" w:name="_Toc2194192"/>
      <w:bookmarkStart w:id="160" w:name="_Toc12476465"/>
      <w:r>
        <w:rPr>
          <w:sz w:val="24"/>
        </w:rPr>
        <w:t>Ανάλυση της συγκολλητικής στρώσης των υμένων</w:t>
      </w:r>
      <w:bookmarkEnd w:id="153"/>
      <w:bookmarkEnd w:id="154"/>
      <w:bookmarkEnd w:id="155"/>
      <w:bookmarkEnd w:id="156"/>
      <w:bookmarkEnd w:id="157"/>
      <w:bookmarkEnd w:id="158"/>
      <w:bookmarkEnd w:id="159"/>
      <w:bookmarkEnd w:id="160"/>
    </w:p>
    <w:p w:rsidR="00536458" w:rsidRPr="003A38BA" w:rsidRDefault="00536458" w:rsidP="007C21AF">
      <w:pPr>
        <w:ind w:left="0" w:firstLine="0"/>
        <w:jc w:val="both"/>
      </w:pPr>
      <w:r>
        <w:t>Για την ανάλυση της συγκολλητικής στρώσης σύμφωνα με το DIN EN 1790 καταγράφεται ένα υπέρυθρο φάσμα στην περιοχή 600 – 4000 cm</w:t>
      </w:r>
      <w:r>
        <w:rPr>
          <w:vertAlign w:val="superscript"/>
        </w:rPr>
        <w:t>–1</w:t>
      </w:r>
      <w:r>
        <w:t xml:space="preserve">. Λόγω της απλής προετοιμασίας του δείγματος χρησιμοποιείται η τεχνική ATR (attenuated total reflection). </w:t>
      </w:r>
    </w:p>
    <w:p w:rsidR="009700EB" w:rsidRPr="003A38BA" w:rsidRDefault="00BB5DDD" w:rsidP="007C21AF">
      <w:pPr>
        <w:pStyle w:val="Heading1"/>
        <w:numPr>
          <w:ilvl w:val="2"/>
          <w:numId w:val="5"/>
        </w:numPr>
        <w:ind w:left="1440" w:hanging="720"/>
        <w:jc w:val="both"/>
        <w:rPr>
          <w:sz w:val="24"/>
          <w:szCs w:val="24"/>
        </w:rPr>
      </w:pPr>
      <w:bookmarkStart w:id="161" w:name="_Toc2194193"/>
      <w:bookmarkStart w:id="162" w:name="_Toc12476466"/>
      <w:r>
        <w:rPr>
          <w:sz w:val="24"/>
        </w:rPr>
        <w:t>Ανάλυση ασφαλτικών υποστρωμάτων</w:t>
      </w:r>
      <w:bookmarkEnd w:id="161"/>
      <w:bookmarkEnd w:id="162"/>
    </w:p>
    <w:p w:rsidR="009700EB" w:rsidRPr="003A38BA" w:rsidRDefault="00BB5DDD" w:rsidP="007C21AF">
      <w:pPr>
        <w:ind w:left="0" w:firstLine="0"/>
        <w:jc w:val="both"/>
      </w:pPr>
      <w:r>
        <w:t>Τα ασφαλτικά υποστρώματα και προεπαλείψεις χαρακτηρίζονται με τη χρήση φυσικών μεθόδων. Για τον σκοπό αυτό, καθορίζεται το σημείο μάλθωσης (σύμφωνα με το DIN EN 1427), η διείσδυση της βελόνας (σύμφωνα με το DIN EN 1426) και η ολκιμότητα (σύμφωνα με το πρότυπο EN 13589).</w:t>
      </w:r>
    </w:p>
    <w:p w:rsidR="00536458" w:rsidRPr="003A38BA" w:rsidRDefault="005F2E9C" w:rsidP="007C21AF">
      <w:pPr>
        <w:pStyle w:val="Heading1"/>
        <w:numPr>
          <w:ilvl w:val="1"/>
          <w:numId w:val="5"/>
        </w:numPr>
        <w:jc w:val="both"/>
        <w:rPr>
          <w:sz w:val="24"/>
          <w:szCs w:val="24"/>
        </w:rPr>
      </w:pPr>
      <w:bookmarkStart w:id="163" w:name="_Toc273346576"/>
      <w:bookmarkStart w:id="164" w:name="_Toc353893713"/>
      <w:bookmarkStart w:id="165" w:name="_Toc150173024"/>
      <w:bookmarkStart w:id="166" w:name="_Toc150174583"/>
      <w:bookmarkStart w:id="167" w:name="_Toc2194194"/>
      <w:bookmarkStart w:id="168" w:name="_Toc12476467"/>
      <w:bookmarkStart w:id="169" w:name="_Toc84303252"/>
      <w:bookmarkStart w:id="170" w:name="_Toc86465569"/>
      <w:bookmarkStart w:id="171" w:name="_Toc115598060"/>
      <w:bookmarkStart w:id="172" w:name="_Toc120375505"/>
      <w:r>
        <w:rPr>
          <w:sz w:val="24"/>
        </w:rPr>
        <w:lastRenderedPageBreak/>
        <w:t>Δοκιμή πρωτοτύπων των ενσωματούμενων υλικώ</w:t>
      </w:r>
      <w:bookmarkEnd w:id="163"/>
      <w:bookmarkEnd w:id="164"/>
      <w:r>
        <w:rPr>
          <w:sz w:val="24"/>
        </w:rPr>
        <w:t>ν</w:t>
      </w:r>
      <w:bookmarkEnd w:id="165"/>
      <w:bookmarkEnd w:id="166"/>
      <w:bookmarkEnd w:id="167"/>
      <w:bookmarkEnd w:id="168"/>
    </w:p>
    <w:p w:rsidR="00536458" w:rsidRPr="003A38BA" w:rsidRDefault="00536458" w:rsidP="007C21AF">
      <w:pPr>
        <w:pStyle w:val="Heading1"/>
        <w:numPr>
          <w:ilvl w:val="2"/>
          <w:numId w:val="5"/>
        </w:numPr>
        <w:ind w:left="1440" w:hanging="720"/>
        <w:jc w:val="both"/>
        <w:rPr>
          <w:sz w:val="24"/>
          <w:szCs w:val="24"/>
        </w:rPr>
      </w:pPr>
      <w:bookmarkStart w:id="173" w:name="_Toc273346577"/>
      <w:bookmarkStart w:id="174" w:name="_Toc353893714"/>
      <w:bookmarkStart w:id="175" w:name="_Toc2194195"/>
      <w:bookmarkStart w:id="176" w:name="_Toc12476468"/>
      <w:bookmarkStart w:id="177" w:name="_Toc150174584"/>
      <w:bookmarkEnd w:id="169"/>
      <w:bookmarkEnd w:id="170"/>
      <w:bookmarkEnd w:id="171"/>
      <w:bookmarkEnd w:id="172"/>
      <w:r>
        <w:rPr>
          <w:sz w:val="24"/>
        </w:rPr>
        <w:t>Ανάλυση των ανακλαστικών σφαιριδίων και των αντıολıσθητıκών αδρανών (συστήματα υλικών προανάμιξης και επίπασης)</w:t>
      </w:r>
      <w:bookmarkEnd w:id="173"/>
      <w:bookmarkEnd w:id="174"/>
      <w:bookmarkEnd w:id="175"/>
      <w:bookmarkEnd w:id="176"/>
    </w:p>
    <w:p w:rsidR="00536458" w:rsidRPr="003A38BA" w:rsidRDefault="00536458" w:rsidP="007C21AF">
      <w:pPr>
        <w:ind w:left="0" w:firstLine="0"/>
        <w:jc w:val="both"/>
      </w:pPr>
      <w:r>
        <w:t>Οι απαιτήσεις για τα ανακλαστικά σφαιρίδια και τα αντιολισθητικά αδρανή περιγράφονται στο DIN EN 1423 (υλικά επίπασης) και DIN EN 1424 (υλικά προανάμιξης)</w:t>
      </w:r>
      <w:r>
        <w:rPr>
          <w:rStyle w:val="FootnoteReference"/>
        </w:rPr>
        <w:footnoteReference w:id="4"/>
      </w:r>
      <w:r>
        <w:t xml:space="preserve">. Επιπλέον, οι απαιτήσεις του παραρτήματος Γ εφαρμόζονται για υλικά επίπασης ανεξάρτητα από το υλικό, και για υλικά προανάμιξης για θερμοπλαστικά. </w:t>
      </w:r>
    </w:p>
    <w:p w:rsidR="007B668F" w:rsidRPr="003A38BA" w:rsidRDefault="00536458" w:rsidP="007C21AF">
      <w:pPr>
        <w:ind w:left="0" w:firstLine="0"/>
        <w:jc w:val="both"/>
      </w:pPr>
      <w:r>
        <w:t>Για ένα μείγμα ανακλαστικών σφαιριδίων και αντıολıσθητıκών αδρανών η χρήση της ανάλυσης σωματιδίων που υποβοηθάται από βίντεο και της ψηφιακής μικροσκοπικής εξέτασης επιτρέπει τον προσδιορισμό και των δύο αναλογιών τους στο μείγμα και στην κοκκομετρική διαβάθμιση και τις παραμέτρους του σχήματος των κόκκων των επιμέρους κλασμάτων. Ο δείκτης διάθλασης προσδιορίζεται, εφόσον χρειάζεται, με κατάλληλα υγρά προσαρμογής κάτω από το ψηφιακό μικροσκόπιο. Για μείγματα από ανακλαστικά σφαιρίδια και αντıολıσθητıκά αδρανή πρέπει να δηλώνεται ξεχωριστά ο λόγος μάζας μεταξύ τους (m/m), η ταυτότητα και το ειδικό βάρος όλων των χρησιμοποιούμενων συστατικών και οι κοκκομετρικές καμπύλες των ανακλαστικών σφαιριδίων και των αντıολıσθητıκών αδρανών. Δεν επιτρέπεται η μεταβολή της ταυτότητας των συστατικών και του δείκτη διάθλασης ανακλαστικών σφαιριδίων. Επικαλύψεις βελτίωσης της πρόσφυσης και/ή αντιδραστικές επικαλύψεις πρέπει να δηλώνονται.</w:t>
      </w:r>
    </w:p>
    <w:p w:rsidR="00E35384" w:rsidRPr="003A38BA" w:rsidRDefault="00B533DC" w:rsidP="007C21AF">
      <w:pPr>
        <w:ind w:left="0" w:firstLine="0"/>
        <w:jc w:val="both"/>
      </w:pPr>
      <w:r>
        <w:t xml:space="preserve">Από ονομαστικό μέγεθος 0,300 mm δεν επιτρέπεται η υπέρβαση της αναλογίας μεγέθους δύο διαδοχικών κόσκινων της κοκκομετρικής καμπύλης. Η εν λόγω διάταξη ισχύει ξεχωριστά τόσο για τα ανακλαστικά σφαιρίδια όσο και για τα αντιολισθητικά αδρανή. </w:t>
      </w:r>
    </w:p>
    <w:p w:rsidR="00536458" w:rsidRPr="003A38BA" w:rsidRDefault="00536458" w:rsidP="007C21AF">
      <w:pPr>
        <w:pStyle w:val="Heading1"/>
        <w:numPr>
          <w:ilvl w:val="2"/>
          <w:numId w:val="5"/>
        </w:numPr>
        <w:ind w:left="1440" w:hanging="720"/>
        <w:jc w:val="both"/>
        <w:rPr>
          <w:sz w:val="24"/>
          <w:szCs w:val="24"/>
        </w:rPr>
      </w:pPr>
      <w:bookmarkStart w:id="178" w:name="_Toc273346578"/>
      <w:bookmarkStart w:id="179" w:name="_Toc353893715"/>
      <w:bookmarkStart w:id="180" w:name="_Toc2194196"/>
      <w:bookmarkStart w:id="181" w:name="_Toc12476469"/>
      <w:r>
        <w:rPr>
          <w:sz w:val="24"/>
        </w:rPr>
        <w:t>Ανάλυση της επίστρωσης ανακλαστικών σφαιριδίων και αντıολıσθητıκών αδρανών</w:t>
      </w:r>
      <w:bookmarkEnd w:id="178"/>
      <w:bookmarkEnd w:id="179"/>
      <w:bookmarkEnd w:id="180"/>
      <w:bookmarkEnd w:id="181"/>
    </w:p>
    <w:p w:rsidR="00536458" w:rsidRPr="003A38BA" w:rsidRDefault="00536458" w:rsidP="007C21AF">
      <w:pPr>
        <w:ind w:left="0" w:firstLine="0"/>
        <w:jc w:val="both"/>
      </w:pPr>
      <w:r>
        <w:t>Σημαντικές ιδιότητες των διαγραμμίσεων οδοστρωμάτων που αφορούν την κυκλοφορία επιτυγχάνονται από την ακέραιη και μόνιμη ενσωμάτωση υλικών επίπασης στην επιφάνεια των υλικών οριζόντιας σήμανσης. Για τη βελτίωση της πρόσφυσης υλικών επίπασης στο υλικό οριζόντιας σήμανσης επικαλύπτονται συχνά με σιλάνιο ή σιλοξάνιο. Τα εν λόγω υλικά συμβάλλουν στην αποτελεσματικότερη εμφύτευση στο συνδετικό υλικό του προϊόντος οριζόντιας σήμανσης. Η επιλογή του υλικού επικάλυψης που είναι κατάλληλο για την αντίστοιχο υλικό σήμανσης έχει καθοριστική σημασία, καθώς η ανθεκτικότητα της εμφύτευσης μπορεί να επηρεάσει τις τεχνικές ιδιότητες που αφορούν την κυκλοφορία και τις συναφείς τιμές μέτρησης. Η επιλογή γίνεται από τον κατασκευαστή των υλικών σε συνεννόηση με τον κατασκευαστή προϊόντων επίπαση. Στο πλαίσιο της εξέτασης πρωτοτύπου μπορεί να αποδεικνύεται το υλικό επικάλυψης.</w:t>
      </w:r>
    </w:p>
    <w:p w:rsidR="00536458" w:rsidRPr="003A38BA" w:rsidRDefault="00536458" w:rsidP="007C21AF">
      <w:pPr>
        <w:pStyle w:val="Heading1"/>
        <w:numPr>
          <w:ilvl w:val="2"/>
          <w:numId w:val="5"/>
        </w:numPr>
        <w:ind w:left="1440" w:hanging="720"/>
        <w:jc w:val="both"/>
        <w:rPr>
          <w:sz w:val="24"/>
          <w:szCs w:val="24"/>
        </w:rPr>
      </w:pPr>
      <w:bookmarkStart w:id="182" w:name="_Toc150174585"/>
      <w:bookmarkStart w:id="183" w:name="_Toc273346579"/>
      <w:bookmarkStart w:id="184" w:name="_Toc353893716"/>
      <w:bookmarkStart w:id="185" w:name="_Toc2194197"/>
      <w:bookmarkStart w:id="186" w:name="_Toc12476470"/>
      <w:bookmarkEnd w:id="177"/>
      <w:r>
        <w:rPr>
          <w:sz w:val="24"/>
        </w:rPr>
        <w:t>Ανάλυση των λοιπών ενσωματούμενων υλικών</w:t>
      </w:r>
      <w:bookmarkEnd w:id="182"/>
      <w:bookmarkEnd w:id="183"/>
      <w:bookmarkEnd w:id="184"/>
      <w:bookmarkEnd w:id="185"/>
      <w:bookmarkEnd w:id="186"/>
    </w:p>
    <w:p w:rsidR="00536458" w:rsidRPr="003A38BA" w:rsidRDefault="00536458" w:rsidP="007C21AF">
      <w:pPr>
        <w:ind w:left="0" w:firstLine="0"/>
        <w:jc w:val="both"/>
      </w:pPr>
      <w:r>
        <w:t>Αναλύονται τα ενσωματούμενα υλικά, όπως προεπάλειψη, υπόστρωμα, διαλύτες κ.ο.κ. όπως οι βαφές οριζόντιας σήμανσης. Επιτρέπονται αποκλίσεις μόνο σε δικαιολογημένες περιπτώσεις.</w:t>
      </w:r>
    </w:p>
    <w:p w:rsidR="00536458" w:rsidRPr="003A38BA" w:rsidRDefault="00536458" w:rsidP="007C21AF">
      <w:pPr>
        <w:ind w:left="0" w:firstLine="0"/>
        <w:jc w:val="both"/>
      </w:pPr>
      <w:r>
        <w:t>Τα σκληρυντικά μέσα (υγρά ή στερεά) αναλύονται με υπέρυθρο φασματοσκόπιο. Δεν πρέπει να εκτίθενται σε θερμικό φορτίο πριν την ανάλυση. Οι μέθοδοι δοκιμής αντιστοιχούν στις μεθόδους που περιγράφονται στο πρότυπο DIN EN 12802 για την εξέταση των συνδετικών μέσων.</w:t>
      </w:r>
    </w:p>
    <w:p w:rsidR="00E5609C" w:rsidRPr="003A38BA" w:rsidRDefault="00E5609C" w:rsidP="007C21AF">
      <w:pPr>
        <w:pStyle w:val="Heading1"/>
        <w:pageBreakBefore/>
        <w:ind w:left="0" w:firstLine="0"/>
        <w:jc w:val="both"/>
        <w:rPr>
          <w:sz w:val="24"/>
          <w:szCs w:val="24"/>
        </w:rPr>
      </w:pPr>
      <w:bookmarkStart w:id="187" w:name="_Anhang_2"/>
      <w:bookmarkStart w:id="188" w:name="_Toc2194198"/>
      <w:bookmarkStart w:id="189" w:name="_Toc12476471"/>
      <w:bookmarkEnd w:id="187"/>
      <w:r>
        <w:rPr>
          <w:sz w:val="24"/>
        </w:rPr>
        <w:lastRenderedPageBreak/>
        <w:t>Παράρτημα Α</w:t>
      </w:r>
      <w:bookmarkEnd w:id="188"/>
      <w:bookmarkEnd w:id="189"/>
    </w:p>
    <w:p w:rsidR="00E5609C" w:rsidRPr="003A38BA" w:rsidRDefault="003E1828" w:rsidP="007C21AF">
      <w:pPr>
        <w:jc w:val="both"/>
      </w:pPr>
      <w:r>
        <w:t>Πιστοποιητικό δοκιμής</w:t>
      </w:r>
    </w:p>
    <w:p w:rsidR="003916B9" w:rsidRDefault="003916B9" w:rsidP="00E5609C"/>
    <w:p w:rsidR="0040352A" w:rsidRPr="008766C3" w:rsidRDefault="0040352A" w:rsidP="0040352A">
      <w:pPr>
        <w:tabs>
          <w:tab w:val="left" w:leader="hyphen" w:pos="8789"/>
        </w:tabs>
        <w:spacing w:after="60"/>
        <w:ind w:left="4820" w:firstLine="1134"/>
        <w:jc w:val="right"/>
        <w:rPr>
          <w:rFonts w:cs="Calibri"/>
        </w:rPr>
      </w:pPr>
      <w:r>
        <w:rPr>
          <w:color w:val="000000"/>
        </w:rPr>
        <w:t>Διαπιστευμένο εργαστήριο δοκιμών για το πεδίο προϊόντων «Διαγραμμίσεις οδοστρωμάτων» Αριθ. διαπίστευσης</w:t>
      </w:r>
      <w:r>
        <w:tab/>
      </w:r>
    </w:p>
    <w:p w:rsidR="0040352A" w:rsidRPr="008766C3" w:rsidRDefault="0040352A" w:rsidP="0040352A">
      <w:pPr>
        <w:spacing w:after="60"/>
        <w:ind w:left="0" w:firstLine="0"/>
        <w:rPr>
          <w:rFonts w:eastAsia="Times New Roman" w:cs="Calibri"/>
        </w:rPr>
      </w:pPr>
      <w:r>
        <w:rPr>
          <w:b/>
          <w:color w:val="000000"/>
        </w:rPr>
        <w:t>Πιστοποιητικό ελέγχου ενός συστήματος σήμανσης στον προσομοιωτή φθοράς (RPA)</w:t>
      </w:r>
    </w:p>
    <w:p w:rsidR="0040352A" w:rsidRPr="008766C3" w:rsidRDefault="0040352A" w:rsidP="0040352A">
      <w:pPr>
        <w:tabs>
          <w:tab w:val="left" w:leader="underscore" w:pos="3119"/>
        </w:tabs>
        <w:spacing w:after="60"/>
        <w:ind w:left="0" w:firstLine="0"/>
        <w:rPr>
          <w:rFonts w:eastAsia="Times New Roman" w:cs="Calibri"/>
        </w:rPr>
      </w:pPr>
      <w:r>
        <w:rPr>
          <w:b/>
          <w:color w:val="000000"/>
        </w:rPr>
        <w:t>Αριθμός ελέγχου:</w:t>
      </w:r>
      <w:r>
        <w:tab/>
      </w:r>
    </w:p>
    <w:p w:rsidR="0040352A" w:rsidRPr="008766C3" w:rsidRDefault="0040352A" w:rsidP="0040352A">
      <w:pPr>
        <w:numPr>
          <w:ilvl w:val="0"/>
          <w:numId w:val="16"/>
        </w:numPr>
        <w:spacing w:after="60"/>
        <w:ind w:left="284" w:hanging="284"/>
        <w:rPr>
          <w:rFonts w:eastAsia="Times New Roman" w:cs="Calibri"/>
          <w:b/>
          <w:bCs/>
          <w:color w:val="000000"/>
        </w:rPr>
      </w:pPr>
      <w:r>
        <w:rPr>
          <w:b/>
          <w:color w:val="000000"/>
        </w:rPr>
        <w:t>Αίτηση</w:t>
      </w:r>
    </w:p>
    <w:p w:rsidR="0040352A" w:rsidRPr="008766C3" w:rsidRDefault="0040352A" w:rsidP="0040352A">
      <w:pPr>
        <w:tabs>
          <w:tab w:val="left" w:pos="1985"/>
          <w:tab w:val="left" w:leader="underscore" w:pos="3119"/>
        </w:tabs>
        <w:spacing w:after="60"/>
        <w:ind w:left="1985" w:hanging="1701"/>
        <w:rPr>
          <w:rFonts w:eastAsia="Times New Roman" w:cs="Calibri"/>
          <w:color w:val="000000"/>
        </w:rPr>
      </w:pPr>
      <w:r>
        <w:rPr>
          <w:color w:val="000000"/>
        </w:rPr>
        <w:t>Αιτούσα/αιτών:</w:t>
      </w:r>
      <w:r>
        <w:tab/>
      </w:r>
      <w:r>
        <w:tab/>
      </w:r>
    </w:p>
    <w:p w:rsidR="0040352A" w:rsidRPr="008766C3" w:rsidRDefault="0040352A" w:rsidP="0040352A">
      <w:pPr>
        <w:tabs>
          <w:tab w:val="left" w:pos="1985"/>
        </w:tabs>
        <w:spacing w:after="60"/>
        <w:ind w:left="1985" w:hanging="1701"/>
        <w:rPr>
          <w:rFonts w:eastAsia="Times New Roman" w:cs="Calibri"/>
          <w:color w:val="000000"/>
        </w:rPr>
      </w:pPr>
      <w:r>
        <w:rPr>
          <w:color w:val="000000"/>
        </w:rPr>
        <w:t>Θέμα της αίτησης:</w:t>
      </w:r>
      <w:r>
        <w:tab/>
      </w:r>
      <w:r>
        <w:rPr>
          <w:color w:val="000000"/>
        </w:rPr>
        <w:t>Δοκιμή της αντοχής σε φθορά και των τεχνικών ιδιοτήτων ενός συστήματος οριζόντιας σήμανσης όσον αφορά την κυκλοφορία βάσει των συνθηκών δοκιμής των TP M (έκδοση Φεβρουαρίου 2017) και του DIN EN 13 197 (έκδοση Ιουλίου 2014). Οι κλάσεις των τεχνικών ιδιοτήτων της κυκλοφορίας συμμορφώνονται με το DIN EN 1436 (έκδοση Ιανουαρίου 2009).</w:t>
      </w:r>
    </w:p>
    <w:p w:rsidR="0040352A" w:rsidRPr="008766C3" w:rsidRDefault="0040352A" w:rsidP="0040352A">
      <w:pPr>
        <w:numPr>
          <w:ilvl w:val="0"/>
          <w:numId w:val="16"/>
        </w:numPr>
        <w:spacing w:after="60"/>
        <w:ind w:left="284" w:hanging="284"/>
        <w:rPr>
          <w:rFonts w:eastAsia="Times New Roman" w:cs="Calibri"/>
          <w:b/>
          <w:bCs/>
          <w:color w:val="000000"/>
        </w:rPr>
      </w:pPr>
      <w:r>
        <w:rPr>
          <w:b/>
          <w:color w:val="000000"/>
        </w:rPr>
        <w:t>Αντικείμενο δοκιμής</w:t>
      </w:r>
    </w:p>
    <w:p w:rsidR="0040352A" w:rsidRPr="008766C3" w:rsidRDefault="0040352A" w:rsidP="0040352A">
      <w:pPr>
        <w:tabs>
          <w:tab w:val="left" w:pos="4111"/>
          <w:tab w:val="left" w:leader="underscore" w:pos="5954"/>
        </w:tabs>
        <w:spacing w:after="60"/>
        <w:ind w:left="567" w:hanging="567"/>
        <w:rPr>
          <w:rFonts w:eastAsia="Times New Roman" w:cs="Calibri"/>
          <w:b/>
          <w:bCs/>
          <w:color w:val="000000"/>
        </w:rPr>
      </w:pPr>
      <w:r>
        <w:rPr>
          <w:b/>
          <w:color w:val="000000"/>
        </w:rPr>
        <w:t>2.1</w:t>
      </w:r>
      <w:r>
        <w:tab/>
      </w:r>
      <w:r>
        <w:rPr>
          <w:b/>
          <w:color w:val="000000"/>
        </w:rPr>
        <w:t>Είδος του συστήματος οριζόντιας σήμανσης</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Περιγραφή συστήματος:</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Περιγραφή υλικών:</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Παρασκευαστής υλικών:</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Είδος υλικών:</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Θερμοκρασία επεξεργασίας (°C)/</w:t>
      </w:r>
      <w:r>
        <w:br/>
        <w:t>ενδεικτική αναλογία:</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πάχος στρώσης (pm)/ ποσότητα (kg/m</w:t>
      </w:r>
      <w:r>
        <w:rPr>
          <w:vertAlign w:val="superscript"/>
        </w:rPr>
        <w:t>2</w:t>
      </w:r>
      <w:r>
        <w:t>):</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Μέθοδος εφαρμογής:</w:t>
      </w:r>
      <w:r>
        <w:tab/>
      </w:r>
      <w:r>
        <w:tab/>
      </w:r>
    </w:p>
    <w:p w:rsidR="0040352A" w:rsidRPr="008766C3" w:rsidRDefault="0040352A" w:rsidP="0040352A">
      <w:pPr>
        <w:tabs>
          <w:tab w:val="left" w:pos="4111"/>
          <w:tab w:val="left" w:leader="underscore" w:pos="5954"/>
        </w:tabs>
        <w:spacing w:after="60"/>
        <w:ind w:left="567" w:hanging="567"/>
        <w:rPr>
          <w:rFonts w:eastAsia="Times New Roman" w:cs="Calibri"/>
          <w:b/>
          <w:bCs/>
          <w:color w:val="000000"/>
        </w:rPr>
      </w:pPr>
      <w:r>
        <w:rPr>
          <w:b/>
          <w:color w:val="000000"/>
        </w:rPr>
        <w:t>2.2</w:t>
      </w:r>
      <w:r>
        <w:tab/>
      </w:r>
      <w:r>
        <w:rPr>
          <w:b/>
          <w:color w:val="000000"/>
        </w:rPr>
        <w:t>Ενσωματούμενα υλικά επίπασης</w:t>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Ποσότητα ανακλαστικών σφαιριδίων, παρασκευαστής, περιγραφή:</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Αντιολισθητικά αδρανή:</w:t>
      </w:r>
      <w:r>
        <w:tab/>
      </w:r>
      <w:r>
        <w:tab/>
      </w:r>
      <w:r>
        <w:tab/>
      </w:r>
      <w:r>
        <w:rPr>
          <w:b/>
        </w:rPr>
        <w:t xml:space="preserve">περιλαμβάνονται ως μείγμα σε αναλογία στα </w:t>
      </w:r>
      <w:r>
        <w:rPr>
          <w:b/>
          <w:u w:val="single"/>
        </w:rPr>
        <w:t xml:space="preserve">       </w:t>
      </w:r>
      <w:r>
        <w:rPr>
          <w:b/>
        </w:rPr>
        <w:t xml:space="preserve"> ανακλαστικά σφαιρίδια</w:t>
      </w:r>
    </w:p>
    <w:p w:rsidR="0040352A" w:rsidRPr="008766C3" w:rsidRDefault="0040352A" w:rsidP="0040352A">
      <w:pPr>
        <w:tabs>
          <w:tab w:val="left" w:pos="4111"/>
          <w:tab w:val="left" w:leader="underscore" w:pos="5954"/>
        </w:tabs>
        <w:spacing w:after="60"/>
        <w:ind w:left="567" w:hanging="567"/>
        <w:rPr>
          <w:rFonts w:eastAsia="Times New Roman" w:cs="Calibri"/>
          <w:color w:val="000000"/>
        </w:rPr>
      </w:pPr>
      <w:r>
        <w:rPr>
          <w:rFonts w:hint="eastAsia"/>
          <w:color w:val="000000"/>
        </w:rPr>
        <w:t>2.3</w:t>
      </w:r>
      <w:r>
        <w:tab/>
      </w:r>
      <w:r>
        <w:rPr>
          <w:color w:val="000000"/>
        </w:rPr>
        <w:t>Η εφαρμογή πραγματοποιήθηκε σύμφωνα με τις οδηγίες του αιτούντος, προσδιορίζοντας τα παραπάνω τεχνικά στοιχεία (όπου δεν είναι μετρήσιμα) στις εγκαταστάσεις του διαπιστευμένου εργαστηρίου δοκιμών από το ίδιο το εργαστήριο ή έναν οργανισμό εξουσιοδοτημένο από το εν λόγω εργαστήριο.</w:t>
      </w:r>
    </w:p>
    <w:p w:rsidR="0040352A" w:rsidRPr="008766C3" w:rsidRDefault="0040352A" w:rsidP="0040352A">
      <w:pPr>
        <w:numPr>
          <w:ilvl w:val="0"/>
          <w:numId w:val="16"/>
        </w:numPr>
        <w:spacing w:after="60"/>
        <w:ind w:left="284" w:hanging="284"/>
        <w:rPr>
          <w:rFonts w:eastAsia="Times New Roman" w:cs="Calibri"/>
          <w:b/>
          <w:bCs/>
          <w:color w:val="000000"/>
        </w:rPr>
      </w:pPr>
      <w:r>
        <w:rPr>
          <w:b/>
          <w:color w:val="000000"/>
        </w:rPr>
        <w:t>Αποτελέσματα της δοκιμής:</w:t>
      </w:r>
    </w:p>
    <w:p w:rsidR="0040352A" w:rsidRPr="008766C3" w:rsidRDefault="0040352A" w:rsidP="0040352A">
      <w:pPr>
        <w:tabs>
          <w:tab w:val="left" w:pos="4111"/>
          <w:tab w:val="left" w:leader="underscore" w:pos="5954"/>
        </w:tabs>
        <w:spacing w:after="60"/>
        <w:ind w:left="567" w:hanging="567"/>
        <w:rPr>
          <w:rFonts w:cs="Calibri"/>
        </w:rPr>
      </w:pPr>
      <w:r>
        <w:rPr>
          <w:rFonts w:hint="eastAsia"/>
          <w:color w:val="000000"/>
        </w:rPr>
        <w:t>3.1</w:t>
      </w:r>
      <w:r>
        <w:tab/>
      </w:r>
      <w:r>
        <w:rPr>
          <w:color w:val="000000"/>
        </w:rPr>
        <w:t xml:space="preserve">Επιτεύχθηκαν οι απαιτήσεις για την </w:t>
      </w:r>
      <w:r>
        <w:rPr>
          <w:b/>
          <w:color w:val="000000"/>
        </w:rPr>
        <w:t xml:space="preserve">κλάση κυκλοφορίας P </w:t>
      </w:r>
      <w:r>
        <w:tab/>
      </w:r>
      <w:r>
        <w:rPr>
          <w:rFonts w:hint="eastAsia"/>
          <w:b/>
          <w:color w:val="000000"/>
        </w:rPr>
        <w:t>.</w:t>
      </w:r>
      <w:r>
        <w:rPr>
          <w:rFonts w:hint="eastAsia"/>
          <w:color w:val="000000"/>
        </w:rPr>
        <w:t xml:space="preserve"> </w:t>
      </w:r>
      <w:r>
        <w:rPr>
          <w:color w:val="000000"/>
        </w:rPr>
        <w:t>Για τις επιμέρους τεχνικές ιδιότητες που αφορούν την κυκλοφορία επιτεύχθηκαν οι παρακάτω κλάσεις σύμφωνα με το DIN EN 1436:</w:t>
      </w:r>
    </w:p>
    <w:tbl>
      <w:tblPr>
        <w:tblW w:w="0" w:type="auto"/>
        <w:tblInd w:w="250" w:type="dxa"/>
        <w:tblLook w:val="04A0" w:firstRow="1" w:lastRow="0" w:firstColumn="1" w:lastColumn="0" w:noHBand="0" w:noVBand="1"/>
      </w:tblPr>
      <w:tblGrid>
        <w:gridCol w:w="3686"/>
        <w:gridCol w:w="2126"/>
        <w:gridCol w:w="2126"/>
      </w:tblGrid>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p>
        </w:tc>
        <w:tc>
          <w:tcPr>
            <w:tcW w:w="2126" w:type="dxa"/>
            <w:shd w:val="clear" w:color="auto" w:fill="auto"/>
          </w:tcPr>
          <w:p w:rsidR="0040352A" w:rsidRPr="008E0BFF" w:rsidRDefault="0040352A" w:rsidP="007E2174">
            <w:pPr>
              <w:spacing w:after="60"/>
              <w:ind w:left="0" w:firstLine="0"/>
              <w:jc w:val="center"/>
              <w:rPr>
                <w:rFonts w:cs="Calibri"/>
                <w:b/>
              </w:rPr>
            </w:pPr>
            <w:r>
              <w:rPr>
                <w:b/>
                <w:color w:val="000000"/>
              </w:rPr>
              <w:t>Νέο οδόστρωμα</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r>
              <w:rPr>
                <w:b/>
                <w:color w:val="000000"/>
              </w:rPr>
              <w:t>Παλιό οδόστρωμα</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Αντιολισθηρότητα:</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r>
              <w:rPr>
                <w:b/>
              </w:rPr>
              <w:t>≥ S 1</w:t>
            </w:r>
          </w:p>
        </w:tc>
        <w:tc>
          <w:tcPr>
            <w:tcW w:w="2126" w:type="dxa"/>
            <w:shd w:val="clear" w:color="auto" w:fill="auto"/>
          </w:tcPr>
          <w:p w:rsidR="0040352A" w:rsidRPr="008E0BFF" w:rsidRDefault="0040352A" w:rsidP="007E2174">
            <w:pPr>
              <w:spacing w:after="60"/>
              <w:ind w:left="0" w:firstLine="0"/>
              <w:jc w:val="center"/>
              <w:rPr>
                <w:rFonts w:cs="Calibri"/>
                <w:b/>
              </w:rPr>
            </w:pPr>
            <w:r>
              <w:rPr>
                <w:b/>
              </w:rPr>
              <w:t>S</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Ορατότητα τη νύχτα, στεγνό:</w:t>
            </w:r>
          </w:p>
        </w:tc>
        <w:tc>
          <w:tcPr>
            <w:tcW w:w="2126" w:type="dxa"/>
            <w:shd w:val="clear" w:color="auto" w:fill="auto"/>
          </w:tcPr>
          <w:p w:rsidR="0040352A" w:rsidRPr="008E0BFF" w:rsidRDefault="0040352A" w:rsidP="007E2174">
            <w:pPr>
              <w:spacing w:after="60"/>
              <w:ind w:left="0" w:firstLine="0"/>
              <w:jc w:val="center"/>
              <w:rPr>
                <w:rFonts w:cs="Calibri"/>
                <w:b/>
              </w:rPr>
            </w:pPr>
            <w:r>
              <w:rPr>
                <w:b/>
              </w:rPr>
              <w:t>R</w:t>
            </w:r>
          </w:p>
        </w:tc>
        <w:tc>
          <w:tcPr>
            <w:tcW w:w="2126" w:type="dxa"/>
            <w:shd w:val="clear" w:color="auto" w:fill="auto"/>
          </w:tcPr>
          <w:p w:rsidR="0040352A" w:rsidRPr="008E0BFF" w:rsidRDefault="0040352A" w:rsidP="007E2174">
            <w:pPr>
              <w:spacing w:after="60"/>
              <w:ind w:left="0" w:firstLine="0"/>
              <w:jc w:val="center"/>
              <w:rPr>
                <w:rFonts w:cs="Calibri"/>
                <w:b/>
              </w:rPr>
            </w:pPr>
            <w:r>
              <w:rPr>
                <w:b/>
              </w:rPr>
              <w:t>R</w:t>
            </w:r>
          </w:p>
        </w:tc>
      </w:tr>
      <w:tr w:rsidR="0040352A" w:rsidRPr="008766C3" w:rsidTr="007E2174">
        <w:tc>
          <w:tcPr>
            <w:tcW w:w="3686" w:type="dxa"/>
            <w:shd w:val="clear" w:color="auto" w:fill="auto"/>
          </w:tcPr>
          <w:p w:rsidR="0040352A" w:rsidRPr="008766C3" w:rsidRDefault="0040352A" w:rsidP="007E2174">
            <w:pPr>
              <w:spacing w:after="60"/>
              <w:ind w:left="0" w:firstLine="0"/>
              <w:rPr>
                <w:rFonts w:cs="Calibri"/>
              </w:rPr>
            </w:pPr>
            <w:r>
              <w:t>- Ορατότητα τη νύχτα, υγρό:</w:t>
            </w:r>
          </w:p>
        </w:tc>
        <w:tc>
          <w:tcPr>
            <w:tcW w:w="2126" w:type="dxa"/>
            <w:shd w:val="clear" w:color="auto" w:fill="auto"/>
          </w:tcPr>
          <w:p w:rsidR="0040352A" w:rsidRPr="008E0BFF" w:rsidRDefault="0040352A" w:rsidP="007E2174">
            <w:pPr>
              <w:spacing w:after="60"/>
              <w:ind w:left="0" w:firstLine="0"/>
              <w:jc w:val="center"/>
              <w:rPr>
                <w:rFonts w:cs="Calibri"/>
                <w:b/>
              </w:rPr>
            </w:pPr>
            <w:r>
              <w:rPr>
                <w:b/>
              </w:rPr>
              <w:t>RW</w:t>
            </w:r>
          </w:p>
        </w:tc>
        <w:tc>
          <w:tcPr>
            <w:tcW w:w="2126" w:type="dxa"/>
            <w:shd w:val="clear" w:color="auto" w:fill="auto"/>
          </w:tcPr>
          <w:p w:rsidR="0040352A" w:rsidRPr="008E0BFF" w:rsidRDefault="0040352A" w:rsidP="007E2174">
            <w:pPr>
              <w:spacing w:after="60"/>
              <w:ind w:left="0" w:firstLine="0"/>
              <w:jc w:val="center"/>
              <w:rPr>
                <w:rFonts w:cs="Calibri"/>
                <w:b/>
              </w:rPr>
            </w:pPr>
            <w:r>
              <w:rPr>
                <w:b/>
              </w:rPr>
              <w:t>RW</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Ορατότητα την ημέρα:</w:t>
            </w:r>
          </w:p>
        </w:tc>
        <w:tc>
          <w:tcPr>
            <w:tcW w:w="2126" w:type="dxa"/>
            <w:shd w:val="clear" w:color="auto" w:fill="auto"/>
          </w:tcPr>
          <w:p w:rsidR="0040352A" w:rsidRPr="008E0BFF" w:rsidRDefault="0040352A" w:rsidP="007E2174">
            <w:pPr>
              <w:spacing w:after="60"/>
              <w:ind w:left="0" w:firstLine="0"/>
              <w:jc w:val="center"/>
              <w:rPr>
                <w:rFonts w:cs="Calibri"/>
                <w:b/>
              </w:rPr>
            </w:pPr>
            <w:r>
              <w:rPr>
                <w:b/>
              </w:rPr>
              <w:t>Π</w:t>
            </w:r>
          </w:p>
        </w:tc>
        <w:tc>
          <w:tcPr>
            <w:tcW w:w="2126" w:type="dxa"/>
            <w:shd w:val="clear" w:color="auto" w:fill="auto"/>
          </w:tcPr>
          <w:p w:rsidR="0040352A" w:rsidRPr="008E0BFF" w:rsidRDefault="0040352A" w:rsidP="007E2174">
            <w:pPr>
              <w:spacing w:after="60"/>
              <w:ind w:left="0" w:firstLine="0"/>
              <w:jc w:val="center"/>
              <w:rPr>
                <w:rFonts w:cs="Calibri"/>
                <w:b/>
              </w:rPr>
            </w:pPr>
            <w:r>
              <w:rPr>
                <w:b/>
              </w:rPr>
              <w:t>Π</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Δυνατότητα διέλευσης:</w:t>
            </w:r>
          </w:p>
        </w:tc>
        <w:tc>
          <w:tcPr>
            <w:tcW w:w="2126" w:type="dxa"/>
            <w:shd w:val="clear" w:color="auto" w:fill="auto"/>
          </w:tcPr>
          <w:p w:rsidR="0040352A" w:rsidRPr="008E0BFF" w:rsidRDefault="0040352A" w:rsidP="007E2174">
            <w:pPr>
              <w:spacing w:after="60"/>
              <w:ind w:left="0" w:firstLine="0"/>
              <w:jc w:val="center"/>
              <w:rPr>
                <w:rFonts w:cs="Calibri"/>
                <w:b/>
              </w:rPr>
            </w:pPr>
            <w:r>
              <w:rPr>
                <w:b/>
              </w:rPr>
              <w:t>T</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p>
        </w:tc>
      </w:tr>
    </w:tbl>
    <w:p w:rsidR="0040352A" w:rsidRPr="008766C3" w:rsidRDefault="0040352A" w:rsidP="0040352A">
      <w:pPr>
        <w:tabs>
          <w:tab w:val="left" w:pos="4111"/>
          <w:tab w:val="left" w:leader="underscore" w:pos="5954"/>
        </w:tabs>
        <w:spacing w:after="60"/>
        <w:ind w:left="567" w:hanging="567"/>
        <w:rPr>
          <w:rFonts w:eastAsia="Times New Roman" w:cs="Calibri"/>
          <w:color w:val="000000"/>
        </w:rPr>
      </w:pPr>
      <w:r>
        <w:rPr>
          <w:rFonts w:hint="eastAsia"/>
          <w:color w:val="000000"/>
        </w:rPr>
        <w:lastRenderedPageBreak/>
        <w:t>3.2</w:t>
      </w:r>
      <w:r>
        <w:tab/>
      </w:r>
      <w:r>
        <w:rPr>
          <w:color w:val="000000"/>
        </w:rPr>
        <w:t>Εκπληρώθηκαν οι ελάχιστες απαιτήσεις για την αντοχή σε φθορά του 90 % της υπόλοιπης επιφάνειας. Τα αποτελέσματα της φυσικοχημικής δοκιμής πρωτοτύπου είναι στη διάθεση του διαπιστευμένου εργαστηρίου δοκιμών.</w:t>
      </w:r>
    </w:p>
    <w:p w:rsidR="0040352A" w:rsidRPr="008766C3" w:rsidRDefault="0040352A" w:rsidP="0040352A">
      <w:pPr>
        <w:spacing w:after="60"/>
        <w:ind w:left="0" w:firstLine="0"/>
        <w:jc w:val="both"/>
        <w:rPr>
          <w:rFonts w:eastAsia="Times New Roman" w:cs="Calibri"/>
        </w:rPr>
      </w:pPr>
      <w:r>
        <w:rPr>
          <w:color w:val="000000"/>
        </w:rPr>
        <w:t>Επιτρέπεται μόνο η πλήρης διαβίβαση ή δημοσίευση του εν λόγω πιστοποιητικού δοκιμής. Η αποσπασματική διαβίβαση ή δημοσίευση προϋποθέτει τη γραπτή συναίνεση του διαπιστευμένου εργαστηρίου δοκιμών.</w:t>
      </w:r>
    </w:p>
    <w:p w:rsidR="0040352A" w:rsidRPr="008766C3" w:rsidRDefault="0040352A" w:rsidP="0040352A">
      <w:pPr>
        <w:tabs>
          <w:tab w:val="left" w:leader="underscore" w:pos="3119"/>
        </w:tabs>
        <w:spacing w:after="60"/>
        <w:ind w:left="0" w:firstLine="0"/>
        <w:rPr>
          <w:rFonts w:eastAsia="Times New Roman" w:cs="Calibri"/>
        </w:rPr>
      </w:pPr>
      <w:r>
        <w:rPr>
          <w:color w:val="000000"/>
        </w:rPr>
        <w:t>Bergisch Gladbach,</w:t>
      </w:r>
      <w:r>
        <w:tab/>
      </w:r>
    </w:p>
    <w:p w:rsidR="0040352A" w:rsidRPr="008766C3" w:rsidRDefault="0040352A" w:rsidP="0040352A">
      <w:pPr>
        <w:spacing w:after="60"/>
        <w:ind w:left="0" w:firstLine="0"/>
        <w:rPr>
          <w:rFonts w:cs="Calibri"/>
          <w:color w:val="000000"/>
        </w:rPr>
      </w:pPr>
    </w:p>
    <w:p w:rsidR="0040352A" w:rsidRPr="008766C3" w:rsidRDefault="0040352A" w:rsidP="0040352A">
      <w:pPr>
        <w:spacing w:after="60"/>
        <w:ind w:left="0" w:firstLine="0"/>
        <w:rPr>
          <w:rFonts w:cs="Calibri"/>
          <w:color w:val="000000"/>
        </w:rPr>
      </w:pPr>
    </w:p>
    <w:p w:rsidR="0040352A" w:rsidRPr="008766C3" w:rsidRDefault="0040352A" w:rsidP="0040352A">
      <w:pPr>
        <w:tabs>
          <w:tab w:val="left" w:leader="underscore" w:pos="2410"/>
        </w:tabs>
        <w:spacing w:after="60"/>
        <w:ind w:left="0" w:firstLine="0"/>
        <w:rPr>
          <w:rFonts w:cs="Calibri"/>
          <w:color w:val="000000"/>
        </w:rPr>
      </w:pPr>
      <w:r>
        <w:tab/>
      </w:r>
    </w:p>
    <w:p w:rsidR="0040352A" w:rsidRPr="008766C3" w:rsidRDefault="0040352A" w:rsidP="0040352A">
      <w:pPr>
        <w:spacing w:after="60"/>
        <w:ind w:left="0" w:firstLine="0"/>
        <w:rPr>
          <w:rFonts w:eastAsia="Times New Roman" w:cs="Calibri"/>
        </w:rPr>
      </w:pPr>
      <w:r>
        <w:rPr>
          <w:color w:val="000000"/>
        </w:rPr>
        <w:t>Όνομα, ιδιότητα</w:t>
      </w:r>
    </w:p>
    <w:p w:rsidR="0040352A" w:rsidRPr="008766C3" w:rsidRDefault="0040352A" w:rsidP="0040352A"/>
    <w:p w:rsidR="0040352A" w:rsidRPr="008766C3" w:rsidRDefault="0040352A" w:rsidP="0040352A">
      <w:pPr>
        <w:ind w:left="0" w:firstLine="0"/>
      </w:pPr>
    </w:p>
    <w:p w:rsidR="0040352A" w:rsidRPr="008766C3" w:rsidRDefault="0040352A" w:rsidP="0040352A">
      <w:r>
        <w:t>Βεβαίωση της δοκιμής</w:t>
      </w:r>
    </w:p>
    <w:p w:rsidR="0040352A" w:rsidRPr="008766C3" w:rsidRDefault="0040352A" w:rsidP="0040352A">
      <w:pPr>
        <w:rPr>
          <w:rFonts w:cs="Calibri"/>
        </w:rPr>
      </w:pPr>
    </w:p>
    <w:p w:rsidR="0040352A" w:rsidRPr="008766C3" w:rsidRDefault="0040352A" w:rsidP="0040352A">
      <w:pPr>
        <w:rPr>
          <w:rFonts w:cs="Calibri"/>
        </w:rPr>
      </w:pPr>
    </w:p>
    <w:p w:rsidR="0040352A" w:rsidRPr="008766C3" w:rsidRDefault="0040352A" w:rsidP="0040352A">
      <w:pPr>
        <w:rPr>
          <w:rFonts w:cs="Calibri"/>
        </w:rPr>
      </w:pPr>
    </w:p>
    <w:tbl>
      <w:tblPr>
        <w:tblW w:w="0" w:type="auto"/>
        <w:tblInd w:w="108" w:type="dxa"/>
        <w:tblLook w:val="04A0" w:firstRow="1" w:lastRow="0" w:firstColumn="1" w:lastColumn="0" w:noHBand="0" w:noVBand="1"/>
      </w:tblPr>
      <w:tblGrid>
        <w:gridCol w:w="2268"/>
        <w:gridCol w:w="3828"/>
      </w:tblGrid>
      <w:tr w:rsidR="0040352A" w:rsidRPr="008766C3" w:rsidTr="007E2174">
        <w:tc>
          <w:tcPr>
            <w:tcW w:w="2268" w:type="dxa"/>
            <w:shd w:val="clear" w:color="auto" w:fill="auto"/>
          </w:tcPr>
          <w:p w:rsidR="0040352A" w:rsidRPr="008766C3" w:rsidRDefault="0040352A" w:rsidP="007E2174">
            <w:pPr>
              <w:ind w:left="-108" w:firstLine="0"/>
              <w:rPr>
                <w:rFonts w:cs="Calibri"/>
              </w:rPr>
            </w:pPr>
            <w:r>
              <w:t>Αιτούσα/αιτών</w:t>
            </w:r>
          </w:p>
        </w:tc>
        <w:tc>
          <w:tcPr>
            <w:tcW w:w="3828" w:type="dxa"/>
            <w:shd w:val="clear" w:color="auto" w:fill="auto"/>
          </w:tcPr>
          <w:p w:rsidR="0040352A" w:rsidRPr="008766C3" w:rsidRDefault="0040352A" w:rsidP="007E2174">
            <w:pPr>
              <w:ind w:left="0" w:firstLine="0"/>
              <w:jc w:val="right"/>
              <w:rPr>
                <w:rFonts w:eastAsia="Times New Roman" w:cs="Calibri"/>
                <w:color w:val="000000"/>
              </w:rPr>
            </w:pPr>
            <w:r>
              <w:rPr>
                <w:color w:val="000000"/>
              </w:rPr>
              <w:t>Το σήμα σας</w:t>
            </w:r>
          </w:p>
          <w:p w:rsidR="0040352A" w:rsidRPr="008766C3" w:rsidRDefault="0040352A" w:rsidP="007E2174">
            <w:pPr>
              <w:ind w:left="0" w:firstLine="0"/>
              <w:jc w:val="right"/>
              <w:rPr>
                <w:rFonts w:eastAsia="Times New Roman" w:cs="Calibri"/>
                <w:color w:val="000000"/>
              </w:rPr>
            </w:pPr>
            <w:r>
              <w:rPr>
                <w:color w:val="000000"/>
              </w:rPr>
              <w:t>Η επιστολή σας από</w:t>
            </w:r>
            <w:r>
              <w:rPr>
                <w:rFonts w:eastAsia="Times New Roman" w:cs="Calibri"/>
                <w:color w:val="000000"/>
              </w:rPr>
              <w:br/>
            </w:r>
            <w:r>
              <w:rPr>
                <w:color w:val="000000"/>
              </w:rPr>
              <w:t>Το σήμα μας</w:t>
            </w:r>
            <w:r>
              <w:rPr>
                <w:rFonts w:eastAsia="Times New Roman" w:cs="Calibri"/>
                <w:color w:val="000000"/>
              </w:rPr>
              <w:br/>
            </w:r>
            <w:r>
              <w:rPr>
                <w:color w:val="000000"/>
              </w:rPr>
              <w:t>Παροχή πληροφοριών</w:t>
            </w:r>
            <w:r>
              <w:rPr>
                <w:rFonts w:eastAsia="Times New Roman" w:cs="Calibri"/>
                <w:color w:val="000000"/>
              </w:rPr>
              <w:br/>
            </w:r>
            <w:r>
              <w:rPr>
                <w:color w:val="000000"/>
              </w:rPr>
              <w:t>Τηλέφωνο</w:t>
            </w:r>
            <w:r>
              <w:rPr>
                <w:rFonts w:eastAsia="Times New Roman" w:cs="Calibri"/>
                <w:color w:val="000000"/>
              </w:rPr>
              <w:br/>
            </w:r>
            <w:r>
              <w:rPr>
                <w:color w:val="000000"/>
              </w:rPr>
              <w:t>Φαξ</w:t>
            </w:r>
            <w:r>
              <w:rPr>
                <w:rFonts w:eastAsia="Times New Roman" w:cs="Calibri"/>
                <w:color w:val="000000"/>
              </w:rPr>
              <w:br/>
            </w:r>
            <w:r>
              <w:rPr>
                <w:color w:val="000000"/>
              </w:rPr>
              <w:t>Διεύθυνση ηλεκτρονικού ταχυδρομείου</w:t>
            </w:r>
          </w:p>
          <w:p w:rsidR="0040352A" w:rsidRPr="008766C3" w:rsidRDefault="0040352A" w:rsidP="007E2174">
            <w:pPr>
              <w:ind w:left="0" w:firstLine="0"/>
              <w:jc w:val="right"/>
              <w:rPr>
                <w:rFonts w:eastAsia="Times New Roman" w:cs="Calibri"/>
                <w:color w:val="000000"/>
              </w:rPr>
            </w:pPr>
          </w:p>
          <w:p w:rsidR="0040352A" w:rsidRPr="008766C3" w:rsidRDefault="0040352A" w:rsidP="007E2174">
            <w:pPr>
              <w:ind w:left="0" w:firstLine="0"/>
              <w:jc w:val="right"/>
              <w:rPr>
                <w:rFonts w:eastAsia="Times New Roman" w:cs="Calibri"/>
                <w:color w:val="000000"/>
              </w:rPr>
            </w:pPr>
            <w:r>
              <w:rPr>
                <w:color w:val="000000"/>
              </w:rPr>
              <w:t>Ημερομηνία</w:t>
            </w:r>
          </w:p>
        </w:tc>
      </w:tr>
    </w:tbl>
    <w:p w:rsidR="0040352A" w:rsidRPr="008766C3" w:rsidRDefault="0040352A" w:rsidP="0040352A">
      <w:pPr>
        <w:rPr>
          <w:rFonts w:cs="Calibri"/>
        </w:rPr>
      </w:pPr>
    </w:p>
    <w:p w:rsidR="0040352A" w:rsidRDefault="0040352A" w:rsidP="0040352A">
      <w:pPr>
        <w:ind w:left="0" w:firstLine="0"/>
        <w:rPr>
          <w:rFonts w:cs="Calibri"/>
          <w:b/>
          <w:bCs/>
          <w:color w:val="000000"/>
          <w:u w:val="single"/>
        </w:rPr>
      </w:pPr>
      <w:r>
        <w:rPr>
          <w:b/>
          <w:color w:val="000000"/>
        </w:rPr>
        <w:t>Βεβαίωση ελέγχου συστήματος οριζόντιας σήμανσης στον προσομοιωτή φθοράς Αριθ. δοκιμής:</w:t>
      </w:r>
      <w:r>
        <w:tab/>
      </w:r>
    </w:p>
    <w:p w:rsidR="0040352A" w:rsidRPr="008E0BFF" w:rsidRDefault="0040352A" w:rsidP="0040352A">
      <w:pPr>
        <w:ind w:left="0" w:firstLine="0"/>
        <w:rPr>
          <w:rFonts w:cs="Calibri"/>
        </w:rPr>
      </w:pPr>
    </w:p>
    <w:p w:rsidR="0040352A" w:rsidRPr="008766C3" w:rsidRDefault="0040352A" w:rsidP="0040352A">
      <w:pPr>
        <w:ind w:left="0" w:firstLine="0"/>
        <w:rPr>
          <w:rFonts w:eastAsia="Times New Roman" w:cs="Calibri"/>
        </w:rPr>
      </w:pPr>
      <w:r>
        <w:rPr>
          <w:color w:val="000000"/>
        </w:rPr>
        <w:t xml:space="preserve">Ο τύπος </w:t>
      </w:r>
      <w:r>
        <w:tab/>
      </w:r>
      <w:r>
        <w:rPr>
          <w:rFonts w:hint="eastAsia"/>
          <w:color w:val="000000"/>
        </w:rPr>
        <w:t>-</w:t>
      </w:r>
      <w:r>
        <w:rPr>
          <w:color w:val="000000"/>
        </w:rPr>
        <w:t xml:space="preserve">συστήματος οριζόντιας σήμανσης από </w:t>
      </w:r>
      <w:r>
        <w:tab/>
      </w:r>
      <w:r>
        <w:rPr>
          <w:rFonts w:hint="eastAsia"/>
          <w:color w:val="000000"/>
        </w:rPr>
        <w:t xml:space="preserve"> </w:t>
      </w:r>
      <w:r>
        <w:rPr>
          <w:color w:val="000000"/>
        </w:rPr>
        <w:t xml:space="preserve"> με τον παραπάνω αριθ. δοκιμής υποβλήθηκε σε δοκιμή στον προσομοιωτή φθοράς σύμφωνα με το DIN EN 13197 (έκδοση Ιουλίου 2014) έως την κλάση κυκλοφορίας P </w:t>
      </w:r>
      <w:r>
        <w:tab/>
      </w:r>
      <w:r>
        <w:rPr>
          <w:rFonts w:hint="eastAsia"/>
          <w:color w:val="000000"/>
        </w:rPr>
        <w:t xml:space="preserve"> </w:t>
      </w:r>
      <w:r>
        <w:rPr>
          <w:color w:val="000000"/>
        </w:rPr>
        <w:t xml:space="preserve">( </w:t>
      </w:r>
      <w:r>
        <w:tab/>
      </w:r>
      <w:r>
        <w:rPr>
          <w:rFonts w:hint="eastAsia"/>
          <w:color w:val="000000"/>
        </w:rPr>
        <w:t xml:space="preserve"> </w:t>
      </w:r>
      <w:r>
        <w:rPr>
          <w:color w:val="000000"/>
        </w:rPr>
        <w:t xml:space="preserve"> διελεύσεις τροχών) και πληροί όλες τις ελάχιστες απαιτήσεις που προβλέπει το πρότυπο DIN EN 1436</w:t>
      </w:r>
    </w:p>
    <w:p w:rsidR="0040352A" w:rsidRPr="008766C3" w:rsidRDefault="0040352A" w:rsidP="0040352A">
      <w:pPr>
        <w:ind w:left="0" w:firstLine="0"/>
        <w:rPr>
          <w:rFonts w:eastAsia="Times New Roman" w:cs="Calibri"/>
        </w:rPr>
      </w:pPr>
      <w:r>
        <w:rPr>
          <w:color w:val="000000"/>
        </w:rPr>
        <w:t>(έκδοση Ιανουαρίου 2009) ως προς τις τεχνικές ιδιότητες που αφορούν την κυκλοφορία.</w:t>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Περιγραφή συστήματος:</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Υλικό:</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Πάχος υγρού υμένα:</w:t>
      </w:r>
      <w:r>
        <w:tab/>
      </w:r>
      <w:r>
        <w:tab/>
      </w:r>
    </w:p>
    <w:p w:rsidR="0040352A" w:rsidRPr="008766C3" w:rsidRDefault="0040352A" w:rsidP="0040352A">
      <w:pPr>
        <w:tabs>
          <w:tab w:val="left" w:pos="567"/>
          <w:tab w:val="left" w:pos="4536"/>
          <w:tab w:val="right" w:leader="underscore" w:pos="5954"/>
        </w:tabs>
        <w:spacing w:after="60"/>
        <w:ind w:left="4536" w:hanging="4252"/>
        <w:rPr>
          <w:rFonts w:eastAsia="Times New Roman" w:cs="Calibri"/>
        </w:rPr>
      </w:pPr>
      <w:r>
        <w:t>-</w:t>
      </w:r>
      <w:r>
        <w:tab/>
        <w:t>Υλικά επίπασης (ποσότητα/παρασκευαστής/περιγραφή):</w:t>
      </w:r>
      <w:r>
        <w:tab/>
      </w:r>
      <w:r>
        <w:tab/>
      </w:r>
      <w:r>
        <w:rPr>
          <w:b/>
          <w:color w:val="000000"/>
        </w:rPr>
        <w:t>g/m</w:t>
      </w:r>
      <w:r>
        <w:rPr>
          <w:b/>
          <w:color w:val="000000"/>
          <w:vertAlign w:val="superscript"/>
        </w:rPr>
        <w:t>2</w:t>
      </w:r>
      <w:r>
        <w:rPr>
          <w:b/>
          <w:color w:val="000000"/>
        </w:rPr>
        <w:t>,</w:t>
      </w:r>
      <w:r>
        <w:tab/>
      </w:r>
      <w:r>
        <w:rPr>
          <w:rFonts w:cs="Calibri" w:hint="eastAsia"/>
          <w:b/>
          <w:bCs/>
          <w:color w:val="000000"/>
        </w:rPr>
        <w:br/>
      </w:r>
      <w:r>
        <w:tab/>
      </w:r>
      <w:r>
        <w:tab/>
      </w:r>
      <w:r>
        <w:rPr>
          <w:b/>
          <w:color w:val="000000"/>
        </w:rPr>
        <w:t xml:space="preserve">ως μείγμα σε αναλογία </w:t>
      </w:r>
      <w:r>
        <w:rPr>
          <w:b/>
          <w:u w:val="single"/>
        </w:rPr>
        <w:t xml:space="preserve">        </w:t>
      </w:r>
      <w:r>
        <w:rPr>
          <w:b/>
          <w:color w:val="000000"/>
        </w:rPr>
        <w:t>περιέχονται στα ανακλαστικά σφαιρίδια</w:t>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Μέθοδος εφαρμογής:</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126"/>
        <w:gridCol w:w="579"/>
        <w:gridCol w:w="579"/>
        <w:gridCol w:w="579"/>
        <w:gridCol w:w="579"/>
        <w:gridCol w:w="289"/>
        <w:gridCol w:w="290"/>
        <w:gridCol w:w="579"/>
        <w:gridCol w:w="579"/>
        <w:gridCol w:w="579"/>
        <w:gridCol w:w="579"/>
      </w:tblGrid>
      <w:tr w:rsidR="0040352A" w:rsidRPr="008766C3" w:rsidTr="007E2174">
        <w:tc>
          <w:tcPr>
            <w:tcW w:w="4077" w:type="dxa"/>
            <w:gridSpan w:val="2"/>
            <w:vMerge w:val="restart"/>
            <w:shd w:val="pct30"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b/>
                <w:bCs/>
                <w:color w:val="000000"/>
                <w:sz w:val="20"/>
                <w:szCs w:val="20"/>
              </w:rPr>
            </w:pPr>
            <w:r>
              <w:rPr>
                <w:b/>
                <w:color w:val="000000"/>
                <w:sz w:val="20"/>
              </w:rPr>
              <w:t>Ιδιότητες</w:t>
            </w:r>
          </w:p>
        </w:tc>
        <w:tc>
          <w:tcPr>
            <w:tcW w:w="5211" w:type="dxa"/>
            <w:gridSpan w:val="10"/>
            <w:tcBorders>
              <w:bottom w:val="nil"/>
            </w:tcBorders>
            <w:shd w:val="pct12" w:color="auto" w:fill="auto"/>
            <w:vAlign w:val="center"/>
          </w:tcPr>
          <w:p w:rsidR="0040352A" w:rsidRPr="008766C3" w:rsidRDefault="0040352A" w:rsidP="007E2174">
            <w:pPr>
              <w:ind w:left="0" w:firstLine="0"/>
              <w:jc w:val="center"/>
              <w:rPr>
                <w:rFonts w:cs="Calibri"/>
                <w:b/>
                <w:bCs/>
                <w:color w:val="000000"/>
                <w:sz w:val="20"/>
                <w:szCs w:val="20"/>
              </w:rPr>
            </w:pPr>
            <w:r>
              <w:rPr>
                <w:b/>
                <w:color w:val="000000"/>
                <w:sz w:val="20"/>
              </w:rPr>
              <w:t>Αριθμός διέλευσης τροχών (εκατ.)</w:t>
            </w:r>
          </w:p>
        </w:tc>
      </w:tr>
      <w:tr w:rsidR="0040352A" w:rsidRPr="008766C3" w:rsidTr="007E2174">
        <w:tc>
          <w:tcPr>
            <w:tcW w:w="4077" w:type="dxa"/>
            <w:gridSpan w:val="2"/>
            <w:vMerge/>
            <w:tcBorders>
              <w:bottom w:val="single" w:sz="4" w:space="0" w:color="000000"/>
            </w:tcBorders>
            <w:shd w:val="pct30"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0.01</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0.1</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0.2</w:t>
            </w:r>
          </w:p>
        </w:tc>
        <w:tc>
          <w:tcPr>
            <w:tcW w:w="579" w:type="dxa"/>
            <w:gridSpan w:val="2"/>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0.5</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1.0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2.0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3.0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4.0</w:t>
            </w:r>
          </w:p>
        </w:tc>
      </w:tr>
      <w:tr w:rsidR="0040352A" w:rsidRPr="008766C3" w:rsidTr="007E2174">
        <w:tc>
          <w:tcPr>
            <w:tcW w:w="4077" w:type="dxa"/>
            <w:gridSpan w:val="2"/>
            <w:shd w:val="pct15"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Αντοχή σε φθορά (%)</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color w:val="000000"/>
                <w:sz w:val="20"/>
              </w:rPr>
              <w:t>Αντιολισθηρότητα (μονάδες SRT)</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r>
      <w:tr w:rsidR="0040352A" w:rsidRPr="008766C3" w:rsidTr="007E2174">
        <w:tc>
          <w:tcPr>
            <w:tcW w:w="1951" w:type="dxa"/>
            <w:shd w:val="pct15" w:color="auto" w:fill="auto"/>
            <w:vAlign w:val="center"/>
          </w:tcPr>
          <w:p w:rsidR="0040352A" w:rsidRPr="008766C3" w:rsidRDefault="0040352A" w:rsidP="007E2174">
            <w:pPr>
              <w:ind w:left="0" w:firstLine="0"/>
              <w:rPr>
                <w:rFonts w:cs="Calibri"/>
                <w:sz w:val="20"/>
                <w:szCs w:val="20"/>
              </w:rPr>
            </w:pPr>
            <w:r>
              <w:rPr>
                <w:color w:val="000000"/>
                <w:sz w:val="20"/>
              </w:rPr>
              <w:t>Ορατότητα τη νύχτα</w:t>
            </w:r>
          </w:p>
        </w:tc>
        <w:tc>
          <w:tcPr>
            <w:tcW w:w="2126" w:type="dxa"/>
            <w:shd w:val="pct15" w:color="auto" w:fill="auto"/>
            <w:vAlign w:val="center"/>
          </w:tcPr>
          <w:p w:rsidR="0040352A" w:rsidRPr="008766C3" w:rsidRDefault="0040352A" w:rsidP="007E2174">
            <w:pPr>
              <w:ind w:left="0" w:firstLine="0"/>
              <w:rPr>
                <w:rFonts w:cs="Calibri"/>
                <w:sz w:val="20"/>
                <w:szCs w:val="20"/>
              </w:rPr>
            </w:pPr>
            <w:r>
              <w:rPr>
                <w:color w:val="000000"/>
                <w:sz w:val="20"/>
              </w:rPr>
              <w:t>στεγνό</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r>
      <w:tr w:rsidR="0040352A" w:rsidRPr="008766C3" w:rsidTr="007E2174">
        <w:tc>
          <w:tcPr>
            <w:tcW w:w="1951" w:type="dxa"/>
            <w:shd w:val="pct15"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i/>
                <w:sz w:val="20"/>
              </w:rPr>
              <w:t>R</w:t>
            </w:r>
            <w:r>
              <w:rPr>
                <w:sz w:val="20"/>
                <w:vertAlign w:val="subscript"/>
              </w:rPr>
              <w:t>L</w:t>
            </w:r>
            <w:r>
              <w:rPr>
                <w:sz w:val="20"/>
              </w:rPr>
              <w:t xml:space="preserve"> [mcd · m</w:t>
            </w:r>
            <w:r>
              <w:rPr>
                <w:sz w:val="20"/>
                <w:vertAlign w:val="superscript"/>
              </w:rPr>
              <w:t>-2</w:t>
            </w:r>
            <w:r>
              <w:rPr>
                <w:sz w:val="20"/>
              </w:rPr>
              <w:t xml:space="preserve"> · lx</w:t>
            </w:r>
            <w:r>
              <w:rPr>
                <w:sz w:val="20"/>
                <w:vertAlign w:val="superscript"/>
              </w:rPr>
              <w:t>-1</w:t>
            </w:r>
            <w:r>
              <w:rPr>
                <w:sz w:val="20"/>
              </w:rPr>
              <w:t>]</w:t>
            </w:r>
          </w:p>
        </w:tc>
        <w:tc>
          <w:tcPr>
            <w:tcW w:w="2126" w:type="dxa"/>
            <w:shd w:val="pct15" w:color="auto" w:fill="auto"/>
            <w:vAlign w:val="center"/>
          </w:tcPr>
          <w:p w:rsidR="0040352A" w:rsidRPr="008766C3" w:rsidRDefault="0040352A" w:rsidP="007E2174">
            <w:pPr>
              <w:ind w:left="0" w:firstLine="0"/>
              <w:rPr>
                <w:rFonts w:cs="Calibri"/>
                <w:sz w:val="20"/>
                <w:szCs w:val="20"/>
              </w:rPr>
            </w:pPr>
            <w:r>
              <w:rPr>
                <w:color w:val="000000"/>
                <w:sz w:val="20"/>
              </w:rPr>
              <w:t>υγρό, κλίση 2 %</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vertAlign w:val="superscript"/>
              </w:rPr>
            </w:pPr>
            <w:r>
              <w:rPr>
                <w:sz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sz w:val="20"/>
              </w:rPr>
              <w:lastRenderedPageBreak/>
              <w:t>Ορατότητα την ημέρα Qd [mcd · m</w:t>
            </w:r>
            <w:r>
              <w:rPr>
                <w:sz w:val="20"/>
                <w:vertAlign w:val="superscript"/>
              </w:rPr>
              <w:t>-2</w:t>
            </w:r>
            <w:r>
              <w:rPr>
                <w:sz w:val="20"/>
              </w:rPr>
              <w:t xml:space="preserve"> · lx</w:t>
            </w:r>
            <w:r>
              <w:rPr>
                <w:sz w:val="20"/>
                <w:vertAlign w:val="superscript"/>
              </w:rPr>
              <w:t>-1</w:t>
            </w:r>
            <w:r>
              <w:rPr>
                <w:sz w:val="20"/>
              </w:rPr>
              <w:t>]</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color w:val="000000"/>
                <w:sz w:val="20"/>
              </w:rPr>
              <w:t>Συντεταγμένες χρωματικότητας</w:t>
            </w:r>
          </w:p>
        </w:tc>
        <w:tc>
          <w:tcPr>
            <w:tcW w:w="2605" w:type="dxa"/>
            <w:gridSpan w:val="5"/>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rPr>
              <w:t>x =</w:t>
            </w:r>
          </w:p>
        </w:tc>
        <w:tc>
          <w:tcPr>
            <w:tcW w:w="2606" w:type="dxa"/>
            <w:gridSpan w:val="5"/>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rPr>
              <w:t>y =</w:t>
            </w:r>
          </w:p>
        </w:tc>
      </w:tr>
    </w:tbl>
    <w:p w:rsidR="0040352A" w:rsidRPr="008766C3" w:rsidRDefault="0040352A" w:rsidP="0040352A">
      <w:pPr>
        <w:ind w:left="0" w:firstLine="0"/>
        <w:rPr>
          <w:rFonts w:eastAsia="Times New Roman" w:cs="Calibri"/>
          <w:sz w:val="20"/>
          <w:szCs w:val="20"/>
        </w:rPr>
      </w:pPr>
      <w:r>
        <w:rPr>
          <w:b/>
          <w:color w:val="000000"/>
          <w:sz w:val="20"/>
          <w:vertAlign w:val="superscript"/>
        </w:rPr>
        <w:t>1)</w:t>
      </w:r>
      <w:r>
        <w:rPr>
          <w:b/>
          <w:color w:val="000000"/>
          <w:sz w:val="20"/>
        </w:rPr>
        <w:t xml:space="preserve"> Η τιμή αυτή προορίζεται αποκλειστικά για πληροφόρηση του αιτούντος.</w:t>
      </w:r>
    </w:p>
    <w:p w:rsidR="0040352A" w:rsidRPr="008766C3" w:rsidRDefault="0040352A" w:rsidP="0040352A">
      <w:pPr>
        <w:tabs>
          <w:tab w:val="left" w:pos="567"/>
          <w:tab w:val="left" w:pos="4536"/>
          <w:tab w:val="right" w:leader="underscore" w:pos="5954"/>
        </w:tabs>
        <w:spacing w:after="60"/>
        <w:ind w:left="4536" w:hanging="4252"/>
        <w:rPr>
          <w:rFonts w:cs="Calibri"/>
        </w:rPr>
      </w:pPr>
    </w:p>
    <w:p w:rsidR="0040352A" w:rsidRPr="008766C3" w:rsidRDefault="0040352A" w:rsidP="0040352A">
      <w:pPr>
        <w:ind w:left="0" w:firstLine="0"/>
        <w:rPr>
          <w:rFonts w:eastAsia="Times New Roman" w:cs="Calibri"/>
        </w:rPr>
      </w:pPr>
      <w:r>
        <w:rPr>
          <w:color w:val="000000"/>
        </w:rPr>
        <w:t>Κατόπιν εντολής</w:t>
      </w:r>
    </w:p>
    <w:p w:rsidR="0040352A" w:rsidRPr="008766C3" w:rsidRDefault="0040352A" w:rsidP="0040352A">
      <w:pPr>
        <w:tabs>
          <w:tab w:val="left" w:pos="567"/>
          <w:tab w:val="left" w:pos="4536"/>
          <w:tab w:val="right" w:leader="underscore" w:pos="5954"/>
        </w:tabs>
        <w:spacing w:after="60"/>
        <w:ind w:left="4536" w:hanging="4252"/>
        <w:rPr>
          <w:rFonts w:cs="Calibri"/>
        </w:rPr>
      </w:pPr>
    </w:p>
    <w:p w:rsidR="0040352A" w:rsidRPr="008766C3" w:rsidRDefault="0040352A" w:rsidP="0040352A">
      <w:pPr>
        <w:tabs>
          <w:tab w:val="left" w:leader="underscore" w:pos="2410"/>
        </w:tabs>
        <w:spacing w:after="60"/>
        <w:ind w:left="0" w:firstLine="0"/>
        <w:rPr>
          <w:rFonts w:cs="Calibri"/>
          <w:color w:val="000000"/>
          <w:sz w:val="20"/>
          <w:szCs w:val="20"/>
        </w:rPr>
      </w:pPr>
      <w:r>
        <w:tab/>
      </w:r>
    </w:p>
    <w:p w:rsidR="0040352A" w:rsidRPr="008766C3" w:rsidRDefault="0040352A" w:rsidP="0040352A">
      <w:pPr>
        <w:spacing w:after="60"/>
        <w:ind w:left="0" w:firstLine="0"/>
        <w:rPr>
          <w:rFonts w:eastAsia="Times New Roman" w:cs="Calibri"/>
          <w:sz w:val="20"/>
          <w:szCs w:val="20"/>
        </w:rPr>
      </w:pPr>
      <w:r>
        <w:rPr>
          <w:color w:val="000000"/>
          <w:sz w:val="20"/>
        </w:rPr>
        <w:t>Όνομα, ιδιότητα</w:t>
      </w:r>
    </w:p>
    <w:p w:rsidR="0040352A" w:rsidRDefault="0040352A" w:rsidP="0040352A">
      <w:pPr>
        <w:spacing w:after="60"/>
        <w:ind w:left="0" w:firstLine="0"/>
        <w:rPr>
          <w:rFonts w:cs="Calibri"/>
        </w:rPr>
      </w:pPr>
    </w:p>
    <w:p w:rsidR="0040352A" w:rsidRPr="008766C3" w:rsidRDefault="0040352A" w:rsidP="0040352A">
      <w:pPr>
        <w:spacing w:after="60"/>
        <w:ind w:left="0" w:firstLine="0"/>
        <w:rPr>
          <w:rFonts w:cs="Calibri"/>
        </w:rPr>
      </w:pPr>
      <w:r>
        <w:t>Σελίδα 1</w:t>
      </w:r>
    </w:p>
    <w:p w:rsidR="00B521EE" w:rsidRPr="003A38BA" w:rsidRDefault="00B521EE" w:rsidP="003E3497">
      <w:pPr>
        <w:pStyle w:val="Heading1"/>
        <w:pageBreakBefore/>
        <w:ind w:left="0" w:firstLine="0"/>
        <w:jc w:val="both"/>
        <w:rPr>
          <w:sz w:val="24"/>
          <w:szCs w:val="24"/>
        </w:rPr>
      </w:pPr>
      <w:bookmarkStart w:id="190" w:name="_Toc150173029"/>
      <w:bookmarkStart w:id="191" w:name="_Toc273346590"/>
      <w:bookmarkStart w:id="192" w:name="_Toc2194199"/>
      <w:bookmarkStart w:id="193" w:name="_Toc12476472"/>
      <w:r>
        <w:rPr>
          <w:sz w:val="24"/>
        </w:rPr>
        <w:lastRenderedPageBreak/>
        <w:t xml:space="preserve">Παράρτημα </w:t>
      </w:r>
      <w:bookmarkEnd w:id="190"/>
      <w:bookmarkEnd w:id="191"/>
      <w:r>
        <w:rPr>
          <w:sz w:val="24"/>
        </w:rPr>
        <w:t>B</w:t>
      </w:r>
      <w:bookmarkEnd w:id="192"/>
      <w:bookmarkEnd w:id="193"/>
    </w:p>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 xml:space="preserve">Λίστες VOC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3A38BA" w:rsidTr="00B30F3B">
        <w:trPr>
          <w:cantSplit/>
          <w:tblHeader/>
        </w:trPr>
        <w:tc>
          <w:tcPr>
            <w:tcW w:w="779" w:type="dxa"/>
            <w:shd w:val="pct25" w:color="auto" w:fill="FFFFFF"/>
            <w:vAlign w:val="center"/>
          </w:tcPr>
          <w:p w:rsidR="00536458" w:rsidRPr="003A38BA" w:rsidRDefault="00536458" w:rsidP="00B30F3B">
            <w:pPr>
              <w:pStyle w:val="Tablefootnote"/>
              <w:rPr>
                <w:rFonts w:asciiTheme="minorHAnsi" w:hAnsiTheme="minorHAnsi" w:cs="Arial"/>
                <w:sz w:val="22"/>
                <w:szCs w:val="22"/>
              </w:rPr>
            </w:pPr>
            <w:r>
              <w:rPr>
                <w:rFonts w:asciiTheme="minorHAnsi" w:hAnsiTheme="minorHAnsi"/>
                <w:sz w:val="22"/>
              </w:rPr>
              <w:t>Αύξων αριθ.</w:t>
            </w:r>
          </w:p>
        </w:tc>
        <w:tc>
          <w:tcPr>
            <w:tcW w:w="4536"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Υλικό/κατηγορία υλικών</w:t>
            </w:r>
          </w:p>
        </w:tc>
        <w:tc>
          <w:tcPr>
            <w:tcW w:w="1418"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Αριθμός CAS</w:t>
            </w:r>
          </w:p>
        </w:tc>
        <w:tc>
          <w:tcPr>
            <w:tcW w:w="1559" w:type="dxa"/>
            <w:tcBorders>
              <w:bottom w:val="nil"/>
            </w:tcBorders>
            <w:shd w:val="pct25" w:color="auto" w:fill="FFFFFF"/>
            <w:vAlign w:val="center"/>
          </w:tcPr>
          <w:p w:rsidR="00536458" w:rsidRPr="003A38BA" w:rsidRDefault="00536458" w:rsidP="00B30F3B">
            <w:pPr>
              <w:pStyle w:val="Tablefootnote"/>
              <w:rPr>
                <w:rFonts w:asciiTheme="minorHAnsi" w:hAnsiTheme="minorHAnsi" w:cs="Arial"/>
                <w:sz w:val="22"/>
                <w:szCs w:val="22"/>
              </w:rPr>
            </w:pPr>
            <w:r>
              <w:rPr>
                <w:rFonts w:asciiTheme="minorHAnsi" w:hAnsiTheme="minorHAnsi"/>
                <w:sz w:val="22"/>
              </w:rPr>
              <w:t>Αριθμός ευρετηρίου</w:t>
            </w:r>
          </w:p>
        </w:tc>
        <w:tc>
          <w:tcPr>
            <w:tcW w:w="1276"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Αριθμός ΕΚ</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Ακετόνη</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67-64-1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606-001-00-8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200-662-2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Βενζόλιο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71-43-2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601-020-00-8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200-753-7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04</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bookmarkStart w:id="194" w:name="_Toc403984708"/>
            <w:bookmarkStart w:id="195" w:name="_Toc452377833"/>
            <w:bookmarkStart w:id="196" w:name="_Toc475367432"/>
            <w:bookmarkStart w:id="197" w:name="_Toc514062858"/>
            <w:r>
              <w:rPr>
                <w:rFonts w:asciiTheme="minorHAnsi" w:hAnsiTheme="minorHAnsi"/>
                <w:sz w:val="22"/>
              </w:rPr>
              <w:t>δις(2-αιθοξυαιθυλ) αιθέρας</w:t>
            </w:r>
            <w:bookmarkEnd w:id="194"/>
            <w:bookmarkEnd w:id="195"/>
            <w:bookmarkEnd w:id="196"/>
            <w:bookmarkEnd w:id="197"/>
          </w:p>
          <w:p w:rsidR="00536458" w:rsidRPr="003A38BA" w:rsidRDefault="00536458" w:rsidP="00853381">
            <w:pPr>
              <w:pStyle w:val="Tablefootnote"/>
              <w:tabs>
                <w:tab w:val="clear" w:pos="340"/>
                <w:tab w:val="left" w:pos="0"/>
              </w:tabs>
              <w:rPr>
                <w:rFonts w:asciiTheme="minorHAnsi" w:hAnsiTheme="minorHAnsi" w:cs="Arial"/>
                <w:sz w:val="22"/>
                <w:szCs w:val="22"/>
              </w:rPr>
            </w:pPr>
            <w:bookmarkStart w:id="198" w:name="_Toc403984709"/>
            <w:bookmarkStart w:id="199" w:name="_Toc452377834"/>
            <w:bookmarkStart w:id="200" w:name="_Toc475367433"/>
            <w:bookmarkStart w:id="201" w:name="_Toc514062859"/>
            <w:r>
              <w:rPr>
                <w:rFonts w:asciiTheme="minorHAnsi" w:hAnsiTheme="minorHAnsi"/>
                <w:sz w:val="22"/>
              </w:rPr>
              <w:t>(διαιθυλενογλυκολδιμεθυλαιθέρας, διαιθυλενογλυκóλη)</w:t>
            </w:r>
            <w:bookmarkEnd w:id="198"/>
            <w:bookmarkEnd w:id="199"/>
            <w:bookmarkEnd w:id="200"/>
            <w:bookmarkEnd w:id="201"/>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111-96-6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Βουταν-1-όλη (βουτυλική αλκοόλη, 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71-36-3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200-751-6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Βουταν-2-όλη (βουτυλική αλκοόλη, sec-)</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78-92-2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603-127-00-5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201-158-5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2-n-βουτοξυαιθανόλη (αιθυλενογλυκοβουτυλαιθέρας, βουτυλική γλυκόλη)</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111-76-2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603-014-00-0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203-905-0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08</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bookmarkStart w:id="202" w:name="_Toc403984710"/>
            <w:bookmarkStart w:id="203" w:name="_Toc452377835"/>
            <w:bookmarkStart w:id="204" w:name="_Toc475367434"/>
            <w:bookmarkStart w:id="205" w:name="_Toc514062860"/>
            <w:r>
              <w:rPr>
                <w:rFonts w:asciiTheme="minorHAnsi" w:hAnsiTheme="minorHAnsi"/>
                <w:sz w:val="22"/>
              </w:rPr>
              <w:t>2-(2-n-βουτοξυαιθοξυ)αιθανόλη (μονοβουτυλαιθέρας της διαιθυλενογλυκόλης, βουτυλοδιγλυκόλη)</w:t>
            </w:r>
            <w:bookmarkEnd w:id="202"/>
            <w:bookmarkEnd w:id="203"/>
            <w:bookmarkEnd w:id="204"/>
            <w:bookmarkEnd w:id="205"/>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112-34-5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603-096-00-8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203-961-6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2-n-Βουτοξυαιθυλεστέρας (ethylene glycol monobutyl ether acetate, butylglycol acetate)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112-07-2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607-038-00-2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203-933-3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Βουτοξυπροπανόλη (μείγμα ισομερών)</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διάφορα</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1-n-βουτοξυπροπαν-2-όλη</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5131-66-8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603-052-00-8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225-878-4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1-τριτοταγής-βουτοξυπροπαν-2-όλη</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57018-52-7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603-129-00-6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406-180-0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Οξικός βουτυλεστέρας, 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123-86-4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607-025-00-1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204-658-1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Οξικός δευτεροταγής βουτυλεστέρας (sec)</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105-46-4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203-300-1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Οξικός τριτοταγής βουτυλεστέρας</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540-88-5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208-760-7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4-Βουτυρολακτόνη (τετραϋδρο-2-φουρανόνη)</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96-48-0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Κουμένιο (ισοπροπυλοβενζόλιο)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98-82-8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601-024-00-X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202-704-5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Κυκλοεξάνιο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110-82-7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601-017-00-1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203-806-2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p-κυμόλιο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99-87-6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Διχλωρομεθάνιο (μεθυλενοχλωρίδιο)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75-09-2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602-004-00-3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200-838-9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1,2-Διαιθοξυαιθάνιο (Ethylene glycol diethyl ether, διαιθυλογλυκόλη)</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629-14-1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Διαιθυλαιθέρας</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60-29-7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603-022-00-4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200-467-2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Διισοπροπυλαιθέρας (2-ισοπροπυλαιθέρας)</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108-20-3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603-045-00-X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203-560-6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1,1-διμεθοξυαιθάνιο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534-15-6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605-007-00-8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534-15-6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1,2-διμεθοξυαιθάνιο (Ethylene glycol dimethyl ether, Dimethyl glycol)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110-71-4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603-031-003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203-794-9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Διμεθυλαιθέρας</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115-10-6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603-019-00-8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204-065-8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lastRenderedPageBreak/>
              <w:t>27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1,4-διοξάνιο (Diethylene dioxide)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123-91-1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603-024-00-5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204-661-8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Διπροπυλαιθέρας (προπυλαιθέρας)</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111-43-3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603-045-00-X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203-869-6</w:t>
            </w:r>
          </w:p>
        </w:tc>
      </w:tr>
      <w:tr w:rsidR="00536458" w:rsidRPr="003A38BA" w:rsidTr="003E3497">
        <w:trPr>
          <w:cantSplit/>
        </w:trPr>
        <w:tc>
          <w:tcPr>
            <w:tcW w:w="779"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29</w:t>
            </w:r>
          </w:p>
        </w:tc>
        <w:tc>
          <w:tcPr>
            <w:tcW w:w="4536" w:type="dxa"/>
            <w:tcBorders>
              <w:bottom w:val="single" w:sz="4" w:space="0" w:color="auto"/>
            </w:tcBorders>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Οξικό οξύ</w:t>
            </w:r>
          </w:p>
        </w:tc>
        <w:tc>
          <w:tcPr>
            <w:tcW w:w="1418"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64-19-7</w:t>
            </w:r>
          </w:p>
        </w:tc>
        <w:tc>
          <w:tcPr>
            <w:tcW w:w="1559"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607-002-00-6</w:t>
            </w:r>
          </w:p>
        </w:tc>
        <w:tc>
          <w:tcPr>
            <w:tcW w:w="1276"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200-580-7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Οξικός ανυδρίτης</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108-24-7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607-008-00-9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203-564-8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Αιθανόλη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64-17-5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603-002-00-5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200-578-6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2-αιθοξυαιθανόλη (Ethylene glycol monoethyl ether, Ethyl glycol)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110-80-5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603-012-00-X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203-804-1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1-Αιθοξυπροπαν-2-όλη (Propylene glycol monoethyl 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4/2/1569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Οξικός αιθυλεστέρας</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141-78-6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607-022-00-5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205-500-4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Αιθυλοβενζόλιο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100-41-4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601-023-00-4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202-849-4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Μυρμηκικός αιθυλεστέρας</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109-94-4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607-015-00-7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203-721-0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Επτάνιο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147-82-5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601-008-00-2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205-563-8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n-εξάνιο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110-54-3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601-037-00-0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203-777-6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Εξάνιο (μείγμα ισομερών)</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92112-69-1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601-007-00-7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295-570-2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Εξαν-1-όλη</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111-27-3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603-059-00-6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203-852-3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Οξικός ισοβουτυλεστέρας</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110-19-0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203-745-1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Οξικός ισοπροπυλεστέρας</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108-21-4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203-561-1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Μεθανόλη</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67-56-1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603-001-00-X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200-659-6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Οξικός 1-μεθοξυ-2-προπυλεστέρας (Propylene glycol monomethyl ether acetate)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108-65-6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2-μεθοξυαιθανόλη (Ethylene glycol monomethyl ether, Methyl glycol)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109-86-4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603-011-00-4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203-713-7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Οξικός 2-μεθοαιθυλεστέρας (Methyl glycol acetate)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110-49-6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607-036-00-1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203-772-9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1-μεθοξυπροπαν-2-όλη (προπυλενογλυκολομεθυλαιθέρας)</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107-98-2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Οξικός μεθυλεστέρας</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79-20-9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607-021-00-X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201-185-2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2-μεθυλοβουτάνιο (ισοπεντάνιο)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78-78-4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601-006-00-1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201-142-8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Μεθυλοκυκλοεξάνιο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108-87-2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601-018-00-7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203-624-3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μεθυλοαιθυλοκετόνη (2-βουτανόνη, MEK)</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78-93-3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606-002-00-3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201-159-0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Μυρμηκικός μεθυλεστέρας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107-31-3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607-014-00-1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203-481-7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2-μεθυλοπεντάνιο (ισοεξάνιο)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107-83-5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203-523-4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4-μεθυλοπενταν-2-όνη (μεθυλοϊσοβουτυλοκετόνη, MIBK)</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108-10-1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606-004-00-4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203-550-1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2-Μεθυλοπροπάνιο (ισοβουτάνιο)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75-28-5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lastRenderedPageBreak/>
              <w:t>59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Πεντάνιο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109-66-0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601-006-00-1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203-692-4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2-μεθυλοπροπαν-1-ολη (ισοβουτανόλη)</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78-83-1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603-108-00-1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201-148-0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58</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r>
              <w:rPr>
                <w:rFonts w:asciiTheme="minorHAnsi" w:hAnsiTheme="minorHAnsi"/>
                <w:sz w:val="22"/>
              </w:rPr>
              <w:t>N-μεθυλ-2-πυρολιδονη (1-μεθυλ-2-πυρολιδονη)</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872-50-4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606-021-00-7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212-828-1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Πενταν-1-ολη (n-Amyl alcohol)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71-41-0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200-752-1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Πενταν-2-ολη (δευτεροταγής αμυλική αλκοόλη)</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6032-29-7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227-907-6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Πεντανόλη (μείγματα ισομερών)</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διάφορα</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πετρελαϊκός αιθέρας + βενζίνη (κυρίως μη αρωματικά μείγματα υδρογονανθράκων)</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διάφορα</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Πετρέλαιο (κυρίως μη αρωματικά μείγματα υδρογονανθράκων) κλάσματα με σημείο βρασμού στους 240°C σε 1.013,25 mbar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διάφορα</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Προπαν-1-ολη</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71-23-8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603-003-00-0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200-746-9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Προπαν-2-ολη (ισοπροπυλική αλκοόλη, ισοπροπανόλη)</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67-63-0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603-117-00-0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200-661-7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2-(προπυλοξυ)αιθανόλη (Ethylene glycol monopropyl ether, Propyl glycol)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2807-30-9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603-095-00-2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220-548-6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Οξικός προπυλεστέρας, n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109-60-4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203-686-1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Στυρόλιο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100-42-5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601-026-00-0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202-851-5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Υπερχλωροαιθυλένιο (Perchlorethylen, PER)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127-18-4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602-028-00-4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204-825-9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Τετραϋδροφουράνιο (οξολάνιο)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109-99-9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603-025-00-0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203-726-8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Τολουόλη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108-88-3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601-021-00-3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203-625-9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Τριχλωροαιθυλένιο</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79-01-6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602-027-00-9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201-167-4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Τριμεθυλοβενζόλιο 1,2,3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526-73-8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Τριμεθυλοβενζόλιο 1,2,4</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95-63-6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601-043-00-3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202-436-9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Τριμεθυλοβενζόλιο 1,3,5</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108-67-8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Τριμεθυλοβενζόλιο (μείγματα ισομερών)</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διάφορα</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White Spirits (κυρίως μη αρωματικά μείγματα υδρογονανθράκων)</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διάφορα</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Ξυλόλιο 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95-47-6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202-422-2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Ξυλόλιο m-</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108-38-3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203-576-3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80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Ξυλόλιο p-</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106-42-3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203-396-5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81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Ξυλόλια (μείγματα ισομερών)</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1330-20-7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215-535-7</w:t>
            </w:r>
          </w:p>
        </w:tc>
      </w:tr>
    </w:tbl>
    <w:p w:rsidR="00536458" w:rsidRPr="003A38BA" w:rsidRDefault="00536458" w:rsidP="00536458">
      <w:pPr>
        <w:pStyle w:val="Tablefootnote"/>
        <w:ind w:left="340" w:hanging="340"/>
        <w:rPr>
          <w:rFonts w:asciiTheme="minorHAnsi" w:hAnsiTheme="minorHAnsi" w:cs="Arial"/>
          <w:sz w:val="22"/>
          <w:szCs w:val="22"/>
        </w:rPr>
      </w:pPr>
    </w:p>
    <w:p w:rsidR="00536458" w:rsidRPr="003A38BA" w:rsidRDefault="00536458" w:rsidP="00B30F3B">
      <w:pPr>
        <w:pStyle w:val="Tablefootnote"/>
        <w:keepNext/>
        <w:keepLines/>
        <w:tabs>
          <w:tab w:val="clear" w:pos="340"/>
          <w:tab w:val="left" w:pos="0"/>
        </w:tabs>
        <w:rPr>
          <w:rFonts w:asciiTheme="minorHAnsi" w:hAnsiTheme="minorHAnsi" w:cs="Arial"/>
          <w:sz w:val="22"/>
          <w:szCs w:val="22"/>
        </w:rPr>
      </w:pPr>
      <w:r>
        <w:rPr>
          <w:rFonts w:asciiTheme="minorHAnsi" w:hAnsiTheme="minorHAnsi"/>
          <w:sz w:val="22"/>
        </w:rPr>
        <w:lastRenderedPageBreak/>
        <w:t>Τα παρακάτω μείγματα ουσιών αποτελούνται από ένα μικρό αριθμό επιμέρους ενώσεων που γενικά μπορούν να καταγραφούν και μεμονωμένα.</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3A38BA" w:rsidTr="00536458">
        <w:trPr>
          <w:cantSplit/>
        </w:trPr>
        <w:tc>
          <w:tcPr>
            <w:tcW w:w="779" w:type="dxa"/>
            <w:shd w:val="pct25" w:color="auto" w:fill="FFFFFF"/>
            <w:vAlign w:val="center"/>
          </w:tcPr>
          <w:p w:rsidR="00536458" w:rsidRPr="003A38BA" w:rsidRDefault="00536458" w:rsidP="00B30F3B">
            <w:pPr>
              <w:pStyle w:val="Tablefootnote"/>
              <w:keepNext/>
              <w:keepLines/>
              <w:rPr>
                <w:rFonts w:asciiTheme="minorHAnsi" w:hAnsiTheme="minorHAnsi" w:cs="Arial"/>
                <w:sz w:val="22"/>
                <w:szCs w:val="22"/>
              </w:rPr>
            </w:pPr>
            <w:r>
              <w:rPr>
                <w:rFonts w:asciiTheme="minorHAnsi" w:hAnsiTheme="minorHAnsi"/>
                <w:sz w:val="22"/>
              </w:rPr>
              <w:t>Αύξων αριθ.</w:t>
            </w:r>
          </w:p>
        </w:tc>
        <w:tc>
          <w:tcPr>
            <w:tcW w:w="4536" w:type="dxa"/>
            <w:shd w:val="pct25" w:color="auto" w:fill="FFFFFF"/>
            <w:vAlign w:val="center"/>
          </w:tcPr>
          <w:p w:rsidR="00536458" w:rsidRPr="003A38BA" w:rsidRDefault="00536458" w:rsidP="00B30F3B">
            <w:pPr>
              <w:pStyle w:val="Tablefootnote"/>
              <w:keepNext/>
              <w:keepLines/>
              <w:rPr>
                <w:rFonts w:asciiTheme="minorHAnsi" w:hAnsiTheme="minorHAnsi" w:cs="Arial"/>
                <w:sz w:val="22"/>
                <w:szCs w:val="22"/>
              </w:rPr>
            </w:pPr>
            <w:r>
              <w:rPr>
                <w:rFonts w:asciiTheme="minorHAnsi" w:hAnsiTheme="minorHAnsi"/>
                <w:sz w:val="22"/>
              </w:rPr>
              <w:t>Υλικό/κατηγορία υλικών</w:t>
            </w:r>
          </w:p>
        </w:tc>
        <w:tc>
          <w:tcPr>
            <w:tcW w:w="1418" w:type="dxa"/>
            <w:shd w:val="pct25" w:color="auto" w:fill="FFFFFF"/>
            <w:vAlign w:val="center"/>
          </w:tcPr>
          <w:p w:rsidR="00536458" w:rsidRPr="003A38BA" w:rsidRDefault="00536458" w:rsidP="00B30F3B">
            <w:pPr>
              <w:pStyle w:val="Tablefootnote"/>
              <w:keepNext/>
              <w:keepLines/>
              <w:rPr>
                <w:rFonts w:asciiTheme="minorHAnsi" w:hAnsiTheme="minorHAnsi" w:cs="Arial"/>
                <w:sz w:val="22"/>
                <w:szCs w:val="22"/>
              </w:rPr>
            </w:pPr>
            <w:r>
              <w:rPr>
                <w:rFonts w:asciiTheme="minorHAnsi" w:hAnsiTheme="minorHAnsi"/>
                <w:sz w:val="22"/>
              </w:rPr>
              <w:t>Αριθμός CAS</w:t>
            </w:r>
          </w:p>
        </w:tc>
        <w:tc>
          <w:tcPr>
            <w:tcW w:w="1559" w:type="dxa"/>
            <w:tcBorders>
              <w:bottom w:val="nil"/>
            </w:tcBorders>
            <w:shd w:val="pct25" w:color="auto" w:fill="FFFFFF"/>
            <w:vAlign w:val="center"/>
          </w:tcPr>
          <w:p w:rsidR="00536458" w:rsidRPr="003A38BA" w:rsidRDefault="00536458" w:rsidP="00B30F3B">
            <w:pPr>
              <w:pStyle w:val="Tablefootnote"/>
              <w:keepNext/>
              <w:keepLines/>
              <w:rPr>
                <w:rFonts w:asciiTheme="minorHAnsi" w:hAnsiTheme="minorHAnsi" w:cs="Arial"/>
                <w:sz w:val="22"/>
                <w:szCs w:val="22"/>
              </w:rPr>
            </w:pPr>
            <w:r>
              <w:rPr>
                <w:rFonts w:asciiTheme="minorHAnsi" w:hAnsiTheme="minorHAnsi"/>
                <w:sz w:val="22"/>
              </w:rPr>
              <w:t>Αριθμός ευρετηρίου</w:t>
            </w:r>
          </w:p>
        </w:tc>
        <w:tc>
          <w:tcPr>
            <w:tcW w:w="1276" w:type="dxa"/>
            <w:tcBorders>
              <w:bottom w:val="nil"/>
            </w:tcBorders>
            <w:shd w:val="pct25" w:color="auto" w:fill="FFFFFF"/>
            <w:vAlign w:val="center"/>
          </w:tcPr>
          <w:p w:rsidR="00536458" w:rsidRPr="003A38BA" w:rsidRDefault="00536458" w:rsidP="00B30F3B">
            <w:pPr>
              <w:pStyle w:val="Tablefootnote"/>
              <w:keepNext/>
              <w:keepLines/>
              <w:rPr>
                <w:rFonts w:asciiTheme="minorHAnsi" w:hAnsiTheme="minorHAnsi" w:cs="Arial"/>
                <w:sz w:val="22"/>
                <w:szCs w:val="22"/>
              </w:rPr>
            </w:pPr>
            <w:r>
              <w:rPr>
                <w:rFonts w:asciiTheme="minorHAnsi" w:hAnsiTheme="minorHAnsi"/>
                <w:sz w:val="22"/>
              </w:rPr>
              <w:t>Αριθμός ΕΚ</w:t>
            </w:r>
          </w:p>
        </w:tc>
      </w:tr>
      <w:tr w:rsidR="00536458" w:rsidRPr="003A38BA" w:rsidTr="00536458">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76</w:t>
            </w:r>
          </w:p>
        </w:tc>
        <w:tc>
          <w:tcPr>
            <w:tcW w:w="453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Τριμεθυλοβενζόλιο (μείγματα ισομερών)</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διάφορα</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536458">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81</w:t>
            </w:r>
          </w:p>
        </w:tc>
        <w:tc>
          <w:tcPr>
            <w:tcW w:w="453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Ξυλόλια (μείγματα ισομερών)</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1330-20-7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215-535-7</w:t>
            </w:r>
          </w:p>
        </w:tc>
      </w:tr>
    </w:tbl>
    <w:p w:rsidR="00F653D9" w:rsidRPr="003A38BA" w:rsidRDefault="00B1266C" w:rsidP="007C21AF">
      <w:pPr>
        <w:pStyle w:val="Heading1"/>
        <w:pageBreakBefore/>
        <w:ind w:left="0" w:firstLine="0"/>
        <w:jc w:val="both"/>
        <w:rPr>
          <w:sz w:val="24"/>
          <w:szCs w:val="24"/>
        </w:rPr>
      </w:pPr>
      <w:bookmarkStart w:id="206" w:name="_Toc2194200"/>
      <w:bookmarkStart w:id="207" w:name="_Toc12476473"/>
      <w:r>
        <w:rPr>
          <w:sz w:val="24"/>
        </w:rPr>
        <w:lastRenderedPageBreak/>
        <w:t>Παράρτημα Γ</w:t>
      </w:r>
      <w:bookmarkEnd w:id="206"/>
      <w:bookmarkEnd w:id="207"/>
    </w:p>
    <w:p w:rsidR="00B1266C" w:rsidRPr="003A38BA" w:rsidRDefault="00B1266C" w:rsidP="007C21AF">
      <w:pPr>
        <w:pStyle w:val="Title"/>
        <w:jc w:val="both"/>
        <w:rPr>
          <w:rFonts w:asciiTheme="minorHAnsi" w:hAnsiTheme="minorHAnsi"/>
        </w:rPr>
      </w:pPr>
      <w:r>
        <w:rPr>
          <w:rFonts w:asciiTheme="minorHAnsi" w:hAnsiTheme="minorHAnsi"/>
        </w:rPr>
        <w:t>Διασφάλιση της ποιότητας των υλικών επίπασης για όλα τα συστήματα επισήμανσης και των συστημάτων προανάμιξης θερμοπλαστικών</w:t>
      </w:r>
    </w:p>
    <w:p w:rsidR="00B1266C" w:rsidRPr="003A38BA" w:rsidRDefault="00B1266C" w:rsidP="007C21AF">
      <w:pPr>
        <w:pStyle w:val="Tablefootnote"/>
        <w:tabs>
          <w:tab w:val="clear" w:pos="340"/>
          <w:tab w:val="left" w:pos="0"/>
        </w:tabs>
        <w:rPr>
          <w:rFonts w:asciiTheme="minorHAnsi" w:hAnsiTheme="minorHAnsi" w:cs="Arial"/>
          <w:sz w:val="24"/>
          <w:szCs w:val="24"/>
        </w:rPr>
      </w:pPr>
    </w:p>
    <w:p w:rsidR="00B1266C" w:rsidRPr="003A38BA" w:rsidRDefault="00B1266C" w:rsidP="007C21AF">
      <w:pPr>
        <w:pStyle w:val="Tablefootnote"/>
        <w:tabs>
          <w:tab w:val="clear" w:pos="340"/>
          <w:tab w:val="left" w:pos="0"/>
        </w:tabs>
        <w:rPr>
          <w:rFonts w:asciiTheme="minorHAnsi" w:hAnsiTheme="minorHAnsi" w:cs="Arial"/>
          <w:sz w:val="24"/>
          <w:szCs w:val="24"/>
        </w:rPr>
      </w:pPr>
      <w:r>
        <w:rPr>
          <w:rFonts w:asciiTheme="minorHAnsi" w:hAnsiTheme="minorHAnsi"/>
          <w:sz w:val="24"/>
        </w:rPr>
        <w:t>Για τη διασφάλιση της ποιότητας των υλικών επίπασης και των συστημάτων προανάμιξης θερμοπλαστικών καθορίζονται οι εξής παράμετροι για τη δοκιμή πρωτοτύπων των μειγμάτων επίπασης για όλα τα συστήματα σήμανσης και των συστημάτων προανάμιξης των θερμοπλαστικών</w:t>
      </w:r>
      <w:r>
        <w:rPr>
          <w:rStyle w:val="FootnoteReference"/>
          <w:rFonts w:asciiTheme="minorHAnsi" w:hAnsiTheme="minorHAnsi"/>
          <w:sz w:val="24"/>
        </w:rPr>
        <w:footnoteReference w:id="5"/>
      </w:r>
      <w:r>
        <w:rPr>
          <w:rFonts w:asciiTheme="minorHAnsi" w:hAnsiTheme="minorHAnsi"/>
          <w:sz w:val="24"/>
        </w:rPr>
        <w:t>:</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Τα κόσκινα που πρέπει να χρησιμοποιούνται για τον υπολογισμό της κοκκομετρικής καμπύλης αναφέρονται στο DIN EN 1423 του ISO 565 – Διαστάσεις R40/3. Όσον αφορά υλικά επίπασης, τουλάχιστον 5 % (σωρευτικά) των ανακλαστικών σφαιριδίων θα πρέπει να συγκρατούνται στο κόσκινο, ήτοι ένα μέγεθος μικρότερο από το ονομαστικό κόσκινο που αναφέρεται παραπάνω σύμφωνα με το ISO 565 - Διαστάσεις R40/3. </w:t>
      </w:r>
    </w:p>
    <w:p w:rsidR="00B1266C" w:rsidRPr="003A38BA" w:rsidRDefault="00B1266C" w:rsidP="007C21AF">
      <w:pPr>
        <w:jc w:val="both"/>
        <w:rPr>
          <w:snapToGrid w:val="0"/>
          <w:sz w:val="24"/>
        </w:rPr>
      </w:pPr>
    </w:p>
    <w:p w:rsidR="00B1266C" w:rsidRPr="003A38BA" w:rsidRDefault="00B1266C" w:rsidP="00B30F3B">
      <w:pPr>
        <w:pStyle w:val="BodyTextIndent"/>
        <w:ind w:left="357" w:firstLine="0"/>
        <w:jc w:val="both"/>
      </w:pPr>
      <w:r>
        <w:rPr>
          <w:snapToGrid w:val="0"/>
          <w:sz w:val="24"/>
        </w:rPr>
        <w:t>Έτσι διασφαλίζεται ότι στα υλικά επίπασης υπάρχουν επαρκή μεγάλα ανακλαστικά σφαιρίδια για να εξασφαλίζουν επαρκή ανακλαστικότητα</w:t>
      </w:r>
      <w:r>
        <w:t xml:space="preserve">.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Η κοκκομετρική καμπύλη των υλικών επίπασης που υπολογίζεται κατά τη δοκιμή καταλληλότητας από το διαπιστευμένο εργαστήριο δοκιμών με το Camsizer κατατίθεται ως πρωτότυπο, εφόσον ο αιτών/διανομέας υλικών επίπασης δεν μπορεί να παρέχει Camsizer κοκκομετρικής καμπύλης. Η επιτρεπόμενη ανοχή του κατάλοιπου σε κάθε κόσκινο που δηλώνεται σύμφωνα με τις προδιαγραφές ανέρχεται μελλοντικά σε ± 50 % σχετ. Καταρχήν, πρέπει να τηρείται η τιμή 5 % των ανακλαστικών σφαιριδίων που αναφέρεται στο εδάφιο 1, ήτοι το κριτήριο του 5 % πρέπει να τηρείται ακόμα και μετά την εφαρμογή της ανοχής 50 % για το κατάλοιπο του αντίστοιχου κόσκινου. </w:t>
      </w:r>
    </w:p>
    <w:p w:rsidR="00B1266C" w:rsidRPr="003A38BA" w:rsidRDefault="00B1266C" w:rsidP="007C21AF">
      <w:pPr>
        <w:jc w:val="both"/>
        <w:rPr>
          <w:snapToGrid w:val="0"/>
          <w:sz w:val="24"/>
        </w:rPr>
      </w:pPr>
    </w:p>
    <w:p w:rsidR="00B1266C" w:rsidRPr="003A38BA" w:rsidRDefault="00B1266C" w:rsidP="007C21AF">
      <w:pPr>
        <w:ind w:left="360" w:firstLine="0"/>
        <w:jc w:val="both"/>
        <w:rPr>
          <w:snapToGrid w:val="0"/>
          <w:sz w:val="24"/>
        </w:rPr>
      </w:pPr>
      <w:r>
        <w:rPr>
          <w:snapToGrid w:val="0"/>
          <w:sz w:val="24"/>
        </w:rPr>
        <w:t xml:space="preserve">Παράδειγμα: Αν κατά τη δοκιμή καταλληλότητας στο κόσκινο 500 μm καθορίστηκαν ως κατάλοιπο 30 g, το εύρος ανοχής κυμαίνεται από 15 g έως 45 g. Αυτό θα πρέπει να διασφαλίζει ότι τα μείγματα υλικών επίπασης που παραδόθηκαν στην πράξη αντιστοιχούν στα δείγματα που υποβλήθηκαν στο διαπιστευμένο εργαστήριο δοκιμών για δοκιμή καταλληλότητας εντός των ενδεικτικών ορίων.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Όσον αφορά τη δειγματοληψία κατά τη δοκιμή καταλληλότητας, ο κατασκευαστής είναι υπεύθυνος για την υποβολή αντιπροσωπευτικού δείγματος στο διαπιστευμένο εργαστήριο δοκιμών. Το υλικό επίπασης που παραδόθηκε από τους κατασκευαστές για τη δοκιμή καταλληλότητας, για παράδειγμα ένα δοχείο 25 kg, κατανέμεται σε μεγέθη απαραίτητα για τη δοκιμή με διαιρέτη 1/1.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Στην εμπορική ονομασία του υλικού επίπασης μπορεί να αναφέρεται μόνο η πρωταρχική κοκκομετρική καμπύλη.</w:t>
      </w:r>
    </w:p>
    <w:sectPr w:rsidR="00B1266C" w:rsidRPr="003A38BA" w:rsidSect="00E6359B">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EF9" w:rsidRDefault="00C63EF9" w:rsidP="006D5959">
      <w:r>
        <w:separator/>
      </w:r>
    </w:p>
  </w:endnote>
  <w:endnote w:type="continuationSeparator" w:id="0">
    <w:p w:rsidR="00C63EF9" w:rsidRDefault="00C63EF9" w:rsidP="006D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tabs>
        <w:tab w:val="left" w:pos="3686"/>
      </w:tabs>
      <w:ind w:right="360"/>
      <w:rPr>
        <w:sz w:val="24"/>
      </w:rPr>
    </w:pPr>
    <w:r>
      <w:rPr>
        <w:sz w:val="24"/>
      </w:rPr>
      <w:fldChar w:fldCharType="begin"/>
    </w:r>
    <w:r>
      <w:rPr>
        <w:sz w:val="24"/>
      </w:rPr>
      <w:instrText xml:space="preserve"> PAGE </w:instrText>
    </w:r>
    <w:r>
      <w:rPr>
        <w:sz w:val="24"/>
      </w:rPr>
      <w:fldChar w:fldCharType="separate"/>
    </w:r>
    <w:r>
      <w:rPr>
        <w:noProof/>
        <w:sz w:val="24"/>
      </w:rPr>
      <w:t>XXIV</w:t>
    </w:r>
    <w:r>
      <w:rPr>
        <w:sz w:val="24"/>
      </w:rPr>
      <w:fldChar w:fldCharType="end"/>
    </w:r>
    <w:r>
      <w:tab/>
    </w:r>
    <w:r>
      <w:rPr>
        <w:sz w:val="24"/>
      </w:rPr>
      <w:t>Σχέδιο Ιουνίου 1997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EF9" w:rsidRDefault="00C63EF9" w:rsidP="006D5959">
      <w:r>
        <w:separator/>
      </w:r>
    </w:p>
  </w:footnote>
  <w:footnote w:type="continuationSeparator" w:id="0">
    <w:p w:rsidR="00C63EF9" w:rsidRDefault="00C63EF9" w:rsidP="006D5959">
      <w:r>
        <w:continuationSeparator/>
      </w:r>
    </w:p>
  </w:footnote>
  <w:footnote w:id="1">
    <w:p w:rsidR="003A38BA" w:rsidRDefault="003A38BA" w:rsidP="003E3497">
      <w:pPr>
        <w:spacing w:after="120"/>
        <w:ind w:left="0" w:firstLine="0"/>
      </w:pPr>
      <w:r>
        <w:rPr>
          <w:rStyle w:val="FootnoteReference"/>
        </w:rPr>
        <w:footnoteRef/>
      </w:r>
      <w:r>
        <w:t xml:space="preserve"> Οι καταγεγραμμένες μέθοδοι εφαρμογής μπορούν να είναι καταχωρημένα εμπορικά σήματα ή να υπόκεινται σε προστασία με υπόδειγμα χρησιμότητας.</w:t>
      </w:r>
    </w:p>
  </w:footnote>
  <w:footnote w:id="2">
    <w:p w:rsidR="003A38BA" w:rsidRDefault="003A38BA" w:rsidP="003E3497">
      <w:pPr>
        <w:spacing w:after="120"/>
        <w:ind w:left="0" w:firstLine="0"/>
      </w:pPr>
      <w:r>
        <w:rPr>
          <w:rStyle w:val="FootnoteReference"/>
        </w:rPr>
        <w:footnoteRef/>
      </w:r>
      <w:r>
        <w:t xml:space="preserve"> Ο χρόνος ξήρανσης έως τη δυνατότητα διέλευσης εξαρτάται μεταξύ άλλων από τις καιρικές συνθήκες και την ποσότητα εφαρμογής του υλικού. Ο χρόνος ξήρανσης έως τη δυνατότητα διέλευσης που επιτυγχάνεται στο εργαστήριο δεν πρέπει να θεωρείται εγγύηση για τον χρόνο ξήρανσης υπό τις τοπικές συνθήκες.</w:t>
      </w:r>
    </w:p>
  </w:footnote>
  <w:footnote w:id="3">
    <w:p w:rsidR="003A38BA" w:rsidRDefault="003A38BA" w:rsidP="001D4247">
      <w:pPr>
        <w:spacing w:after="120"/>
        <w:ind w:left="0" w:firstLine="0"/>
      </w:pPr>
      <w:r>
        <w:rPr>
          <w:vertAlign w:val="superscript"/>
        </w:rPr>
        <w:footnoteRef/>
      </w:r>
      <w:r>
        <w:t xml:space="preserve"> Κατά τη διάρκεια της δοκιμής γίνεται αντικατάσταση των φθαρμένων ελαστικών.</w:t>
      </w:r>
    </w:p>
  </w:footnote>
  <w:footnote w:id="4">
    <w:p w:rsidR="003A38BA" w:rsidRDefault="003A38BA" w:rsidP="001D4247">
      <w:pPr>
        <w:spacing w:after="120"/>
        <w:ind w:left="0" w:firstLine="0"/>
      </w:pPr>
      <w:r>
        <w:rPr>
          <w:vertAlign w:val="superscript"/>
        </w:rPr>
        <w:footnoteRef/>
      </w:r>
      <w:r>
        <w:t xml:space="preserve"> Τα δύο πρότυπα πρόκειται να ενωθούν μελλοντικά. Επιτρέπεται η χρήση υλικών επίπασης και (μελλοντικά) υλικών προανάμιξης μόνο εφόσον φέρουν τη σήμανση CE.</w:t>
      </w:r>
    </w:p>
  </w:footnote>
  <w:footnote w:id="5">
    <w:p w:rsidR="003A38BA" w:rsidRDefault="003A38BA" w:rsidP="001D4247">
      <w:pPr>
        <w:spacing w:after="120"/>
        <w:ind w:left="0" w:firstLine="0"/>
      </w:pPr>
      <w:r>
        <w:rPr>
          <w:vertAlign w:val="superscript"/>
        </w:rPr>
        <w:footnoteRef/>
      </w:r>
      <w:r>
        <w:t xml:space="preserve"> Βασική αρχή: Συμφωνία μεταξύ του Ομοσπονδιακού Ερευνητικού Ινστιτούτου Οδοποιίας (BASt), των κατασκευαστών σφαιριδίων και της DSGS στο Bergisch-Gladbach και στο Braunlage τον Αύγουστο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jc w:val="center"/>
      <w:rPr>
        <w:sz w:val="24"/>
      </w:rPr>
    </w:pPr>
    <w:r>
      <w:rPr>
        <w:sz w:val="24"/>
      </w:rPr>
      <w:t>TL-M 97</w:t>
    </w:r>
  </w:p>
  <w:p w:rsidR="003A38BA" w:rsidRDefault="003A38BA">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0699"/>
      <w:docPartObj>
        <w:docPartGallery w:val="Page Numbers (Top of Page)"/>
        <w:docPartUnique/>
      </w:docPartObj>
    </w:sdtPr>
    <w:sdtEndPr/>
    <w:sdtContent>
      <w:p w:rsidR="003A38BA" w:rsidRPr="00C427EB" w:rsidRDefault="003A38BA">
        <w:pPr>
          <w:pStyle w:val="Header"/>
          <w:jc w:val="center"/>
        </w:pPr>
        <w:r>
          <w:fldChar w:fldCharType="begin"/>
        </w:r>
        <w:r>
          <w:instrText xml:space="preserve"> PAGE  \* Arabic  \* MERGEFORMAT </w:instrText>
        </w:r>
        <w:r>
          <w:fldChar w:fldCharType="separate"/>
        </w:r>
        <w:r w:rsidR="00DF289F">
          <w:rPr>
            <w:noProof/>
          </w:rPr>
          <w:t>2</w:t>
        </w:r>
        <w:r>
          <w:rPr>
            <w:noProof/>
          </w:rPr>
          <w:fldChar w:fldCharType="end"/>
        </w:r>
      </w:p>
    </w:sdtContent>
  </w:sdt>
  <w:p w:rsidR="003A38BA" w:rsidRDefault="003A38B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rsidP="00B032BC">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42298F0"/>
    <w:lvl w:ilvl="0">
      <w:start w:val="1"/>
      <w:numFmt w:val="decimal"/>
      <w:lvlText w:val="%1."/>
      <w:lvlJc w:val="left"/>
      <w:rPr>
        <w:rFonts w:asciiTheme="minorHAnsi" w:hAnsiTheme="minorHAnsi" w:cs="Arial" w:hint="default"/>
        <w:b/>
        <w:bCs/>
        <w:i w:val="0"/>
        <w:iCs w:val="0"/>
        <w:smallCaps w:val="0"/>
        <w:strike w:val="0"/>
        <w:color w:val="000000"/>
        <w:spacing w:val="0"/>
        <w:w w:val="100"/>
        <w:position w:val="0"/>
        <w:sz w:val="22"/>
        <w:szCs w:val="22"/>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1" w15:restartNumberingAfterBreak="0">
    <w:nsid w:val="06970E6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497AD5"/>
    <w:multiLevelType w:val="hybridMultilevel"/>
    <w:tmpl w:val="0CE87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791D78"/>
    <w:multiLevelType w:val="singleLevel"/>
    <w:tmpl w:val="99C23CA6"/>
    <w:lvl w:ilvl="0">
      <w:start w:val="7"/>
      <w:numFmt w:val="bullet"/>
      <w:pStyle w:val="SP1"/>
      <w:lvlText w:val="-"/>
      <w:lvlJc w:val="left"/>
      <w:pPr>
        <w:tabs>
          <w:tab w:val="num" w:pos="1069"/>
        </w:tabs>
        <w:ind w:left="1069" w:hanging="360"/>
      </w:pPr>
      <w:rPr>
        <w:rFonts w:hint="default"/>
      </w:rPr>
    </w:lvl>
  </w:abstractNum>
  <w:abstractNum w:abstractNumId="4" w15:restartNumberingAfterBreak="0">
    <w:nsid w:val="268D198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3F200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C41C1F"/>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01412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612EFE"/>
    <w:multiLevelType w:val="hybridMultilevel"/>
    <w:tmpl w:val="074C60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94417DB"/>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3D702589"/>
    <w:multiLevelType w:val="singleLevel"/>
    <w:tmpl w:val="E8F485B0"/>
    <w:lvl w:ilvl="0">
      <w:start w:val="1"/>
      <w:numFmt w:val="bullet"/>
      <w:pStyle w:val="-Einzug1"/>
      <w:lvlText w:val="-"/>
      <w:lvlJc w:val="left"/>
      <w:pPr>
        <w:tabs>
          <w:tab w:val="num" w:pos="360"/>
        </w:tabs>
        <w:ind w:left="284" w:hanging="284"/>
      </w:pPr>
      <w:rPr>
        <w:rFonts w:ascii="Times New Roman" w:hAnsi="Times New Roman" w:hint="default"/>
        <w:b/>
        <w:i w:val="0"/>
        <w:sz w:val="24"/>
      </w:rPr>
    </w:lvl>
  </w:abstractNum>
  <w:abstractNum w:abstractNumId="11" w15:restartNumberingAfterBreak="0">
    <w:nsid w:val="48790F9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452F67"/>
    <w:multiLevelType w:val="hybridMultilevel"/>
    <w:tmpl w:val="F47E25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41620C"/>
    <w:multiLevelType w:val="singleLevel"/>
    <w:tmpl w:val="04070011"/>
    <w:lvl w:ilvl="0">
      <w:start w:val="1"/>
      <w:numFmt w:val="decimal"/>
      <w:lvlText w:val="%1)"/>
      <w:lvlJc w:val="left"/>
      <w:pPr>
        <w:tabs>
          <w:tab w:val="num" w:pos="360"/>
        </w:tabs>
        <w:ind w:left="360" w:hanging="360"/>
      </w:pPr>
      <w:rPr>
        <w:rFonts w:hint="default"/>
      </w:rPr>
    </w:lvl>
  </w:abstractNum>
  <w:abstractNum w:abstractNumId="14" w15:restartNumberingAfterBreak="0">
    <w:nsid w:val="6D860D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484C2B"/>
    <w:multiLevelType w:val="hybridMultilevel"/>
    <w:tmpl w:val="BAB2A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4"/>
  </w:num>
  <w:num w:numId="5">
    <w:abstractNumId w:val="7"/>
  </w:num>
  <w:num w:numId="6">
    <w:abstractNumId w:val="3"/>
  </w:num>
  <w:num w:numId="7">
    <w:abstractNumId w:val="13"/>
  </w:num>
  <w:num w:numId="8">
    <w:abstractNumId w:val="11"/>
  </w:num>
  <w:num w:numId="9">
    <w:abstractNumId w:val="6"/>
  </w:num>
  <w:num w:numId="10">
    <w:abstractNumId w:val="10"/>
  </w:num>
  <w:num w:numId="11">
    <w:abstractNumId w:val="9"/>
  </w:num>
  <w:num w:numId="12">
    <w:abstractNumId w:val="15"/>
  </w:num>
  <w:num w:numId="13">
    <w:abstractNumId w:val="8"/>
  </w:num>
  <w:num w:numId="14">
    <w:abstractNumId w:val="2"/>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96"/>
    <w:rsid w:val="00001AF1"/>
    <w:rsid w:val="0000718D"/>
    <w:rsid w:val="00012C48"/>
    <w:rsid w:val="00032E7A"/>
    <w:rsid w:val="00036B48"/>
    <w:rsid w:val="000503D0"/>
    <w:rsid w:val="00061E4E"/>
    <w:rsid w:val="0006290A"/>
    <w:rsid w:val="0006557A"/>
    <w:rsid w:val="00065E75"/>
    <w:rsid w:val="00067037"/>
    <w:rsid w:val="0006760D"/>
    <w:rsid w:val="00070660"/>
    <w:rsid w:val="000766A6"/>
    <w:rsid w:val="00080A86"/>
    <w:rsid w:val="000923BB"/>
    <w:rsid w:val="000A474A"/>
    <w:rsid w:val="000A5A3C"/>
    <w:rsid w:val="000B2B83"/>
    <w:rsid w:val="000B4B23"/>
    <w:rsid w:val="000B6380"/>
    <w:rsid w:val="000B73D7"/>
    <w:rsid w:val="000D47B9"/>
    <w:rsid w:val="000D5BC9"/>
    <w:rsid w:val="000D70C0"/>
    <w:rsid w:val="000E20DE"/>
    <w:rsid w:val="000E4514"/>
    <w:rsid w:val="000F7E81"/>
    <w:rsid w:val="001001BF"/>
    <w:rsid w:val="00155580"/>
    <w:rsid w:val="00161FD3"/>
    <w:rsid w:val="00193098"/>
    <w:rsid w:val="00197249"/>
    <w:rsid w:val="001A4BD1"/>
    <w:rsid w:val="001B12A8"/>
    <w:rsid w:val="001B4E56"/>
    <w:rsid w:val="001C2543"/>
    <w:rsid w:val="001C7094"/>
    <w:rsid w:val="001D17DA"/>
    <w:rsid w:val="001D4247"/>
    <w:rsid w:val="001E3D7B"/>
    <w:rsid w:val="001E5919"/>
    <w:rsid w:val="001E6414"/>
    <w:rsid w:val="001F5C99"/>
    <w:rsid w:val="002100A4"/>
    <w:rsid w:val="00216013"/>
    <w:rsid w:val="002210B7"/>
    <w:rsid w:val="00232406"/>
    <w:rsid w:val="00234C80"/>
    <w:rsid w:val="0023536B"/>
    <w:rsid w:val="00240E0D"/>
    <w:rsid w:val="00246D88"/>
    <w:rsid w:val="00251683"/>
    <w:rsid w:val="00260651"/>
    <w:rsid w:val="00261DE1"/>
    <w:rsid w:val="0026750D"/>
    <w:rsid w:val="00284C37"/>
    <w:rsid w:val="0029168C"/>
    <w:rsid w:val="002A210D"/>
    <w:rsid w:val="002A3614"/>
    <w:rsid w:val="002B2FD2"/>
    <w:rsid w:val="002C0BE7"/>
    <w:rsid w:val="002D65D1"/>
    <w:rsid w:val="002D70B1"/>
    <w:rsid w:val="003000D1"/>
    <w:rsid w:val="003114C1"/>
    <w:rsid w:val="0031501F"/>
    <w:rsid w:val="00324B33"/>
    <w:rsid w:val="0033608C"/>
    <w:rsid w:val="00337B4D"/>
    <w:rsid w:val="00345447"/>
    <w:rsid w:val="003456A9"/>
    <w:rsid w:val="003459E2"/>
    <w:rsid w:val="003508CA"/>
    <w:rsid w:val="00370F4D"/>
    <w:rsid w:val="00380189"/>
    <w:rsid w:val="003850FD"/>
    <w:rsid w:val="003876E5"/>
    <w:rsid w:val="0039084B"/>
    <w:rsid w:val="003916B9"/>
    <w:rsid w:val="003956F3"/>
    <w:rsid w:val="003A38BA"/>
    <w:rsid w:val="003A401B"/>
    <w:rsid w:val="003B1252"/>
    <w:rsid w:val="003B7C76"/>
    <w:rsid w:val="003D219A"/>
    <w:rsid w:val="003D5920"/>
    <w:rsid w:val="003E1828"/>
    <w:rsid w:val="003E3497"/>
    <w:rsid w:val="003F610E"/>
    <w:rsid w:val="003F6C43"/>
    <w:rsid w:val="0040352A"/>
    <w:rsid w:val="004056B0"/>
    <w:rsid w:val="0040636B"/>
    <w:rsid w:val="00407B63"/>
    <w:rsid w:val="00414363"/>
    <w:rsid w:val="004268BA"/>
    <w:rsid w:val="0043206D"/>
    <w:rsid w:val="004463AF"/>
    <w:rsid w:val="00451DF6"/>
    <w:rsid w:val="00456905"/>
    <w:rsid w:val="00461B5C"/>
    <w:rsid w:val="004631F1"/>
    <w:rsid w:val="00463F9F"/>
    <w:rsid w:val="0046509B"/>
    <w:rsid w:val="0047073B"/>
    <w:rsid w:val="00474AFB"/>
    <w:rsid w:val="00491BD3"/>
    <w:rsid w:val="00491D31"/>
    <w:rsid w:val="00493616"/>
    <w:rsid w:val="004939B5"/>
    <w:rsid w:val="00495D5C"/>
    <w:rsid w:val="00495E9A"/>
    <w:rsid w:val="00497E24"/>
    <w:rsid w:val="004A2F9C"/>
    <w:rsid w:val="004A64FC"/>
    <w:rsid w:val="004B3430"/>
    <w:rsid w:val="004C2F96"/>
    <w:rsid w:val="004C32A6"/>
    <w:rsid w:val="004D297E"/>
    <w:rsid w:val="004D7F92"/>
    <w:rsid w:val="004E0137"/>
    <w:rsid w:val="004E3D16"/>
    <w:rsid w:val="004E5314"/>
    <w:rsid w:val="004F03F3"/>
    <w:rsid w:val="004F79C9"/>
    <w:rsid w:val="0052348C"/>
    <w:rsid w:val="00523ACA"/>
    <w:rsid w:val="00532584"/>
    <w:rsid w:val="00535C9C"/>
    <w:rsid w:val="00536458"/>
    <w:rsid w:val="0054039D"/>
    <w:rsid w:val="005517CE"/>
    <w:rsid w:val="00555159"/>
    <w:rsid w:val="00555609"/>
    <w:rsid w:val="00556442"/>
    <w:rsid w:val="00572C20"/>
    <w:rsid w:val="00577F38"/>
    <w:rsid w:val="00583621"/>
    <w:rsid w:val="00586DCF"/>
    <w:rsid w:val="005A00AC"/>
    <w:rsid w:val="005A16A6"/>
    <w:rsid w:val="005C6B21"/>
    <w:rsid w:val="005D19E0"/>
    <w:rsid w:val="005D220F"/>
    <w:rsid w:val="005E003F"/>
    <w:rsid w:val="005E2477"/>
    <w:rsid w:val="005F2E9C"/>
    <w:rsid w:val="00601938"/>
    <w:rsid w:val="00613B11"/>
    <w:rsid w:val="006163DC"/>
    <w:rsid w:val="00617E85"/>
    <w:rsid w:val="00622AB2"/>
    <w:rsid w:val="00627B64"/>
    <w:rsid w:val="006360BD"/>
    <w:rsid w:val="00637513"/>
    <w:rsid w:val="00641E3F"/>
    <w:rsid w:val="00667BC9"/>
    <w:rsid w:val="00686B2A"/>
    <w:rsid w:val="00686F87"/>
    <w:rsid w:val="006A1970"/>
    <w:rsid w:val="006A49B7"/>
    <w:rsid w:val="006B0519"/>
    <w:rsid w:val="006B20FC"/>
    <w:rsid w:val="006B2947"/>
    <w:rsid w:val="006B7393"/>
    <w:rsid w:val="006C1677"/>
    <w:rsid w:val="006D53B5"/>
    <w:rsid w:val="006D550B"/>
    <w:rsid w:val="006D5959"/>
    <w:rsid w:val="006E1AD5"/>
    <w:rsid w:val="006E2886"/>
    <w:rsid w:val="006E6FB8"/>
    <w:rsid w:val="006F0F26"/>
    <w:rsid w:val="006F1C15"/>
    <w:rsid w:val="00701E9D"/>
    <w:rsid w:val="00706B86"/>
    <w:rsid w:val="007114CC"/>
    <w:rsid w:val="007135E3"/>
    <w:rsid w:val="00721638"/>
    <w:rsid w:val="00735CC5"/>
    <w:rsid w:val="00751BDA"/>
    <w:rsid w:val="007669FF"/>
    <w:rsid w:val="00787559"/>
    <w:rsid w:val="007947D9"/>
    <w:rsid w:val="007A0D55"/>
    <w:rsid w:val="007A4431"/>
    <w:rsid w:val="007A6695"/>
    <w:rsid w:val="007B668F"/>
    <w:rsid w:val="007B7AA0"/>
    <w:rsid w:val="007C21AF"/>
    <w:rsid w:val="007C3407"/>
    <w:rsid w:val="007D17A9"/>
    <w:rsid w:val="007D47E3"/>
    <w:rsid w:val="007D7849"/>
    <w:rsid w:val="007E35A9"/>
    <w:rsid w:val="007F44BC"/>
    <w:rsid w:val="007F561A"/>
    <w:rsid w:val="00804889"/>
    <w:rsid w:val="008432F4"/>
    <w:rsid w:val="00853381"/>
    <w:rsid w:val="008565E3"/>
    <w:rsid w:val="00877D4B"/>
    <w:rsid w:val="00880195"/>
    <w:rsid w:val="0088418C"/>
    <w:rsid w:val="00886145"/>
    <w:rsid w:val="0088638C"/>
    <w:rsid w:val="00895817"/>
    <w:rsid w:val="00896968"/>
    <w:rsid w:val="0089768F"/>
    <w:rsid w:val="008A7AD1"/>
    <w:rsid w:val="008A7F1E"/>
    <w:rsid w:val="008B34BA"/>
    <w:rsid w:val="008B4E60"/>
    <w:rsid w:val="008C0573"/>
    <w:rsid w:val="008C55C5"/>
    <w:rsid w:val="008C64DB"/>
    <w:rsid w:val="008D2005"/>
    <w:rsid w:val="008D2830"/>
    <w:rsid w:val="008E3054"/>
    <w:rsid w:val="008E78CF"/>
    <w:rsid w:val="008E7BF5"/>
    <w:rsid w:val="008E7F3E"/>
    <w:rsid w:val="008F3D75"/>
    <w:rsid w:val="00904336"/>
    <w:rsid w:val="009159E9"/>
    <w:rsid w:val="00921E13"/>
    <w:rsid w:val="00923466"/>
    <w:rsid w:val="0093336E"/>
    <w:rsid w:val="0093465E"/>
    <w:rsid w:val="0094411F"/>
    <w:rsid w:val="00946519"/>
    <w:rsid w:val="00946AE5"/>
    <w:rsid w:val="00947FA2"/>
    <w:rsid w:val="00947FC8"/>
    <w:rsid w:val="00962976"/>
    <w:rsid w:val="0096344E"/>
    <w:rsid w:val="00965E19"/>
    <w:rsid w:val="009700EB"/>
    <w:rsid w:val="00970203"/>
    <w:rsid w:val="009759A4"/>
    <w:rsid w:val="00992058"/>
    <w:rsid w:val="00993CFC"/>
    <w:rsid w:val="009A49D5"/>
    <w:rsid w:val="009C56A9"/>
    <w:rsid w:val="009D6ACE"/>
    <w:rsid w:val="009D7680"/>
    <w:rsid w:val="009E20AE"/>
    <w:rsid w:val="009E5CB3"/>
    <w:rsid w:val="009F1842"/>
    <w:rsid w:val="009F5F07"/>
    <w:rsid w:val="009F7F53"/>
    <w:rsid w:val="00A1060E"/>
    <w:rsid w:val="00A11530"/>
    <w:rsid w:val="00A13538"/>
    <w:rsid w:val="00A13EDC"/>
    <w:rsid w:val="00A2285F"/>
    <w:rsid w:val="00A34119"/>
    <w:rsid w:val="00A36652"/>
    <w:rsid w:val="00A37E2F"/>
    <w:rsid w:val="00A42ACC"/>
    <w:rsid w:val="00A503EF"/>
    <w:rsid w:val="00A61964"/>
    <w:rsid w:val="00A676DC"/>
    <w:rsid w:val="00A748BE"/>
    <w:rsid w:val="00A8750C"/>
    <w:rsid w:val="00A97961"/>
    <w:rsid w:val="00AC657B"/>
    <w:rsid w:val="00AD0691"/>
    <w:rsid w:val="00AD7468"/>
    <w:rsid w:val="00AE0CFD"/>
    <w:rsid w:val="00AE28B1"/>
    <w:rsid w:val="00AE4FF1"/>
    <w:rsid w:val="00AF00F2"/>
    <w:rsid w:val="00AF38A1"/>
    <w:rsid w:val="00AF66AF"/>
    <w:rsid w:val="00B031D0"/>
    <w:rsid w:val="00B032BC"/>
    <w:rsid w:val="00B04171"/>
    <w:rsid w:val="00B057A1"/>
    <w:rsid w:val="00B0600F"/>
    <w:rsid w:val="00B1266C"/>
    <w:rsid w:val="00B1758A"/>
    <w:rsid w:val="00B21B6B"/>
    <w:rsid w:val="00B2761F"/>
    <w:rsid w:val="00B303E9"/>
    <w:rsid w:val="00B30F3B"/>
    <w:rsid w:val="00B324A1"/>
    <w:rsid w:val="00B3476D"/>
    <w:rsid w:val="00B356EB"/>
    <w:rsid w:val="00B521EE"/>
    <w:rsid w:val="00B53040"/>
    <w:rsid w:val="00B533DC"/>
    <w:rsid w:val="00B6273F"/>
    <w:rsid w:val="00B947D9"/>
    <w:rsid w:val="00BA17D6"/>
    <w:rsid w:val="00BB5BD5"/>
    <w:rsid w:val="00BB5DDD"/>
    <w:rsid w:val="00BC0D3C"/>
    <w:rsid w:val="00BC136D"/>
    <w:rsid w:val="00BC7497"/>
    <w:rsid w:val="00BD23B3"/>
    <w:rsid w:val="00BD3FCD"/>
    <w:rsid w:val="00BE1620"/>
    <w:rsid w:val="00BE3A89"/>
    <w:rsid w:val="00BE7065"/>
    <w:rsid w:val="00BF3220"/>
    <w:rsid w:val="00BF5E10"/>
    <w:rsid w:val="00C04DD6"/>
    <w:rsid w:val="00C05C4A"/>
    <w:rsid w:val="00C145F2"/>
    <w:rsid w:val="00C15AA5"/>
    <w:rsid w:val="00C268D7"/>
    <w:rsid w:val="00C3226B"/>
    <w:rsid w:val="00C32DCC"/>
    <w:rsid w:val="00C34F3E"/>
    <w:rsid w:val="00C35B60"/>
    <w:rsid w:val="00C42545"/>
    <w:rsid w:val="00C427EB"/>
    <w:rsid w:val="00C527C1"/>
    <w:rsid w:val="00C61CCD"/>
    <w:rsid w:val="00C63EF9"/>
    <w:rsid w:val="00C65458"/>
    <w:rsid w:val="00C8360F"/>
    <w:rsid w:val="00C94718"/>
    <w:rsid w:val="00CA0607"/>
    <w:rsid w:val="00CA2BC5"/>
    <w:rsid w:val="00CA745A"/>
    <w:rsid w:val="00CB4B8F"/>
    <w:rsid w:val="00CB64D4"/>
    <w:rsid w:val="00CB7F9F"/>
    <w:rsid w:val="00CC1B26"/>
    <w:rsid w:val="00CC39DC"/>
    <w:rsid w:val="00CC5EC9"/>
    <w:rsid w:val="00CD0A25"/>
    <w:rsid w:val="00CD3C24"/>
    <w:rsid w:val="00CE7EE5"/>
    <w:rsid w:val="00D00887"/>
    <w:rsid w:val="00D02C13"/>
    <w:rsid w:val="00D066FD"/>
    <w:rsid w:val="00D1262E"/>
    <w:rsid w:val="00D21166"/>
    <w:rsid w:val="00D3285B"/>
    <w:rsid w:val="00D336A7"/>
    <w:rsid w:val="00D44507"/>
    <w:rsid w:val="00D45948"/>
    <w:rsid w:val="00D473A7"/>
    <w:rsid w:val="00D47A42"/>
    <w:rsid w:val="00D518B6"/>
    <w:rsid w:val="00D54158"/>
    <w:rsid w:val="00D60C9B"/>
    <w:rsid w:val="00D65B9A"/>
    <w:rsid w:val="00D74A8B"/>
    <w:rsid w:val="00D763A9"/>
    <w:rsid w:val="00D77FEB"/>
    <w:rsid w:val="00D80F4C"/>
    <w:rsid w:val="00D82DF7"/>
    <w:rsid w:val="00D946EB"/>
    <w:rsid w:val="00D9642C"/>
    <w:rsid w:val="00D97E23"/>
    <w:rsid w:val="00DA5720"/>
    <w:rsid w:val="00DA60F8"/>
    <w:rsid w:val="00DC1470"/>
    <w:rsid w:val="00DE00FE"/>
    <w:rsid w:val="00DF289F"/>
    <w:rsid w:val="00DF3B72"/>
    <w:rsid w:val="00DF4A21"/>
    <w:rsid w:val="00DF53FE"/>
    <w:rsid w:val="00E146D8"/>
    <w:rsid w:val="00E15D8C"/>
    <w:rsid w:val="00E35384"/>
    <w:rsid w:val="00E355B8"/>
    <w:rsid w:val="00E46BBA"/>
    <w:rsid w:val="00E51F2A"/>
    <w:rsid w:val="00E54343"/>
    <w:rsid w:val="00E5609C"/>
    <w:rsid w:val="00E6359B"/>
    <w:rsid w:val="00E650EB"/>
    <w:rsid w:val="00E661CD"/>
    <w:rsid w:val="00E67C87"/>
    <w:rsid w:val="00E726CF"/>
    <w:rsid w:val="00E83FAC"/>
    <w:rsid w:val="00E844A0"/>
    <w:rsid w:val="00E954B3"/>
    <w:rsid w:val="00EA3CC1"/>
    <w:rsid w:val="00EA5AF6"/>
    <w:rsid w:val="00EB1650"/>
    <w:rsid w:val="00EB7072"/>
    <w:rsid w:val="00EB7D09"/>
    <w:rsid w:val="00EC3056"/>
    <w:rsid w:val="00F06298"/>
    <w:rsid w:val="00F13A86"/>
    <w:rsid w:val="00F24962"/>
    <w:rsid w:val="00F349C5"/>
    <w:rsid w:val="00F3733E"/>
    <w:rsid w:val="00F423F6"/>
    <w:rsid w:val="00F478B0"/>
    <w:rsid w:val="00F60D51"/>
    <w:rsid w:val="00F61B48"/>
    <w:rsid w:val="00F630F0"/>
    <w:rsid w:val="00F653D9"/>
    <w:rsid w:val="00F653E7"/>
    <w:rsid w:val="00F657B0"/>
    <w:rsid w:val="00F71794"/>
    <w:rsid w:val="00F7349F"/>
    <w:rsid w:val="00F77BC2"/>
    <w:rsid w:val="00F80870"/>
    <w:rsid w:val="00F82ED3"/>
    <w:rsid w:val="00F95161"/>
    <w:rsid w:val="00F9526A"/>
    <w:rsid w:val="00FA1D3F"/>
    <w:rsid w:val="00FB4E45"/>
    <w:rsid w:val="00FC3F19"/>
    <w:rsid w:val="00FC4346"/>
    <w:rsid w:val="00FC457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1B0875-B1A8-4EAB-B189-F4FF1251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l-GR" w:bidi="el-GR"/>
      </w:rPr>
    </w:rPrDefault>
    <w:pPrDefault>
      <w:pPr>
        <w:ind w:left="357"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A1"/>
  </w:style>
  <w:style w:type="paragraph" w:styleId="Heading1">
    <w:name w:val="heading 1"/>
    <w:basedOn w:val="Normal"/>
    <w:next w:val="Normal"/>
    <w:link w:val="Heading1Char"/>
    <w:qFormat/>
    <w:rsid w:val="003360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B64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B64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B64D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B64D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autoRedefine/>
    <w:qFormat/>
    <w:rsid w:val="00A13EDC"/>
    <w:pPr>
      <w:keepNext/>
      <w:tabs>
        <w:tab w:val="num" w:pos="1152"/>
      </w:tabs>
      <w:spacing w:before="120" w:after="80"/>
      <w:ind w:left="1152" w:hanging="1152"/>
      <w:outlineLvl w:val="5"/>
    </w:pPr>
    <w:rPr>
      <w:rFonts w:ascii="Times New Roman" w:eastAsia="Times New Roman" w:hAnsi="Times New Roman" w:cs="Times New Roman"/>
      <w:b/>
      <w:kern w:val="28"/>
      <w:sz w:val="20"/>
      <w:szCs w:val="20"/>
    </w:rPr>
  </w:style>
  <w:style w:type="paragraph" w:styleId="Heading7">
    <w:name w:val="heading 7"/>
    <w:basedOn w:val="Normal"/>
    <w:next w:val="Normal"/>
    <w:link w:val="Heading7Char"/>
    <w:qFormat/>
    <w:rsid w:val="00A13EDC"/>
    <w:pPr>
      <w:keepNext/>
      <w:tabs>
        <w:tab w:val="num" w:pos="1296"/>
      </w:tabs>
      <w:spacing w:before="80" w:after="60"/>
      <w:ind w:left="1296" w:hanging="1296"/>
      <w:outlineLvl w:val="6"/>
    </w:pPr>
    <w:rPr>
      <w:rFonts w:ascii="Times New Roman" w:eastAsia="Times New Roman" w:hAnsi="Times New Roman" w:cs="Times New Roman"/>
      <w:b/>
      <w:kern w:val="28"/>
      <w:sz w:val="20"/>
      <w:szCs w:val="20"/>
    </w:rPr>
  </w:style>
  <w:style w:type="paragraph" w:styleId="Heading8">
    <w:name w:val="heading 8"/>
    <w:basedOn w:val="Normal"/>
    <w:next w:val="Normal"/>
    <w:link w:val="Heading8Char"/>
    <w:qFormat/>
    <w:rsid w:val="00A13EDC"/>
    <w:pPr>
      <w:keepNext/>
      <w:tabs>
        <w:tab w:val="num" w:pos="1440"/>
      </w:tabs>
      <w:spacing w:before="80" w:after="60"/>
      <w:ind w:left="1440" w:hanging="1440"/>
      <w:outlineLvl w:val="7"/>
    </w:pPr>
    <w:rPr>
      <w:rFonts w:ascii="Times New Roman" w:eastAsia="Times New Roman" w:hAnsi="Times New Roman" w:cs="Times New Roman"/>
      <w:b/>
      <w:i/>
      <w:kern w:val="28"/>
      <w:sz w:val="20"/>
      <w:szCs w:val="20"/>
    </w:rPr>
  </w:style>
  <w:style w:type="paragraph" w:styleId="Heading9">
    <w:name w:val="heading 9"/>
    <w:basedOn w:val="Normal"/>
    <w:next w:val="Normal"/>
    <w:link w:val="Heading9Char"/>
    <w:qFormat/>
    <w:rsid w:val="00A13EDC"/>
    <w:pPr>
      <w:keepNext/>
      <w:tabs>
        <w:tab w:val="num" w:pos="1584"/>
      </w:tabs>
      <w:spacing w:before="80" w:after="60"/>
      <w:ind w:left="1584" w:hanging="1584"/>
      <w:outlineLvl w:val="8"/>
    </w:pPr>
    <w:rPr>
      <w:rFonts w:ascii="Times New Roman" w:eastAsia="Times New Roman" w:hAnsi="Times New Roman" w:cs="Times New Roman"/>
      <w:b/>
      <w:i/>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C2F96"/>
    <w:pPr>
      <w:ind w:left="720"/>
      <w:contextualSpacing/>
    </w:pPr>
  </w:style>
  <w:style w:type="character" w:styleId="PlaceholderText">
    <w:name w:val="Placeholder Text"/>
    <w:basedOn w:val="DefaultParagraphFont"/>
    <w:uiPriority w:val="99"/>
    <w:semiHidden/>
    <w:rsid w:val="007669FF"/>
    <w:rPr>
      <w:color w:val="808080"/>
    </w:rPr>
  </w:style>
  <w:style w:type="table" w:styleId="TableGrid">
    <w:name w:val="Table Grid"/>
    <w:basedOn w:val="TableNormal"/>
    <w:uiPriority w:val="59"/>
    <w:rsid w:val="00AD7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6D5959"/>
    <w:pPr>
      <w:keepNext/>
      <w:tabs>
        <w:tab w:val="center" w:pos="4536"/>
        <w:tab w:val="right" w:pos="9072"/>
      </w:tabs>
      <w:ind w:left="0" w:firstLine="0"/>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D5959"/>
    <w:rPr>
      <w:rFonts w:ascii="Times New Roman" w:eastAsia="Times New Roman" w:hAnsi="Times New Roman" w:cs="Times New Roman"/>
      <w:sz w:val="20"/>
      <w:szCs w:val="20"/>
      <w:lang w:eastAsia="el-GR"/>
    </w:rPr>
  </w:style>
  <w:style w:type="character" w:styleId="PageNumber">
    <w:name w:val="page number"/>
    <w:basedOn w:val="DefaultParagraphFont"/>
    <w:semiHidden/>
    <w:rsid w:val="006D5959"/>
  </w:style>
  <w:style w:type="paragraph" w:styleId="TOC1">
    <w:name w:val="toc 1"/>
    <w:basedOn w:val="Normal"/>
    <w:next w:val="Normal"/>
    <w:autoRedefine/>
    <w:uiPriority w:val="39"/>
    <w:rsid w:val="006D5959"/>
    <w:pPr>
      <w:keepNext/>
      <w:tabs>
        <w:tab w:val="left" w:pos="851"/>
        <w:tab w:val="right" w:pos="9062"/>
      </w:tabs>
      <w:spacing w:before="120" w:line="300" w:lineRule="exact"/>
      <w:ind w:left="851" w:hanging="851"/>
    </w:pPr>
    <w:rPr>
      <w:rFonts w:ascii="Times New Roman" w:eastAsia="Times New Roman" w:hAnsi="Times New Roman" w:cs="Times New Roman"/>
      <w:b/>
      <w:noProof/>
      <w:sz w:val="20"/>
      <w:szCs w:val="20"/>
    </w:rPr>
  </w:style>
  <w:style w:type="paragraph" w:styleId="TOC2">
    <w:name w:val="toc 2"/>
    <w:basedOn w:val="Normal"/>
    <w:next w:val="Normal"/>
    <w:autoRedefine/>
    <w:uiPriority w:val="39"/>
    <w:rsid w:val="006D5959"/>
    <w:pPr>
      <w:keepNext/>
      <w:tabs>
        <w:tab w:val="left" w:pos="851"/>
        <w:tab w:val="right" w:pos="9062"/>
      </w:tabs>
      <w:spacing w:before="60" w:after="60" w:line="280" w:lineRule="exact"/>
      <w:ind w:left="0" w:firstLine="0"/>
    </w:pPr>
    <w:rPr>
      <w:rFonts w:ascii="Times New Roman" w:eastAsia="Times New Roman" w:hAnsi="Times New Roman" w:cs="Times New Roman"/>
      <w:b/>
      <w:sz w:val="20"/>
      <w:szCs w:val="20"/>
    </w:rPr>
  </w:style>
  <w:style w:type="paragraph" w:styleId="TOC3">
    <w:name w:val="toc 3"/>
    <w:basedOn w:val="Normal"/>
    <w:next w:val="Normal"/>
    <w:autoRedefine/>
    <w:uiPriority w:val="39"/>
    <w:rsid w:val="006D5959"/>
    <w:pPr>
      <w:keepNext/>
      <w:tabs>
        <w:tab w:val="left" w:pos="851"/>
        <w:tab w:val="right" w:pos="9062"/>
      </w:tabs>
      <w:ind w:left="0" w:firstLine="0"/>
    </w:pPr>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3360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3608C"/>
    <w:pPr>
      <w:spacing w:line="276" w:lineRule="auto"/>
      <w:ind w:left="0" w:firstLine="0"/>
      <w:outlineLvl w:val="9"/>
    </w:pPr>
  </w:style>
  <w:style w:type="character" w:styleId="Hyperlink">
    <w:name w:val="Hyperlink"/>
    <w:basedOn w:val="DefaultParagraphFont"/>
    <w:uiPriority w:val="99"/>
    <w:unhideWhenUsed/>
    <w:rsid w:val="0033608C"/>
    <w:rPr>
      <w:color w:val="0000FF" w:themeColor="hyperlink"/>
      <w:u w:val="single"/>
    </w:rPr>
  </w:style>
  <w:style w:type="character" w:customStyle="1" w:styleId="Heading2Char">
    <w:name w:val="Heading 2 Char"/>
    <w:basedOn w:val="DefaultParagraphFont"/>
    <w:link w:val="Heading2"/>
    <w:uiPriority w:val="9"/>
    <w:semiHidden/>
    <w:rsid w:val="00CB64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B64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B64D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B64D4"/>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semiHidden/>
    <w:rsid w:val="00CB64D4"/>
    <w:pPr>
      <w:keepNext/>
      <w:ind w:left="170" w:hanging="17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B64D4"/>
    <w:rPr>
      <w:rFonts w:ascii="Times New Roman" w:eastAsia="Times New Roman" w:hAnsi="Times New Roman" w:cs="Times New Roman"/>
      <w:sz w:val="20"/>
      <w:szCs w:val="20"/>
      <w:lang w:eastAsia="el-GR"/>
    </w:rPr>
  </w:style>
  <w:style w:type="paragraph" w:customStyle="1" w:styleId="Text">
    <w:name w:val="Text"/>
    <w:basedOn w:val="Normal"/>
    <w:autoRedefine/>
    <w:rsid w:val="00CB64D4"/>
    <w:pPr>
      <w:keepNext/>
      <w:spacing w:after="80" w:line="300" w:lineRule="exact"/>
      <w:ind w:left="0" w:firstLine="0"/>
    </w:pPr>
    <w:rPr>
      <w:rFonts w:ascii="Times New Roman" w:eastAsia="Times New Roman" w:hAnsi="Times New Roman" w:cs="Times New Roman"/>
      <w:bCs/>
      <w:kern w:val="28"/>
      <w:szCs w:val="20"/>
    </w:rPr>
  </w:style>
  <w:style w:type="paragraph" w:customStyle="1" w:styleId="Einzug-1">
    <w:name w:val="Einzug-1"/>
    <w:basedOn w:val="Normal"/>
    <w:autoRedefine/>
    <w:rsid w:val="00CB64D4"/>
    <w:pPr>
      <w:keepNext/>
      <w:tabs>
        <w:tab w:val="left" w:pos="426"/>
      </w:tabs>
      <w:spacing w:before="60" w:after="60" w:line="300" w:lineRule="exact"/>
      <w:ind w:left="0" w:firstLine="0"/>
    </w:pPr>
    <w:rPr>
      <w:rFonts w:ascii="Times New Roman" w:eastAsia="Times New Roman" w:hAnsi="Times New Roman" w:cs="Times New Roman"/>
      <w:sz w:val="24"/>
      <w:szCs w:val="20"/>
    </w:rPr>
  </w:style>
  <w:style w:type="paragraph" w:customStyle="1" w:styleId="Tabellen">
    <w:name w:val="Tabellen"/>
    <w:basedOn w:val="Text"/>
    <w:rsid w:val="00CB64D4"/>
  </w:style>
  <w:style w:type="paragraph" w:customStyle="1" w:styleId="Tab-berschrift">
    <w:name w:val="Tab-Überschrift"/>
    <w:basedOn w:val="Tabellen"/>
    <w:autoRedefine/>
    <w:rsid w:val="006C1677"/>
    <w:rPr>
      <w:rFonts w:asciiTheme="minorHAnsi" w:hAnsiTheme="minorHAnsi"/>
      <w:b/>
      <w:bCs w:val="0"/>
    </w:rPr>
  </w:style>
  <w:style w:type="character" w:styleId="FootnoteReference">
    <w:name w:val="footnote reference"/>
    <w:basedOn w:val="DefaultParagraphFont"/>
    <w:semiHidden/>
    <w:rsid w:val="00CB64D4"/>
    <w:rPr>
      <w:vertAlign w:val="superscript"/>
    </w:rPr>
  </w:style>
  <w:style w:type="paragraph" w:customStyle="1" w:styleId="SP1">
    <w:name w:val="SP1"/>
    <w:basedOn w:val="Normal"/>
    <w:autoRedefine/>
    <w:rsid w:val="00CB64D4"/>
    <w:pPr>
      <w:numPr>
        <w:numId w:val="6"/>
      </w:numPr>
      <w:spacing w:before="40" w:after="40" w:line="240" w:lineRule="exact"/>
      <w:ind w:left="567" w:hanging="501"/>
    </w:pPr>
    <w:rPr>
      <w:rFonts w:ascii="Times New Roman" w:eastAsia="Times New Roman" w:hAnsi="Times New Roman" w:cs="Times New Roman"/>
      <w:sz w:val="24"/>
      <w:szCs w:val="20"/>
    </w:rPr>
  </w:style>
  <w:style w:type="paragraph" w:customStyle="1" w:styleId="Tab-Kopf">
    <w:name w:val="Tab-Kopf"/>
    <w:basedOn w:val="Tab-berschrift"/>
    <w:rsid w:val="00CB64D4"/>
    <w:pPr>
      <w:spacing w:before="60" w:after="60" w:line="260" w:lineRule="exact"/>
    </w:pPr>
    <w:rPr>
      <w:sz w:val="20"/>
    </w:rPr>
  </w:style>
  <w:style w:type="character" w:customStyle="1" w:styleId="Heading6Char">
    <w:name w:val="Heading 6 Char"/>
    <w:basedOn w:val="DefaultParagraphFont"/>
    <w:link w:val="Heading6"/>
    <w:rsid w:val="00A13EDC"/>
    <w:rPr>
      <w:rFonts w:ascii="Times New Roman" w:eastAsia="Times New Roman" w:hAnsi="Times New Roman" w:cs="Times New Roman"/>
      <w:b/>
      <w:kern w:val="28"/>
      <w:sz w:val="20"/>
      <w:szCs w:val="20"/>
      <w:lang w:eastAsia="el-GR"/>
    </w:rPr>
  </w:style>
  <w:style w:type="character" w:customStyle="1" w:styleId="Heading7Char">
    <w:name w:val="Heading 7 Char"/>
    <w:basedOn w:val="DefaultParagraphFont"/>
    <w:link w:val="Heading7"/>
    <w:rsid w:val="00A13EDC"/>
    <w:rPr>
      <w:rFonts w:ascii="Times New Roman" w:eastAsia="Times New Roman" w:hAnsi="Times New Roman" w:cs="Times New Roman"/>
      <w:b/>
      <w:kern w:val="28"/>
      <w:sz w:val="20"/>
      <w:szCs w:val="20"/>
      <w:lang w:eastAsia="el-GR"/>
    </w:rPr>
  </w:style>
  <w:style w:type="character" w:customStyle="1" w:styleId="Heading8Char">
    <w:name w:val="Heading 8 Char"/>
    <w:basedOn w:val="DefaultParagraphFont"/>
    <w:link w:val="Heading8"/>
    <w:rsid w:val="00A13EDC"/>
    <w:rPr>
      <w:rFonts w:ascii="Times New Roman" w:eastAsia="Times New Roman" w:hAnsi="Times New Roman" w:cs="Times New Roman"/>
      <w:b/>
      <w:i/>
      <w:kern w:val="28"/>
      <w:sz w:val="20"/>
      <w:szCs w:val="20"/>
      <w:lang w:eastAsia="el-GR"/>
    </w:rPr>
  </w:style>
  <w:style w:type="character" w:customStyle="1" w:styleId="Heading9Char">
    <w:name w:val="Heading 9 Char"/>
    <w:basedOn w:val="DefaultParagraphFont"/>
    <w:link w:val="Heading9"/>
    <w:rsid w:val="00A13EDC"/>
    <w:rPr>
      <w:rFonts w:ascii="Times New Roman" w:eastAsia="Times New Roman" w:hAnsi="Times New Roman" w:cs="Times New Roman"/>
      <w:b/>
      <w:i/>
      <w:kern w:val="28"/>
      <w:sz w:val="20"/>
      <w:szCs w:val="20"/>
      <w:lang w:eastAsia="el-GR"/>
    </w:rPr>
  </w:style>
  <w:style w:type="paragraph" w:customStyle="1" w:styleId="Tablefootnote">
    <w:name w:val="Table footnote"/>
    <w:basedOn w:val="Normal"/>
    <w:rsid w:val="00A13EDC"/>
    <w:pPr>
      <w:tabs>
        <w:tab w:val="left" w:pos="340"/>
      </w:tabs>
      <w:spacing w:before="60" w:after="60" w:line="190" w:lineRule="atLeast"/>
      <w:ind w:left="0" w:firstLine="0"/>
      <w:jc w:val="both"/>
    </w:pPr>
    <w:rPr>
      <w:rFonts w:ascii="Arial" w:eastAsia="MS Mincho" w:hAnsi="Arial" w:cs="Times New Roman"/>
      <w:sz w:val="16"/>
      <w:szCs w:val="20"/>
    </w:rPr>
  </w:style>
  <w:style w:type="character" w:customStyle="1" w:styleId="TableFootNoteXref">
    <w:name w:val="TableFootNoteXref"/>
    <w:rsid w:val="00A13EDC"/>
    <w:rPr>
      <w:noProof/>
      <w:position w:val="6"/>
      <w:sz w:val="14"/>
      <w:lang w:val="el-GR"/>
    </w:rPr>
  </w:style>
  <w:style w:type="paragraph" w:customStyle="1" w:styleId="Tabletext10">
    <w:name w:val="Table text (10)"/>
    <w:basedOn w:val="Normal"/>
    <w:rsid w:val="00A13EDC"/>
    <w:pPr>
      <w:spacing w:before="60" w:after="60" w:line="230" w:lineRule="atLeast"/>
      <w:ind w:left="0" w:firstLine="0"/>
      <w:jc w:val="both"/>
    </w:pPr>
    <w:rPr>
      <w:rFonts w:ascii="Arial" w:eastAsia="MS Mincho" w:hAnsi="Arial" w:cs="Times New Roman"/>
      <w:sz w:val="20"/>
      <w:szCs w:val="20"/>
    </w:rPr>
  </w:style>
  <w:style w:type="paragraph" w:customStyle="1" w:styleId="ISOChange">
    <w:name w:val="ISO_Change"/>
    <w:basedOn w:val="Normal"/>
    <w:rsid w:val="00A13EDC"/>
    <w:pPr>
      <w:spacing w:before="210" w:line="210" w:lineRule="exact"/>
      <w:ind w:left="0" w:firstLine="0"/>
    </w:pPr>
    <w:rPr>
      <w:rFonts w:ascii="Arial" w:eastAsia="Times New Roman" w:hAnsi="Arial" w:cs="Arial"/>
      <w:sz w:val="18"/>
      <w:szCs w:val="18"/>
    </w:rPr>
  </w:style>
  <w:style w:type="paragraph" w:customStyle="1" w:styleId="ISOSecretObservations">
    <w:name w:val="ISO_Secret_Observations"/>
    <w:basedOn w:val="Normal"/>
    <w:rsid w:val="00A13EDC"/>
    <w:pPr>
      <w:spacing w:before="210" w:line="210" w:lineRule="exact"/>
      <w:ind w:left="0" w:firstLine="0"/>
    </w:pPr>
    <w:rPr>
      <w:rFonts w:ascii="Arial" w:eastAsia="Times New Roman" w:hAnsi="Arial" w:cs="Arial"/>
      <w:sz w:val="18"/>
      <w:szCs w:val="18"/>
    </w:rPr>
  </w:style>
  <w:style w:type="paragraph" w:styleId="Footer">
    <w:name w:val="footer"/>
    <w:basedOn w:val="Normal"/>
    <w:link w:val="FooterChar"/>
    <w:uiPriority w:val="99"/>
    <w:unhideWhenUsed/>
    <w:rsid w:val="0094411F"/>
    <w:pPr>
      <w:tabs>
        <w:tab w:val="center" w:pos="4536"/>
        <w:tab w:val="right" w:pos="9072"/>
      </w:tabs>
    </w:pPr>
  </w:style>
  <w:style w:type="character" w:customStyle="1" w:styleId="FooterChar">
    <w:name w:val="Footer Char"/>
    <w:basedOn w:val="DefaultParagraphFont"/>
    <w:link w:val="Footer"/>
    <w:uiPriority w:val="99"/>
    <w:rsid w:val="0094411F"/>
  </w:style>
  <w:style w:type="paragraph" w:styleId="Subtitle">
    <w:name w:val="Subtitle"/>
    <w:basedOn w:val="Normal"/>
    <w:next w:val="Normal"/>
    <w:link w:val="SubtitleChar"/>
    <w:uiPriority w:val="11"/>
    <w:qFormat/>
    <w:rsid w:val="000D70C0"/>
    <w:pPr>
      <w:numPr>
        <w:ilvl w:val="1"/>
      </w:numPr>
      <w:ind w:left="357" w:hanging="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70C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semiHidden/>
    <w:rsid w:val="00B521EE"/>
    <w:pPr>
      <w:ind w:left="0" w:firstLine="0"/>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B521EE"/>
    <w:rPr>
      <w:rFonts w:ascii="Times New Roman" w:eastAsia="Times New Roman" w:hAnsi="Times New Roman" w:cs="Times New Roman"/>
      <w:b/>
      <w:sz w:val="24"/>
      <w:szCs w:val="20"/>
      <w:lang w:eastAsia="el-GR"/>
    </w:rPr>
  </w:style>
  <w:style w:type="paragraph" w:customStyle="1" w:styleId="-Einzug1">
    <w:name w:val="-Einzug1"/>
    <w:basedOn w:val="BodyText2"/>
    <w:autoRedefine/>
    <w:rsid w:val="00B521EE"/>
    <w:pPr>
      <w:keepNext/>
      <w:numPr>
        <w:numId w:val="10"/>
      </w:numPr>
      <w:tabs>
        <w:tab w:val="clear" w:pos="360"/>
        <w:tab w:val="num" w:pos="907"/>
        <w:tab w:val="left" w:pos="4111"/>
      </w:tabs>
      <w:spacing w:before="40" w:after="40" w:line="280" w:lineRule="exact"/>
      <w:ind w:left="4111" w:hanging="3487"/>
    </w:pPr>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B521EE"/>
    <w:pPr>
      <w:spacing w:after="120" w:line="480" w:lineRule="auto"/>
    </w:pPr>
  </w:style>
  <w:style w:type="character" w:customStyle="1" w:styleId="BodyText2Char">
    <w:name w:val="Body Text 2 Char"/>
    <w:basedOn w:val="DefaultParagraphFont"/>
    <w:link w:val="BodyText2"/>
    <w:uiPriority w:val="99"/>
    <w:semiHidden/>
    <w:rsid w:val="00B521EE"/>
  </w:style>
  <w:style w:type="paragraph" w:customStyle="1" w:styleId="ZTVMFliestext">
    <w:name w:val="ZTV M Fliestext"/>
    <w:basedOn w:val="Normal"/>
    <w:rsid w:val="00CC1B26"/>
    <w:pPr>
      <w:pBdr>
        <w:right w:val="single" w:sz="12" w:space="4" w:color="auto"/>
      </w:pBdr>
      <w:tabs>
        <w:tab w:val="left" w:pos="1260"/>
      </w:tabs>
      <w:spacing w:before="60" w:after="120" w:line="280" w:lineRule="exact"/>
      <w:ind w:left="0" w:firstLine="0"/>
    </w:pPr>
    <w:rPr>
      <w:rFonts w:ascii="Times New Roman" w:eastAsia="Times New Roman" w:hAnsi="Times New Roman" w:cs="Times New Roman"/>
      <w:color w:val="000000"/>
      <w:sz w:val="24"/>
      <w:szCs w:val="20"/>
    </w:rPr>
  </w:style>
  <w:style w:type="paragraph" w:styleId="BodyTextIndent">
    <w:name w:val="Body Text Indent"/>
    <w:basedOn w:val="Normal"/>
    <w:link w:val="BodyTextIndentChar"/>
    <w:uiPriority w:val="99"/>
    <w:semiHidden/>
    <w:unhideWhenUsed/>
    <w:rsid w:val="00B1266C"/>
    <w:pPr>
      <w:spacing w:after="120"/>
      <w:ind w:left="283"/>
    </w:pPr>
  </w:style>
  <w:style w:type="character" w:customStyle="1" w:styleId="BodyTextIndentChar">
    <w:name w:val="Body Text Indent Char"/>
    <w:basedOn w:val="DefaultParagraphFont"/>
    <w:link w:val="BodyTextIndent"/>
    <w:uiPriority w:val="99"/>
    <w:semiHidden/>
    <w:rsid w:val="00B1266C"/>
  </w:style>
  <w:style w:type="paragraph" w:styleId="Title">
    <w:name w:val="Title"/>
    <w:basedOn w:val="Normal"/>
    <w:link w:val="TitleChar"/>
    <w:qFormat/>
    <w:rsid w:val="00B1266C"/>
    <w:pPr>
      <w:ind w:left="0" w:firstLine="0"/>
      <w:jc w:val="center"/>
    </w:pPr>
    <w:rPr>
      <w:rFonts w:ascii="Times New Roman" w:eastAsia="Times New Roman" w:hAnsi="Times New Roman" w:cs="Times New Roman"/>
      <w:b/>
      <w:snapToGrid w:val="0"/>
      <w:sz w:val="28"/>
      <w:szCs w:val="20"/>
    </w:rPr>
  </w:style>
  <w:style w:type="character" w:customStyle="1" w:styleId="TitleChar">
    <w:name w:val="Title Char"/>
    <w:basedOn w:val="DefaultParagraphFont"/>
    <w:link w:val="Title"/>
    <w:rsid w:val="00B1266C"/>
    <w:rPr>
      <w:rFonts w:ascii="Times New Roman" w:eastAsia="Times New Roman" w:hAnsi="Times New Roman" w:cs="Times New Roman"/>
      <w:b/>
      <w:snapToGrid w:val="0"/>
      <w:sz w:val="28"/>
      <w:szCs w:val="20"/>
      <w:lang w:eastAsia="el-GR"/>
    </w:rPr>
  </w:style>
  <w:style w:type="paragraph" w:styleId="BalloonText">
    <w:name w:val="Balloon Text"/>
    <w:basedOn w:val="Normal"/>
    <w:link w:val="BalloonTextChar"/>
    <w:uiPriority w:val="99"/>
    <w:semiHidden/>
    <w:unhideWhenUsed/>
    <w:rsid w:val="002A210D"/>
    <w:rPr>
      <w:rFonts w:ascii="Tahoma" w:hAnsi="Tahoma" w:cs="Tahoma"/>
      <w:sz w:val="16"/>
      <w:szCs w:val="16"/>
    </w:rPr>
  </w:style>
  <w:style w:type="character" w:customStyle="1" w:styleId="BalloonTextChar">
    <w:name w:val="Balloon Text Char"/>
    <w:basedOn w:val="DefaultParagraphFont"/>
    <w:link w:val="BalloonText"/>
    <w:uiPriority w:val="99"/>
    <w:semiHidden/>
    <w:rsid w:val="002A210D"/>
    <w:rPr>
      <w:rFonts w:ascii="Tahoma" w:hAnsi="Tahoma" w:cs="Tahoma"/>
      <w:sz w:val="16"/>
      <w:szCs w:val="16"/>
    </w:rPr>
  </w:style>
  <w:style w:type="character" w:styleId="CommentReference">
    <w:name w:val="annotation reference"/>
    <w:basedOn w:val="DefaultParagraphFont"/>
    <w:uiPriority w:val="99"/>
    <w:semiHidden/>
    <w:unhideWhenUsed/>
    <w:rsid w:val="00536458"/>
    <w:rPr>
      <w:sz w:val="16"/>
      <w:szCs w:val="16"/>
    </w:rPr>
  </w:style>
  <w:style w:type="paragraph" w:styleId="CommentText">
    <w:name w:val="annotation text"/>
    <w:basedOn w:val="Normal"/>
    <w:link w:val="CommentTextChar"/>
    <w:uiPriority w:val="99"/>
    <w:semiHidden/>
    <w:unhideWhenUsed/>
    <w:rsid w:val="00536458"/>
    <w:rPr>
      <w:sz w:val="20"/>
      <w:szCs w:val="20"/>
    </w:rPr>
  </w:style>
  <w:style w:type="character" w:customStyle="1" w:styleId="CommentTextChar">
    <w:name w:val="Comment Text Char"/>
    <w:basedOn w:val="DefaultParagraphFont"/>
    <w:link w:val="CommentText"/>
    <w:uiPriority w:val="99"/>
    <w:semiHidden/>
    <w:rsid w:val="00536458"/>
    <w:rPr>
      <w:sz w:val="20"/>
      <w:szCs w:val="20"/>
    </w:rPr>
  </w:style>
  <w:style w:type="character" w:styleId="Strong">
    <w:name w:val="Strong"/>
    <w:basedOn w:val="DefaultParagraphFont"/>
    <w:uiPriority w:val="22"/>
    <w:qFormat/>
    <w:rsid w:val="008D2005"/>
    <w:rPr>
      <w:b/>
      <w:bCs/>
    </w:rPr>
  </w:style>
  <w:style w:type="paragraph" w:styleId="CommentSubject">
    <w:name w:val="annotation subject"/>
    <w:basedOn w:val="CommentText"/>
    <w:next w:val="CommentText"/>
    <w:link w:val="CommentSubjectChar"/>
    <w:uiPriority w:val="99"/>
    <w:semiHidden/>
    <w:unhideWhenUsed/>
    <w:rsid w:val="00BD23B3"/>
    <w:rPr>
      <w:b/>
      <w:bCs/>
    </w:rPr>
  </w:style>
  <w:style w:type="character" w:customStyle="1" w:styleId="CommentSubjectChar">
    <w:name w:val="Comment Subject Char"/>
    <w:basedOn w:val="CommentTextChar"/>
    <w:link w:val="CommentSubject"/>
    <w:uiPriority w:val="99"/>
    <w:semiHidden/>
    <w:rsid w:val="00BD23B3"/>
    <w:rPr>
      <w:b/>
      <w:bCs/>
      <w:sz w:val="20"/>
      <w:szCs w:val="20"/>
    </w:rPr>
  </w:style>
  <w:style w:type="paragraph" w:styleId="Revision">
    <w:name w:val="Revision"/>
    <w:hidden/>
    <w:uiPriority w:val="99"/>
    <w:semiHidden/>
    <w:rsid w:val="008F3D75"/>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0696">
      <w:bodyDiv w:val="1"/>
      <w:marLeft w:val="0"/>
      <w:marRight w:val="0"/>
      <w:marTop w:val="0"/>
      <w:marBottom w:val="0"/>
      <w:divBdr>
        <w:top w:val="none" w:sz="0" w:space="0" w:color="auto"/>
        <w:left w:val="none" w:sz="0" w:space="0" w:color="auto"/>
        <w:bottom w:val="none" w:sz="0" w:space="0" w:color="auto"/>
        <w:right w:val="none" w:sz="0" w:space="0" w:color="auto"/>
      </w:divBdr>
    </w:div>
    <w:div w:id="657268090">
      <w:bodyDiv w:val="1"/>
      <w:marLeft w:val="0"/>
      <w:marRight w:val="0"/>
      <w:marTop w:val="0"/>
      <w:marBottom w:val="0"/>
      <w:divBdr>
        <w:top w:val="none" w:sz="0" w:space="0" w:color="auto"/>
        <w:left w:val="none" w:sz="0" w:space="0" w:color="auto"/>
        <w:bottom w:val="none" w:sz="0" w:space="0" w:color="auto"/>
        <w:right w:val="none" w:sz="0" w:space="0" w:color="auto"/>
      </w:divBdr>
    </w:div>
    <w:div w:id="948396053">
      <w:bodyDiv w:val="1"/>
      <w:marLeft w:val="0"/>
      <w:marRight w:val="0"/>
      <w:marTop w:val="0"/>
      <w:marBottom w:val="0"/>
      <w:divBdr>
        <w:top w:val="none" w:sz="0" w:space="0" w:color="auto"/>
        <w:left w:val="none" w:sz="0" w:space="0" w:color="auto"/>
        <w:bottom w:val="none" w:sz="0" w:space="0" w:color="auto"/>
        <w:right w:val="none" w:sz="0" w:space="0" w:color="auto"/>
      </w:divBdr>
    </w:div>
    <w:div w:id="1597981163">
      <w:bodyDiv w:val="1"/>
      <w:marLeft w:val="0"/>
      <w:marRight w:val="0"/>
      <w:marTop w:val="0"/>
      <w:marBottom w:val="0"/>
      <w:divBdr>
        <w:top w:val="none" w:sz="0" w:space="0" w:color="auto"/>
        <w:left w:val="none" w:sz="0" w:space="0" w:color="auto"/>
        <w:bottom w:val="none" w:sz="0" w:space="0" w:color="auto"/>
        <w:right w:val="none" w:sz="0" w:space="0" w:color="auto"/>
      </w:divBdr>
    </w:div>
    <w:div w:id="163251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639D9-E83E-41C8-ADE0-11DA4D6B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26</Pages>
  <Words>8332</Words>
  <Characters>47493</Characters>
  <Application>Microsoft Office Word</Application>
  <DocSecurity>0</DocSecurity>
  <Lines>395</Lines>
  <Paragraphs>111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BASt</Company>
  <LinksUpToDate>false</LinksUpToDate>
  <CharactersWithSpaces>55714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V4</dc:creator>
  <cp:lastModifiedBy>Ke, Tingting</cp:lastModifiedBy>
  <cp:revision>21</cp:revision>
  <cp:lastPrinted>2018-06-14T08:38:00Z</cp:lastPrinted>
  <dcterms:created xsi:type="dcterms:W3CDTF">2018-08-23T11:48:00Z</dcterms:created>
  <dcterms:modified xsi:type="dcterms:W3CDTF">2019-06-26T13:59:00Z</dcterms:modified>
</cp:coreProperties>
</file>