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FR-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PROJET DE DÉCRET ROYAL Nº .../2020 PORTANT APPROBATION DE LA NORME DE QUALITÉ APPLICABLE AUX HUILES D’OLIVE ET DE GRIGNONS D’OLIVE</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L’Espagne est le premier producteur et exportateur mondial d’huile d’olive. Le secteur de l’oliveraie et de l’huile d’olive revêt une importance économique, sociale et commerciale majeure dans notre pays et sur les marchés internationaux, et fait l’objet d’une demande en constante augmentation. Le présent décret royal vise à mettre à jour la législation afin de l’adapter aux dernières évolutions et avancées technologiques, dans un souci de promouvoir la qualité de l’huile d’olive comme l’un piliers fondamentaux du secteur.</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En Espagne,</w:t>
      </w:r>
      <w:r>
        <w:rPr>
          <w:rStyle w:val="Strong"/>
        </w:rPr>
        <w:t xml:space="preserve"> </w:t>
      </w:r>
      <w:r>
        <w:t>le secteur de l’huile d’olive est régi notamment par les dispositions du chapitre 16, section 2, du décret nº 2484/1967 du 21 septembre 1967 portant approbation du texte du code alimentaire espagnol. Ces dispositions ont été développées et spécifiquement réglementées dans le décret royal nº 308/1983 du 25 janvier 1983 portant approbation de la réglementation technico-sanitaire en matière d’huiles végétales comestibles.</w:t>
      </w:r>
    </w:p>
    <w:p w14:paraId="11F5D3F9" w14:textId="16A8E8C7" w:rsidR="00090536" w:rsidRPr="00DE35E8" w:rsidRDefault="00090536" w:rsidP="00B503A1">
      <w:pPr>
        <w:spacing w:after="240"/>
        <w:jc w:val="both"/>
        <w:rPr>
          <w:rFonts w:ascii="Arial" w:hAnsi="Arial" w:cs="Arial"/>
        </w:rPr>
      </w:pPr>
      <w:r>
        <w:rPr>
          <w:rFonts w:ascii="Arial" w:hAnsi="Arial"/>
        </w:rPr>
        <w:t>À l’échelle de l’Union européenne, la réglementation sur les huiles d’olive et de grignons d’olive est harmonisée par le règlement (CEE) nº 2568/91 de la Commission du 11 juillet 1991 relatif aux caractéristiques des huiles d’olive et des huiles de grignons d’olive ainsi qu’aux méthodes y afférentes et par le règlement (UE) nº</w:t>
      </w:r>
      <w:r w:rsidR="006B334B">
        <w:rPr>
          <w:rFonts w:ascii="Arial" w:hAnsi="Arial"/>
        </w:rPr>
        <w:t> </w:t>
      </w:r>
      <w:r>
        <w:rPr>
          <w:rFonts w:ascii="Arial" w:hAnsi="Arial"/>
        </w:rPr>
        <w:t>1308/2013 du Parlement européen et du Conseil du 17 décembre 2013 portant organisation commune des marchés des produits agricoles et abrogeant les règlements (CEE) nº 922/72, (CEE) nº 234/79, (CE) nº 1037/2001 et (CE) nº</w:t>
      </w:r>
      <w:r w:rsidR="006B334B">
        <w:rPr>
          <w:rFonts w:ascii="Arial" w:hAnsi="Arial"/>
        </w:rPr>
        <w:t> </w:t>
      </w:r>
      <w:r>
        <w:rPr>
          <w:rFonts w:ascii="Arial" w:hAnsi="Arial"/>
        </w:rPr>
        <w:t xml:space="preserve">1234/2007. Ces règlements établissent les dénominations, les définitions, les caractéristiques physiques, chimiques et organoleptiques, ainsi que les méthodes de prélèvement et d’analyse desdits produits. </w:t>
      </w:r>
    </w:p>
    <w:p w14:paraId="1ED1A311" w14:textId="5FED487A"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Enfin, le règlement d’exécution (UE) nº 29/2012 de la Commission du 13 janvier 2012 relatif aux normes de commercialisation de l’huile d’olive expose les normes de commercialisation et la procédure de collaboration administrative entre la Commission et les États membres concernant les normes de contrôle applicables à ces produits. Ce règlement abroge le règlement (CE) nº 1019/2002, qui a été transposé dans notre </w:t>
      </w:r>
      <w:proofErr w:type="gramStart"/>
      <w:r>
        <w:rPr>
          <w:rFonts w:ascii="Arial" w:hAnsi="Arial"/>
        </w:rPr>
        <w:t>pays</w:t>
      </w:r>
      <w:proofErr w:type="gramEnd"/>
      <w:r>
        <w:rPr>
          <w:rFonts w:ascii="Arial" w:hAnsi="Arial"/>
        </w:rPr>
        <w:t xml:space="preserve"> avec des mesures complémentaires par le décret royal nº 1431/2003 </w:t>
      </w:r>
      <w:r>
        <w:rPr>
          <w:rStyle w:val="Strong"/>
          <w:rFonts w:ascii="Arial" w:hAnsi="Arial"/>
          <w:b w:val="0"/>
        </w:rPr>
        <w:t>du</w:t>
      </w:r>
      <w:r w:rsidR="006B334B">
        <w:rPr>
          <w:rStyle w:val="Strong"/>
          <w:rFonts w:ascii="Arial" w:hAnsi="Arial"/>
          <w:b w:val="0"/>
        </w:rPr>
        <w:t> </w:t>
      </w:r>
      <w:r>
        <w:rPr>
          <w:rStyle w:val="Strong"/>
          <w:rFonts w:ascii="Arial" w:hAnsi="Arial"/>
          <w:b w:val="0"/>
        </w:rPr>
        <w:t>21 novembre 2003, portant l’établissement de certaines mesures de commercialisation dans le secteur de l’huile d’olive et de l’huile de grignons d’olive.</w:t>
      </w:r>
    </w:p>
    <w:p w14:paraId="6B699213" w14:textId="6ECAC799" w:rsidR="00090536" w:rsidRPr="00DE35E8" w:rsidRDefault="00090536" w:rsidP="00B25A68">
      <w:pPr>
        <w:pStyle w:val="Default"/>
        <w:keepLines/>
        <w:spacing w:before="100" w:beforeAutospacing="1" w:after="100" w:afterAutospacing="1"/>
        <w:jc w:val="both"/>
        <w:rPr>
          <w:color w:val="auto"/>
        </w:rPr>
      </w:pPr>
      <w:r>
        <w:rPr>
          <w:color w:val="auto"/>
        </w:rPr>
        <w:lastRenderedPageBreak/>
        <w:t xml:space="preserve">Le décret royal nº 308/1983 du 25 janvier 1983 mentionné ci-dessus a été modifié à plusieurs reprises. En outre, les conditions de production et de consommation dans le secteur ont grandement évolué depuis trente-sept ans, rendant nécessaire l’adoption d’un nouveau règlement spécifique aux huiles d’olive et de grignons d’olive, </w:t>
      </w:r>
      <w:proofErr w:type="gramStart"/>
      <w:r>
        <w:rPr>
          <w:color w:val="auto"/>
        </w:rPr>
        <w:t>de par le</w:t>
      </w:r>
      <w:proofErr w:type="gramEnd"/>
      <w:r>
        <w:rPr>
          <w:color w:val="auto"/>
        </w:rPr>
        <w:t xml:space="preserve"> caractère unique de ces produits et l’importance que revêt leur production pour notre pays. Il s’avère pertinent de créer une norme spécifique à l’huile d’olive, distincte de celle applicable aux autres huiles végétales. En effet, il s’agit du seul moyen d’aligner de manière efficace les systèmes de production, les procédures d’autorégulation et les normes d’emballage et d’étiquetage sur les réglementations européennes, tout en s’adaptant aux évolutions du secteur et aux avancées technologiques. Outre la mise à jour de son contenu, la norme est restructurée et simplifiée. Les aspects hygiéniques et sanitaires, déjà régis et harmonisés par la réglementation communautaire horizontale applicable en la matière, sont notamment supprimés.</w:t>
      </w:r>
    </w:p>
    <w:p w14:paraId="7A8064F9" w14:textId="1DD88362" w:rsidR="00090536" w:rsidRPr="00DE35E8" w:rsidRDefault="00090536" w:rsidP="00B503A1">
      <w:pPr>
        <w:pStyle w:val="Default"/>
        <w:jc w:val="both"/>
        <w:rPr>
          <w:color w:val="auto"/>
        </w:rPr>
      </w:pPr>
      <w:r>
        <w:rPr>
          <w:color w:val="auto"/>
        </w:rPr>
        <w:t>Par conséquent, il convient d’abroger le contenu de l’article 2 du chapitre 16 du code alimentaire espagnol, approuvé par le décret nº 2484/1967 du 21 septembre 1967, ainsi que les dispositions relatives aux huiles d’olive et de grignons d’olive du décret royal nº 308/1983 du 25 janvier 1983. Par ailleurs, il apparaît que la réglementation en la matière était dispersée. Le regroupement des dispositions applicables aux huiles d’olive et de grignons d’olive, impliquant l’abrogation des normes précitées, permet de résoudre ce problème tout en améliorant la sécurité juridique.</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Cette norme s’applique à toutes les huiles d’olive et de grignons d’olive produites et commercialisées en Espagne, sans préjudice du respect de la clause de reconnaissance mutuelle de l’Union européenne.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Afin de préserver et de valoriser les huiles d’olive et de grignons d’olive, ainsi que d’éviter d’éventuelles pratiques frauduleuses, il est nécessaire d’établir dans la présente réglementation certaines obligations applicables aux opérateurs du secteur, encadrant notamment les installations, les pratiques non autorisées, les documents d’accompagnement et la traçabilité des produits. </w:t>
      </w:r>
      <w:r>
        <w:rPr>
          <w:color w:val="auto"/>
          <w:shd w:val="clear" w:color="auto" w:fill="FFFFFF"/>
        </w:rPr>
        <w:t xml:space="preserve">Ces obligations et interdictions s’appliquent à tous les opérateurs, à savoir toutes les personnes physiques ou morales participant à l’une des étapes de la production et de la commercialisation des huiles d’olive et de grignons d’olive, y compris notamment les établissements d’achat d’olives, les coopératives et les moulins mobiles. </w:t>
      </w:r>
    </w:p>
    <w:p w14:paraId="6681DADD" w14:textId="6743B4E5" w:rsidR="00090536" w:rsidRPr="00DE35E8" w:rsidRDefault="00936DB3" w:rsidP="00B503A1">
      <w:pPr>
        <w:pStyle w:val="Default"/>
        <w:spacing w:after="240"/>
        <w:jc w:val="both"/>
        <w:rPr>
          <w:color w:val="auto"/>
        </w:rPr>
      </w:pPr>
      <w:r>
        <w:rPr>
          <w:color w:val="auto"/>
        </w:rPr>
        <w:t>En application de l’article 7 bis du règlement (CEE) nº 2568/91 et sans préjudice des dispositions du règlement (CE) nº 178/2002, il est obligatoire d’instaurer un système de traçabilité normalisé, qui permette de localiser facilement les huiles visées par la norme, et contraigne les opérateurs à une identification correcte de ces produits pendant tout leur cycle de production, de transport et de commercialisation.</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Ce système de traçabilité permettra de promouvoir la qualité alimentaire, d’améliorer la confiance des consommateurs, de mieux différencier les produits au-delà de leurs similitudes, de reconstituer et de renforcer le marché, ainsi que de garantir, le cas échéant, le rappel sélectif des produits.</w:t>
      </w:r>
    </w:p>
    <w:p w14:paraId="62E2BA1C" w14:textId="01475CC0" w:rsidR="005C2C0C" w:rsidRPr="00DE35E8" w:rsidRDefault="00265AB7" w:rsidP="00B25A68">
      <w:pPr>
        <w:keepNext/>
        <w:keepLines/>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Pour aider les opérateurs à se conformer plus facilement aux obligations de la norme, et les autorités compétentes à les contrôler, il est nécessaire de mettre en œuvre un système informatisé qui regroupe les données relatives aux mouvements des huiles d’olive et de grignons d’olive.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En ce qui concerne les informations sur les denrées alimentaires et les tolérances relatives au contrôle du contenu effectif d’un récipient, les dispositions visées au règlement (UE) nº 1169/2011 du Parlement européen et du Conseil du 25 octobre 2011 concernant l’information des consommateurs sur les denrées alimentaires, ainsi qu’au décret royal nº 1801/2008 du 3 novembre 2008 fixant les normes relatives aux quantités nominales des produits emballés et au contrôle de leur contenu effectif, s’appliquent.</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Conformément aux politiques de l’Union européenne en matière de développement durable, notamment en ce qui concerne la réduction de l’utilisation des plastiques, l’utilisation de ce matériau est limitée dans ce règlement pour certains produits. Cette mesure a également des retombées positives au niveau commercial, la présentation de ces produits dans des contenants en plastique étant nuisible pour leur image.</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Compte tenu de l’importance de la coopération et de la collaboration entre les administrations publiques, il convient d’établir un plan de contrôle spécifique pour vérifier la traçabilité du secteur de l’huile d’olive et de grignons d’olive. Ce plan sera mis en œuvre par les autorités compétentes en matière de contrôle de qualité et de lutte contre les fraudes, et adopté par la </w:t>
      </w:r>
      <w:r>
        <w:rPr>
          <w:rFonts w:ascii="Arial" w:hAnsi="Arial"/>
          <w:i/>
          <w:iCs/>
        </w:rPr>
        <w:t xml:space="preserve">Mesa de </w:t>
      </w:r>
      <w:proofErr w:type="spellStart"/>
      <w:r>
        <w:rPr>
          <w:rFonts w:ascii="Arial" w:hAnsi="Arial"/>
          <w:i/>
          <w:iCs/>
        </w:rPr>
        <w:t>Coordinación</w:t>
      </w:r>
      <w:proofErr w:type="spellEnd"/>
      <w:r>
        <w:rPr>
          <w:rFonts w:ascii="Arial" w:hAnsi="Arial"/>
          <w:i/>
          <w:iCs/>
        </w:rPr>
        <w:t xml:space="preserve"> de la </w:t>
      </w:r>
      <w:proofErr w:type="spellStart"/>
      <w:r>
        <w:rPr>
          <w:rFonts w:ascii="Arial" w:hAnsi="Arial"/>
          <w:i/>
          <w:iCs/>
        </w:rPr>
        <w:t>Calidad</w:t>
      </w:r>
      <w:proofErr w:type="spellEnd"/>
      <w:r>
        <w:rPr>
          <w:rFonts w:ascii="Arial" w:hAnsi="Arial"/>
          <w:i/>
          <w:iCs/>
        </w:rPr>
        <w:t xml:space="preserve"> </w:t>
      </w:r>
      <w:proofErr w:type="spellStart"/>
      <w:r>
        <w:rPr>
          <w:rFonts w:ascii="Arial" w:hAnsi="Arial"/>
          <w:i/>
          <w:iCs/>
        </w:rPr>
        <w:t>Alimentaria</w:t>
      </w:r>
      <w:proofErr w:type="spellEnd"/>
      <w:r>
        <w:rPr>
          <w:rFonts w:ascii="Arial" w:hAnsi="Arial"/>
        </w:rPr>
        <w:t xml:space="preserve"> (assemblée en charge de la coordination de la qualité alimentaire). </w:t>
      </w:r>
    </w:p>
    <w:p w14:paraId="1AAAE751" w14:textId="1C165D2B" w:rsidR="00661336" w:rsidRPr="00DE35E8" w:rsidRDefault="00661336" w:rsidP="00B503A1">
      <w:pPr>
        <w:pStyle w:val="Default"/>
        <w:jc w:val="both"/>
        <w:rPr>
          <w:color w:val="auto"/>
        </w:rPr>
      </w:pPr>
      <w:r>
        <w:rPr>
          <w:color w:val="auto"/>
        </w:rPr>
        <w:t xml:space="preserve">D’autre part, afin de garantir la transparence des informations concernant les contrôles de conformité des huiles d’olive effectués par les autorités compétentes, le ministère de l’agriculture, de la pêche et de l’alimentation préparera et publiera un rapport récapitulant les résultats des actions menées.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Le présent décret a été soumis à la procédure prévue en vertu de la directive (UE) 2015/1535 du Parlement européen et du Conseil du 9 septembre 2015 prévoyant une procédure d’information dans le domaine des réglementations techniques et des règles relatives aux services de la société de l’information, ainsi qu’aux dispositions du décret royal nº 1337/1999 du 31 juillet 1999 portant réglementation de la remise d’informations en matière de normes et de réglementations techniques ainsi que de règles relatives aux services de la société de l’information.</w:t>
      </w:r>
    </w:p>
    <w:p w14:paraId="438C14E9" w14:textId="4F02F49D" w:rsidR="001B6D0C" w:rsidRPr="00DE35E8" w:rsidRDefault="001B6D0C" w:rsidP="00B25A68">
      <w:pPr>
        <w:pStyle w:val="Default"/>
        <w:keepNext/>
        <w:keepLines/>
        <w:spacing w:after="240"/>
        <w:jc w:val="both"/>
        <w:rPr>
          <w:color w:val="auto"/>
        </w:rPr>
      </w:pPr>
      <w:r>
        <w:rPr>
          <w:color w:val="auto"/>
        </w:rPr>
        <w:lastRenderedPageBreak/>
        <w:t>Le contenu de ce décret royal est conforme aux principes de bonne réglementation prévus à l’article 129 de la loi nº 39/2015 du 1</w:t>
      </w:r>
      <w:r>
        <w:rPr>
          <w:color w:val="auto"/>
          <w:vertAlign w:val="superscript"/>
        </w:rPr>
        <w:t>er </w:t>
      </w:r>
      <w:r>
        <w:rPr>
          <w:color w:val="auto"/>
        </w:rPr>
        <w:t>octobre 2015 sur la procédure administrative commune des administrations publiques. Dans la lignée des principes de nécessité et d’efficacité, cette norme se justifie par la nécessité de gérer plus efficacement le secteur de l’huile d’olive et des grignons d’olive, en abrogeant les dispositions relatives aux huiles d’olive et de grignons d’olive du décret royal nº</w:t>
      </w:r>
      <w:r w:rsidR="006B334B">
        <w:rPr>
          <w:color w:val="auto"/>
        </w:rPr>
        <w:t> </w:t>
      </w:r>
      <w:r>
        <w:rPr>
          <w:color w:val="auto"/>
        </w:rPr>
        <w:t xml:space="preserve">308/1983 du 25 janvier 1983 portant approbation de la réglementation technico-sanitaire en matière d’huiles végétales comestibles, et en approuvant une nouvelle norme de qualité régissant spécifiquement l’huile d’olive et de grignons d’olive olive. Les principes d’efficacité et de proportionnalité ont également été pris en compte lors de l’établissement des réglementations, et les charges administratives ont été limitées au minimum indispensable pour atteindre les objectifs visés. En application du principe de transparence, outre les procédures d’audience et de notification publiques, lors du traitement de cette disposition, les communautés autonomes, ainsi que les organismes représentatifs des secteurs concernés et les consommateurs ont été consultés, et un rapport obligatoire a été soumis à la commission interministérielle pour la gestion des aliments. Enfin, ce décret royal maintient la cohérence avec le reste du système juridique applicable et accorde aux opérateurs les périodes transitoires nécessaires pour s’adapter à la norme. Il respecte donc le principe de sécurité juridique, </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Le présent arrêté royal est promulgué en vertu des dispositions de l’article 149, paragraphe 1, point 13, de la Constitution espagnole qui attribuent à l’État la compétence exclusive en matière de bases et de coordination de la planification générale de l’activité économique. </w:t>
      </w:r>
    </w:p>
    <w:p w14:paraId="2B5EAD10" w14:textId="77777777" w:rsidR="00B776A3" w:rsidRPr="00DE35E8" w:rsidRDefault="00B776A3" w:rsidP="00B503A1">
      <w:pPr>
        <w:pStyle w:val="Default"/>
        <w:spacing w:after="240"/>
        <w:jc w:val="both"/>
        <w:rPr>
          <w:color w:val="auto"/>
        </w:rPr>
      </w:pPr>
      <w:r>
        <w:rPr>
          <w:color w:val="auto"/>
        </w:rPr>
        <w:t>Par ailleurs, la loi nº 28/2015 du 30 juillet 2015 relative à la protection de la qualité alimentaire définit la base juridique en matière de défense de la qualité des denrées alimentaires en fixant la réglementation de base. La quatrième disposition finale de ladite loi autorise le gouvernement à adopter des normes de qualité des denrées alimentaires. Ces normes visent à garantir et à maintenir la qualité des produits qui sont mis sur le marché, dans la mesure où une caractérisation et une catégorisation de ceux-ci facilitent le choix du consommateur qui peut comparer et choisir le produit qui s’adapte le mieux à ses goûts ou à ses besoins.</w:t>
      </w:r>
    </w:p>
    <w:p w14:paraId="641893D6" w14:textId="010C894B" w:rsidR="00090536" w:rsidRPr="00DE35E8" w:rsidRDefault="00090536" w:rsidP="00B503A1">
      <w:pPr>
        <w:pStyle w:val="Default"/>
        <w:jc w:val="both"/>
        <w:rPr>
          <w:color w:val="auto"/>
        </w:rPr>
      </w:pPr>
      <w:r>
        <w:rPr>
          <w:color w:val="auto"/>
        </w:rPr>
        <w:t xml:space="preserve">En vertu de quoi, sur proposition du ministre de l’agriculture, de la pêche et de l’alimentation, du ministre de la consommation et de la ministre de l’industrie, du commerce et du tourisme, en accord avec le Conseil d’État, et après délibération du Conseil des ministres lors de sa réunion du ...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 xml:space="preserve">JE </w:t>
      </w:r>
      <w:proofErr w:type="gramStart"/>
      <w:r>
        <w:rPr>
          <w:color w:val="auto"/>
        </w:rPr>
        <w:t>DÉCRÈTE:</w:t>
      </w:r>
      <w:proofErr w:type="gramEnd"/>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25A68">
      <w:pPr>
        <w:keepNext/>
        <w:keepLines/>
        <w:jc w:val="center"/>
        <w:rPr>
          <w:rFonts w:ascii="Arial" w:hAnsi="Arial" w:cs="Arial"/>
          <w:b/>
        </w:rPr>
      </w:pPr>
    </w:p>
    <w:p w14:paraId="2A99D082" w14:textId="6E1EACD8" w:rsidR="009C4D64" w:rsidRPr="00DE35E8" w:rsidRDefault="009C4D64" w:rsidP="00B25A68">
      <w:pPr>
        <w:keepNext/>
        <w:keepLines/>
        <w:spacing w:before="100" w:beforeAutospacing="1" w:after="100" w:afterAutospacing="1"/>
        <w:jc w:val="both"/>
        <w:rPr>
          <w:rFonts w:ascii="Arial" w:hAnsi="Arial" w:cs="Arial"/>
          <w:i/>
        </w:rPr>
      </w:pPr>
      <w:r>
        <w:rPr>
          <w:rFonts w:ascii="Arial" w:hAnsi="Arial"/>
          <w:b/>
        </w:rPr>
        <w:t xml:space="preserve">Article premier. </w:t>
      </w:r>
      <w:r>
        <w:rPr>
          <w:rFonts w:ascii="Arial" w:hAnsi="Arial"/>
          <w:i/>
        </w:rPr>
        <w:t>Objet</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L’objet du présent décret royal est d’établir la norme de qualité applicable aux huiles d’olive et de grignons d’olive. </w:t>
      </w:r>
    </w:p>
    <w:p w14:paraId="72CC39D6" w14:textId="77777777" w:rsidR="009C4D64" w:rsidRPr="00DE35E8" w:rsidRDefault="009C4D64" w:rsidP="00B503A1">
      <w:pPr>
        <w:spacing w:before="360" w:after="360"/>
        <w:jc w:val="both"/>
        <w:rPr>
          <w:rFonts w:ascii="Arial" w:hAnsi="Arial" w:cs="Arial"/>
          <w:i/>
        </w:rPr>
      </w:pPr>
      <w:r>
        <w:rPr>
          <w:rFonts w:ascii="Arial" w:hAnsi="Arial"/>
          <w:b/>
        </w:rPr>
        <w:t>Article 2.</w:t>
      </w:r>
      <w:r>
        <w:rPr>
          <w:rFonts w:ascii="Arial" w:hAnsi="Arial"/>
          <w:b/>
          <w:i/>
        </w:rPr>
        <w:t xml:space="preserve"> </w:t>
      </w:r>
      <w:r>
        <w:rPr>
          <w:rFonts w:ascii="Arial" w:hAnsi="Arial"/>
          <w:i/>
        </w:rPr>
        <w:t>Champ d’application</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Cette norme s’applique à toutes les huiles d’olive et de grignons d’olive produites et commercialisées en Espagne, sans préjudice du respect de la clause de reconnaissance mutuelle.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Elle s’applique également aux opérateurs qui produisent ou commercialisent des huiles d’olive et de grignons d’olive en Espagne.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Article 3.</w:t>
      </w:r>
      <w:r>
        <w:rPr>
          <w:rFonts w:ascii="Arial" w:hAnsi="Arial"/>
          <w:b/>
          <w:i/>
        </w:rPr>
        <w:t xml:space="preserve"> </w:t>
      </w:r>
      <w:r>
        <w:rPr>
          <w:rFonts w:ascii="Arial" w:hAnsi="Arial"/>
          <w:i/>
        </w:rPr>
        <w:t>Dénominations et définitions des produits</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Les définitions et les dénominations des différentes catégories de produits dans lesquelles les huiles d’olive et de grignons d’olive sont réparties correspondent à celles établies dans la partie VIII de l’annexe VII du règlement (UE) nº 1308/2013 du Parlement européen et du Conseil du </w:t>
      </w:r>
      <w:proofErr w:type="spellStart"/>
      <w:r>
        <w:rPr>
          <w:rFonts w:ascii="Arial" w:hAnsi="Arial"/>
        </w:rPr>
        <w:t>du</w:t>
      </w:r>
      <w:proofErr w:type="spellEnd"/>
      <w:r>
        <w:rPr>
          <w:rFonts w:ascii="Arial" w:hAnsi="Arial"/>
        </w:rPr>
        <w:t xml:space="preserve"> 17 décembre 2013 portant organisation commune des marchés des produits agricoles et abrogeant les règlements (CEE) nº 922/72, (CEE) nº 234/79, (CE) nº 1037/2001 et (CE) nº 1234/2007, et dans les réglementations européennes qui le développent ou le remplacent.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 xml:space="preserve">2. Aux fins du présent décret royal, on entend </w:t>
      </w:r>
      <w:proofErr w:type="gramStart"/>
      <w:r>
        <w:rPr>
          <w:rFonts w:ascii="Arial" w:hAnsi="Arial"/>
        </w:rPr>
        <w:t>par:</w:t>
      </w:r>
      <w:proofErr w:type="gramEnd"/>
    </w:p>
    <w:p w14:paraId="367FE3EC" w14:textId="28BA55D0" w:rsidR="00B56228" w:rsidRPr="00DE35E8" w:rsidRDefault="009F53DF" w:rsidP="00B503A1">
      <w:pPr>
        <w:spacing w:after="160"/>
        <w:jc w:val="both"/>
        <w:rPr>
          <w:rFonts w:ascii="Arial" w:hAnsi="Arial" w:cs="Arial"/>
        </w:rPr>
      </w:pPr>
      <w:r>
        <w:rPr>
          <w:rFonts w:ascii="Arial" w:hAnsi="Arial"/>
        </w:rPr>
        <w:t xml:space="preserve">a) établissement d’achat ou de réception </w:t>
      </w:r>
      <w:proofErr w:type="gramStart"/>
      <w:r>
        <w:rPr>
          <w:rFonts w:ascii="Arial" w:hAnsi="Arial"/>
        </w:rPr>
        <w:t>d’olives:</w:t>
      </w:r>
      <w:proofErr w:type="gramEnd"/>
      <w:r>
        <w:rPr>
          <w:rFonts w:ascii="Arial" w:hAnsi="Arial"/>
        </w:rPr>
        <w:t xml:space="preserve"> établissement dont l’objet est l’achat ou la réception d’olives provenant de différents agriculteurs à des fins de livraison à un moulin à huile ou à une huilerie, sans procéder à aucune transformation du produit; </w:t>
      </w:r>
    </w:p>
    <w:p w14:paraId="015DB5A6" w14:textId="7D36FF6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b) moulin à huile: moulin ou installation produisant de l’</w:t>
      </w:r>
      <w:hyperlink r:id="rId8" w:tooltip="Huile d’olive" w:history="1">
        <w:r>
          <w:rPr>
            <w:rFonts w:ascii="Arial" w:hAnsi="Arial"/>
          </w:rPr>
          <w:t>huile</w:t>
        </w:r>
      </w:hyperlink>
      <w:r>
        <w:rPr>
          <w:rFonts w:ascii="Arial" w:hAnsi="Arial"/>
        </w:rPr>
        <w:t xml:space="preserve"> d’olive vierge par des moyens mécaniques ou physiques de broyage des </w:t>
      </w:r>
      <w:hyperlink r:id="rId9" w:tooltip="Olive" w:history="1">
        <w:r>
          <w:rPr>
            <w:rFonts w:ascii="Arial" w:hAnsi="Arial"/>
          </w:rPr>
          <w:t>olive</w:t>
        </w:r>
      </w:hyperlink>
      <w:r>
        <w:rPr>
          <w:rFonts w:ascii="Arial" w:hAnsi="Arial"/>
        </w:rPr>
        <w:t xml:space="preserve">s, à savoir des fruits entiers et bruts de l’olivier </w:t>
      </w:r>
      <w:r>
        <w:rPr>
          <w:rFonts w:ascii="Arial" w:hAnsi="Arial"/>
          <w:i/>
        </w:rPr>
        <w:t xml:space="preserve">Olea </w:t>
      </w:r>
      <w:proofErr w:type="spellStart"/>
      <w:r>
        <w:rPr>
          <w:rFonts w:ascii="Arial" w:hAnsi="Arial"/>
          <w:i/>
        </w:rPr>
        <w:t>europaea</w:t>
      </w:r>
      <w:proofErr w:type="spellEnd"/>
      <w:r>
        <w:rPr>
          <w:rFonts w:ascii="Arial" w:hAnsi="Arial"/>
          <w:i/>
        </w:rPr>
        <w:t xml:space="preserve"> </w:t>
      </w:r>
      <w:r>
        <w:rPr>
          <w:rFonts w:ascii="Arial" w:hAnsi="Arial"/>
        </w:rPr>
        <w:t xml:space="preser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moulin à huile </w:t>
      </w:r>
      <w:proofErr w:type="gramStart"/>
      <w:r>
        <w:rPr>
          <w:rFonts w:ascii="Arial" w:hAnsi="Arial"/>
        </w:rPr>
        <w:t>mobile:</w:t>
      </w:r>
      <w:proofErr w:type="gramEnd"/>
      <w:r>
        <w:rPr>
          <w:rFonts w:ascii="Arial" w:hAnsi="Arial"/>
        </w:rPr>
        <w:t xml:space="preserve"> moulin déplaçable sur site pour moudre les olives, à savoir les fruits entiers et bruts de l’olivier </w:t>
      </w:r>
      <w:r>
        <w:rPr>
          <w:rFonts w:ascii="Arial" w:hAnsi="Arial"/>
          <w:i/>
        </w:rPr>
        <w:t xml:space="preserve">Olea </w:t>
      </w:r>
      <w:proofErr w:type="spellStart"/>
      <w:r>
        <w:rPr>
          <w:rFonts w:ascii="Arial" w:hAnsi="Arial"/>
          <w:i/>
        </w:rPr>
        <w:t>europaea</w:t>
      </w:r>
      <w:proofErr w:type="spellEnd"/>
      <w:r>
        <w:rPr>
          <w:rFonts w:ascii="Arial" w:hAnsi="Arial"/>
        </w:rPr>
        <w:t xml:space="preserve"> L., produisant de l’huile d’olive vierge et n’ayant pas de localisation physique spécifique ou fixe;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 xml:space="preserve">d) installation de conditionnement de </w:t>
      </w:r>
      <w:proofErr w:type="gramStart"/>
      <w:r>
        <w:rPr>
          <w:rFonts w:ascii="Arial" w:hAnsi="Arial"/>
        </w:rPr>
        <w:t>l’huile:</w:t>
      </w:r>
      <w:proofErr w:type="gramEnd"/>
      <w:r>
        <w:rPr>
          <w:rFonts w:ascii="Arial" w:hAnsi="Arial"/>
        </w:rPr>
        <w:t xml:space="preserve"> installation dans laquelle les huiles d’olive et de grignons d’olive sont conditionnées à des fins de consommation humaine;</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 xml:space="preserve">e) </w:t>
      </w:r>
      <w:proofErr w:type="gramStart"/>
      <w:r>
        <w:rPr>
          <w:rFonts w:ascii="Arial" w:hAnsi="Arial"/>
        </w:rPr>
        <w:t>raffinerie:</w:t>
      </w:r>
      <w:proofErr w:type="gramEnd"/>
      <w:r>
        <w:rPr>
          <w:rFonts w:ascii="Arial" w:hAnsi="Arial"/>
        </w:rPr>
        <w:t xml:space="preserve"> installation dans laquelle les huiles d’olive et de grignons d’olive sont raffinées à des fins de consommation humaine;</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lastRenderedPageBreak/>
        <w:t xml:space="preserve">f) extracteur de </w:t>
      </w:r>
      <w:proofErr w:type="gramStart"/>
      <w:r>
        <w:rPr>
          <w:rFonts w:ascii="Arial" w:hAnsi="Arial"/>
        </w:rPr>
        <w:t>grignons:</w:t>
      </w:r>
      <w:proofErr w:type="gramEnd"/>
      <w:r>
        <w:rPr>
          <w:rFonts w:ascii="Arial" w:hAnsi="Arial"/>
        </w:rPr>
        <w:t xml:space="preserve"> installation destinée à la production d’huiles de grignons d’olive brutes à partir de grignons, par des procédés physiques ou chimiques. Cette définition inclut les installations qui exercent exclusivement une activité de séchage des grignons gras humides issus du broyage d’olives brutes et </w:t>
      </w:r>
      <w:proofErr w:type="gramStart"/>
      <w:r>
        <w:rPr>
          <w:rFonts w:ascii="Arial" w:hAnsi="Arial"/>
        </w:rPr>
        <w:t>entières;</w:t>
      </w:r>
      <w:proofErr w:type="gramEnd"/>
      <w:r>
        <w:rPr>
          <w:rFonts w:ascii="Arial" w:hAnsi="Arial"/>
        </w:rPr>
        <w:t xml:space="preserve"> </w:t>
      </w:r>
    </w:p>
    <w:p w14:paraId="60ACFDD6" w14:textId="4E7B9285" w:rsidR="009F100F" w:rsidRPr="00DE35E8" w:rsidRDefault="000B53F1" w:rsidP="00B503A1">
      <w:pPr>
        <w:spacing w:after="160"/>
        <w:jc w:val="both"/>
        <w:rPr>
          <w:rFonts w:ascii="Arial" w:hAnsi="Arial" w:cs="Arial"/>
        </w:rPr>
      </w:pPr>
      <w:r>
        <w:rPr>
          <w:rFonts w:ascii="Arial" w:hAnsi="Arial"/>
        </w:rPr>
        <w:t xml:space="preserve">g) </w:t>
      </w:r>
      <w:proofErr w:type="gramStart"/>
      <w:r>
        <w:rPr>
          <w:rFonts w:ascii="Arial" w:hAnsi="Arial"/>
        </w:rPr>
        <w:t>entrepôt:</w:t>
      </w:r>
      <w:proofErr w:type="gramEnd"/>
      <w:r>
        <w:rPr>
          <w:rFonts w:ascii="Arial" w:hAnsi="Arial"/>
        </w:rPr>
        <w:t xml:space="preserve"> établissement dans lequel aucune transformation du produit n’est effectuée, et servant exclusivement de stockage intermédiaire entre deux opérateurs du secteur;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w:t>
      </w:r>
      <w:proofErr w:type="gramStart"/>
      <w:r>
        <w:rPr>
          <w:rFonts w:ascii="Arial" w:hAnsi="Arial"/>
        </w:rPr>
        <w:t>opérateur:</w:t>
      </w:r>
      <w:proofErr w:type="gramEnd"/>
      <w:r>
        <w:rPr>
          <w:rFonts w:ascii="Arial" w:hAnsi="Arial"/>
        </w:rPr>
        <w:t xml:space="preserve"> personne physique ou morale qui exerce son activité dans le secteur et le marché des huiles d’olive et de grignons d’olive. Cette définition inclut les producteurs qui acquièrent l’huile d’un moulin à huile, ainsi que toute personne qui achète ou acquiert de l’huile d’olive vierge en vrac provenant d’un moulin à huile. Les huileries et les installations de conditionnement d’olives qui utilisent des fruits entiers et bruts de l’olivier </w:t>
      </w:r>
      <w:r>
        <w:rPr>
          <w:rFonts w:ascii="Arial" w:hAnsi="Arial"/>
          <w:i/>
        </w:rPr>
        <w:t xml:space="preserve">Olea </w:t>
      </w:r>
      <w:proofErr w:type="spellStart"/>
      <w:r>
        <w:rPr>
          <w:rFonts w:ascii="Arial" w:hAnsi="Arial"/>
          <w:i/>
        </w:rPr>
        <w:t>europaea</w:t>
      </w:r>
      <w:proofErr w:type="spellEnd"/>
      <w:r>
        <w:rPr>
          <w:rFonts w:ascii="Arial" w:hAnsi="Arial"/>
        </w:rPr>
        <w:t xml:space="preserve"> L non traités destinés à être transformés en huile rentrent également dans le cadre de cette </w:t>
      </w:r>
      <w:proofErr w:type="gramStart"/>
      <w:r>
        <w:rPr>
          <w:rFonts w:ascii="Arial" w:hAnsi="Arial"/>
        </w:rPr>
        <w:t>définition;</w:t>
      </w:r>
      <w:proofErr w:type="gramEnd"/>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opérateur sans </w:t>
      </w:r>
      <w:proofErr w:type="gramStart"/>
      <w:r>
        <w:rPr>
          <w:rFonts w:ascii="Arial" w:hAnsi="Arial"/>
        </w:rPr>
        <w:t>installations:</w:t>
      </w:r>
      <w:proofErr w:type="gramEnd"/>
      <w:r>
        <w:rPr>
          <w:rFonts w:ascii="Arial" w:hAnsi="Arial"/>
        </w:rPr>
        <w:t xml:space="preserve"> personne physique ou morale ne disposant par d’installations propres, qui évolue dans le secteur et dans le marché des huiles d’olive et de grignons d’olive;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w:t>
      </w:r>
      <w:proofErr w:type="gramStart"/>
      <w:r>
        <w:rPr>
          <w:rFonts w:ascii="Arial" w:hAnsi="Arial"/>
        </w:rPr>
        <w:t>producteur:</w:t>
      </w:r>
      <w:proofErr w:type="gramEnd"/>
      <w:r>
        <w:rPr>
          <w:rFonts w:ascii="Arial" w:hAnsi="Arial"/>
        </w:rPr>
        <w:t xml:space="preserve"> personne physique ou morale qui possède une oliveraie produisant des olives (oliviers </w:t>
      </w:r>
      <w:r>
        <w:rPr>
          <w:rFonts w:ascii="Arial" w:hAnsi="Arial"/>
          <w:i/>
        </w:rPr>
        <w:t xml:space="preserve">Olea </w:t>
      </w:r>
      <w:proofErr w:type="spellStart"/>
      <w:r>
        <w:rPr>
          <w:rFonts w:ascii="Arial" w:hAnsi="Arial"/>
          <w:i/>
        </w:rPr>
        <w:t>europaea</w:t>
      </w:r>
      <w:proofErr w:type="spellEnd"/>
      <w:r>
        <w:rPr>
          <w:rFonts w:ascii="Arial" w:hAnsi="Arial"/>
        </w:rPr>
        <w:t xml:space="preserve"> L.) destinées à être transformés en huile d’olive, par broyage des olives de sa propriété dans un moulin à huile externe;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procédé de </w:t>
      </w:r>
      <w:proofErr w:type="gramStart"/>
      <w:r>
        <w:rPr>
          <w:rFonts w:ascii="Arial" w:hAnsi="Arial"/>
        </w:rPr>
        <w:t>raffinage:</w:t>
      </w:r>
      <w:proofErr w:type="gramEnd"/>
      <w:r>
        <w:rPr>
          <w:rFonts w:ascii="Arial" w:hAnsi="Arial"/>
        </w:rPr>
        <w:t xml:space="preserve"> procédé auquel sont soumises les huiles d’olive et les huiles de grignons d’olive brutes, qui diffère des procédures physiques de production et de clarification par lavage, sédimentation, centrifugation ou filtration;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processus </w:t>
      </w:r>
      <w:proofErr w:type="gramStart"/>
      <w:r>
        <w:rPr>
          <w:rFonts w:ascii="Arial" w:hAnsi="Arial"/>
        </w:rPr>
        <w:t>continu:</w:t>
      </w:r>
      <w:proofErr w:type="gramEnd"/>
      <w:r>
        <w:rPr>
          <w:rFonts w:ascii="Arial" w:hAnsi="Arial"/>
        </w:rPr>
        <w:t xml:space="preserve"> processus ne faisant l’objet d’aucune pause ni d’aucune transition entre deux opérations. Il tolère cependant la présence d’une trémie ou d’un réservoir intermédiaire pour assurer le bon déroulement des opérations, pourvu que la masse y reste moins de 12 heures, toujours au sein d’une même </w:t>
      </w:r>
      <w:proofErr w:type="gramStart"/>
      <w:r>
        <w:rPr>
          <w:rFonts w:ascii="Arial" w:hAnsi="Arial"/>
        </w:rPr>
        <w:t>installation;</w:t>
      </w:r>
      <w:proofErr w:type="gramEnd"/>
      <w:r>
        <w:rPr>
          <w:rFonts w:ascii="Arial" w:hAnsi="Arial"/>
        </w:rPr>
        <w:t xml:space="preserve">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 xml:space="preserve">m) consommateur </w:t>
      </w:r>
      <w:proofErr w:type="gramStart"/>
      <w:r>
        <w:rPr>
          <w:rFonts w:ascii="Arial" w:hAnsi="Arial"/>
        </w:rPr>
        <w:t>final:</w:t>
      </w:r>
      <w:proofErr w:type="gramEnd"/>
      <w:r>
        <w:rPr>
          <w:rFonts w:ascii="Arial" w:hAnsi="Arial"/>
        </w:rPr>
        <w:t xml:space="preserve"> dernier consommateur d’un produit alimentaire, qui n’utilisera pas ledit aliment dans le cadre d’une opération ou d’une activité commerciale dans le secteur alimentaire;</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service de restauration </w:t>
      </w:r>
      <w:proofErr w:type="gramStart"/>
      <w:r>
        <w:rPr>
          <w:rFonts w:ascii="Arial" w:hAnsi="Arial"/>
        </w:rPr>
        <w:t>collective:</w:t>
      </w:r>
      <w:proofErr w:type="gramEnd"/>
      <w:r>
        <w:rPr>
          <w:rFonts w:ascii="Arial" w:hAnsi="Arial"/>
        </w:rPr>
        <w:t xml:space="preserve"> tout établissement (y compris les véhicules et les stations fixes ou mobiles), tel qu’un restaurant, une cantine, un centre scolaire, un hôpital ou une entreprise, qui fournit des plats préparés, ainsi que tout établissement social dont l’activité commerciale est la préparation d’aliments destinés à une consommation finale.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Article 4. </w:t>
      </w:r>
      <w:r>
        <w:rPr>
          <w:rFonts w:ascii="Arial" w:hAnsi="Arial"/>
          <w:i/>
        </w:rPr>
        <w:t>Obligations de traçabilité</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Les opérateurs, notamment s’ils disposent d’installations, doivent impérativement tenir un système de registres de traçabilité conforme aux spécifications indiquées à l’annexe I à l’endroit où se trouvent les produits. </w:t>
      </w:r>
    </w:p>
    <w:p w14:paraId="09C457D0" w14:textId="58FE3649" w:rsidR="00FF489D" w:rsidRPr="00DE35E8" w:rsidRDefault="00066154" w:rsidP="00B503A1">
      <w:pPr>
        <w:spacing w:before="360" w:after="360"/>
        <w:jc w:val="both"/>
        <w:rPr>
          <w:rFonts w:ascii="Arial" w:hAnsi="Arial" w:cs="Arial"/>
        </w:rPr>
      </w:pPr>
      <w:r>
        <w:rPr>
          <w:rFonts w:ascii="Arial" w:hAnsi="Arial"/>
        </w:rPr>
        <w:lastRenderedPageBreak/>
        <w:t>Les données figurant dans ces registres doivent être saisies en</w:t>
      </w:r>
      <w:r>
        <w:rPr>
          <w:rFonts w:ascii="Arial" w:hAnsi="Arial"/>
          <w:b/>
        </w:rPr>
        <w:t xml:space="preserve"> </w:t>
      </w:r>
      <w:r>
        <w:rPr>
          <w:rFonts w:ascii="Arial" w:hAnsi="Arial"/>
        </w:rPr>
        <w:t xml:space="preserve">temps réel.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Nonobstant les dispositions des paragraphes précédents, et sans préjudice du respect des dispositions du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la tenue des registres de mouvements internes établis par cette norme est facultative pour les entrepôts dont l’objet exclusif est le stockage et la distribution d’huiles d’olive et de grignons d’olive conditionnées et prêtes à être vendues au consommateur final, ainsi que pour les magasins de détail.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Un document de transport doit accompagner, à tout moment, chaque déplacement d’huiles d’olive et de grignons d’olive. Ce document doit impérativement comprendre les données figurant à l’annexe II du présent décret royal, et identifier sans équivoque le nom du produit correspondant conformément à la réglementation en vigueur.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Chaque transport impliquant des huiles d’olive et de grignons d’olive doit faire l’objet d’une communication préalable des données visées au paragraphe 2 par les opérateurs au ministère de l’agriculture, de la pêche et de l’alimentation, via le système informatisé mis en place par ce dernier.</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Les opérateurs visés à l’article 5, paragraphe 3, doivent impérativement communiquer, via le système informatisé mentionné au paragraphe précédent, tous les mouvements d’huile d’olive et de grignons d’olive qui se produisent entre les moulins, les raffineries et les extracteurs situés dans leur établissement.</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Ils doivent également présenter annuellement à l’autorité de contrôle compétente un rapport des registres de traçabilité visés au premier paragraphe, indiquant clairement les entrées, les sorties et les mouvements internes de chaque catégorie d’huile qu’ils produisent, stockent ou commercialisent.</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Article 5. </w:t>
      </w:r>
      <w:r>
        <w:rPr>
          <w:rFonts w:ascii="Arial" w:hAnsi="Arial"/>
          <w:i/>
        </w:rPr>
        <w:t xml:space="preserve">Obligations spécifiques applicables aux installations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Les moulins à huile, les raffineries et les extracteurs d’huile de grignons nouvellement créés doivent être situés sur un emplacement indépendant. En aucun cas ils ne peuvent être reliés par un quelconque système de conduction. </w:t>
      </w:r>
    </w:p>
    <w:p w14:paraId="46CEEEF6" w14:textId="76D68949" w:rsidR="000E44EE" w:rsidRPr="00DE35E8" w:rsidRDefault="00846C60" w:rsidP="00B503A1">
      <w:pPr>
        <w:spacing w:before="360" w:after="360"/>
        <w:jc w:val="both"/>
        <w:rPr>
          <w:rFonts w:ascii="Arial" w:hAnsi="Arial" w:cs="Arial"/>
        </w:rPr>
      </w:pPr>
      <w:r>
        <w:rPr>
          <w:rFonts w:ascii="Arial" w:hAnsi="Arial"/>
        </w:rPr>
        <w:t>2. Les moulins à huile, les raffineries et les extracteurs d’huile de grignons nouvellement créés doivent être correctement isolés ou séparés de toute autre installation ou de tout local ne relevant pas de leur traitement spécifique, et, en particulier, des installations et locaux destinés à la production, à la transformation, au stockage en vrac et au conditionnement de graisses animales ou végétales et de graisses et huiles industrielles ou minérales.</w:t>
      </w:r>
    </w:p>
    <w:p w14:paraId="6A54E281" w14:textId="0A6B0DE1" w:rsidR="00240127" w:rsidRPr="00DE35E8" w:rsidRDefault="000E44EE" w:rsidP="00B503A1">
      <w:pPr>
        <w:spacing w:after="240"/>
        <w:jc w:val="both"/>
        <w:rPr>
          <w:rFonts w:ascii="Arial" w:hAnsi="Arial" w:cs="Arial"/>
        </w:rPr>
      </w:pPr>
      <w:r>
        <w:rPr>
          <w:rFonts w:ascii="Arial" w:hAnsi="Arial"/>
        </w:rPr>
        <w:lastRenderedPageBreak/>
        <w:t>3. Les moulins à huile, les raffineries et les extracteurs d’huile de grignons d’olive qui étaient déjà en activité à l’entrée en vigueur du présent règlement sont exemptés des obligations visées aux paragraphes 1 et 2 du présent article.</w:t>
      </w:r>
    </w:p>
    <w:p w14:paraId="5D720B27" w14:textId="1F5DACCF" w:rsidR="00B53FC3" w:rsidRPr="00DE35E8" w:rsidRDefault="00240127" w:rsidP="00B503A1">
      <w:pPr>
        <w:spacing w:after="240"/>
        <w:jc w:val="both"/>
        <w:rPr>
          <w:rFonts w:ascii="Arial" w:hAnsi="Arial" w:cs="Arial"/>
        </w:rPr>
      </w:pPr>
      <w:r>
        <w:rPr>
          <w:rFonts w:ascii="Arial" w:hAnsi="Arial"/>
        </w:rPr>
        <w:t>4. Les moulins à huile et tous les établissements des opérateurs du secteur doivent procéder à la classification de toutes les huiles expédiées, selon les dénominations établies par la réglementation européenne.</w:t>
      </w:r>
    </w:p>
    <w:p w14:paraId="1DFBB585" w14:textId="67BB3B44" w:rsidR="00C211C4" w:rsidRPr="00DE35E8" w:rsidRDefault="00240127" w:rsidP="00B503A1">
      <w:pPr>
        <w:spacing w:after="240"/>
        <w:jc w:val="both"/>
        <w:rPr>
          <w:rFonts w:ascii="Arial" w:hAnsi="Arial" w:cs="Arial"/>
        </w:rPr>
      </w:pPr>
      <w:r>
        <w:rPr>
          <w:rFonts w:ascii="Arial" w:hAnsi="Arial"/>
        </w:rPr>
        <w:t>5. Les installations de conditionnement de l’huile doivent prévenir tout risque de contamination croisée en conditionnant correctement les tuyaux et les réservoirs de remplissage des huiles réglementées dans cette norme.</w:t>
      </w:r>
    </w:p>
    <w:p w14:paraId="7BAD271D" w14:textId="34E0E7A0" w:rsidR="00B73E9D" w:rsidRPr="00DE35E8" w:rsidRDefault="00B73E9D" w:rsidP="00B503A1">
      <w:pPr>
        <w:spacing w:before="360" w:after="360"/>
        <w:jc w:val="both"/>
        <w:rPr>
          <w:rFonts w:ascii="Arial" w:hAnsi="Arial" w:cs="Arial"/>
          <w:i/>
        </w:rPr>
      </w:pPr>
      <w:r>
        <w:rPr>
          <w:rFonts w:ascii="Arial" w:hAnsi="Arial"/>
          <w:b/>
        </w:rPr>
        <w:t>Article 6</w:t>
      </w:r>
      <w:r>
        <w:rPr>
          <w:rFonts w:ascii="Arial" w:hAnsi="Arial"/>
          <w:i/>
        </w:rPr>
        <w:t>. Obligations spécifiques applicables aux huiles</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Les huiles d’olive et de grignons d’olive qui font l’objet de la présente disposition doivent respecter, outre les caractéristiques physiques, chimiques et organoleptiques établies dans les normes de l’Union européenne applicables, les caractéristiques énoncées à l’annexe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Ces produits doivent provenir exclusivement du fruit entier de l’olivier</w:t>
      </w:r>
      <w:r>
        <w:rPr>
          <w:rFonts w:ascii="Arial" w:hAnsi="Arial"/>
          <w:i/>
        </w:rPr>
        <w:t xml:space="preserve"> </w:t>
      </w:r>
      <w:r>
        <w:rPr>
          <w:rFonts w:ascii="Arial" w:hAnsi="Arial"/>
        </w:rPr>
        <w:t>(</w:t>
      </w:r>
      <w:r>
        <w:rPr>
          <w:rFonts w:ascii="Arial" w:hAnsi="Arial"/>
          <w:i/>
        </w:rPr>
        <w:t xml:space="preserve">Olea </w:t>
      </w:r>
      <w:proofErr w:type="spellStart"/>
      <w:r>
        <w:rPr>
          <w:rFonts w:ascii="Arial" w:hAnsi="Arial"/>
          <w:i/>
        </w:rPr>
        <w:t>europaea</w:t>
      </w:r>
      <w:proofErr w:type="spellEnd"/>
      <w:r>
        <w:rPr>
          <w:rFonts w:ascii="Arial" w:hAnsi="Arial"/>
          <w:i/>
        </w:rPr>
        <w:t xml:space="preserve"> </w:t>
      </w:r>
      <w:r>
        <w:rPr>
          <w:rFonts w:ascii="Arial" w:hAnsi="Arial"/>
        </w:rPr>
        <w:t>L.</w:t>
      </w:r>
      <w:r>
        <w:rPr>
          <w:rFonts w:ascii="Arial" w:hAnsi="Arial"/>
          <w:i/>
        </w:rPr>
        <w:t xml:space="preserve">), </w:t>
      </w:r>
      <w:r>
        <w:rPr>
          <w:rFonts w:ascii="Arial" w:hAnsi="Arial"/>
        </w:rPr>
        <w:t xml:space="preserve">et ne faire l’objet d’aucun traitement, à l’exception du nettoyage ou du lavage non alcalin de l’olive.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L’huile d’olive lampante destinée à un usage alimentaire doit être soumise à un raffinage préalable. </w:t>
      </w:r>
    </w:p>
    <w:p w14:paraId="097A7FE6" w14:textId="088927FF" w:rsidR="003335F1" w:rsidRPr="00DE35E8" w:rsidRDefault="008C2F75" w:rsidP="00B503A1">
      <w:pPr>
        <w:jc w:val="both"/>
        <w:rPr>
          <w:rFonts w:ascii="Arial" w:hAnsi="Arial" w:cs="Arial"/>
        </w:rPr>
      </w:pPr>
      <w:r>
        <w:rPr>
          <w:rFonts w:ascii="Arial" w:hAnsi="Arial"/>
        </w:rPr>
        <w:t xml:space="preserve">3. Les huiles d’olive et de grignons d’olive doivent toujours être protégées des conditions environnementales défavorables susceptibles d’altérer leurs caractéristiques physiques, chimiques et organoleptiques. Par conséquent, il convient de garantir un stockage, un transport et une commercialisation à l’abri de la lumière et de la chaleur. </w:t>
      </w:r>
    </w:p>
    <w:p w14:paraId="2782ECB5" w14:textId="77F209DE" w:rsidR="003335F1" w:rsidRPr="00DE35E8" w:rsidRDefault="003335F1" w:rsidP="00B503A1">
      <w:pPr>
        <w:spacing w:before="360" w:after="360"/>
        <w:jc w:val="both"/>
        <w:rPr>
          <w:rFonts w:ascii="Arial" w:hAnsi="Arial" w:cs="Arial"/>
          <w:i/>
        </w:rPr>
      </w:pPr>
      <w:r>
        <w:rPr>
          <w:rFonts w:ascii="Arial" w:hAnsi="Arial"/>
          <w:b/>
        </w:rPr>
        <w:t>Article 7</w:t>
      </w:r>
      <w:r>
        <w:rPr>
          <w:rFonts w:ascii="Arial" w:hAnsi="Arial"/>
          <w:i/>
        </w:rPr>
        <w:t>. Obligations spécifiques applicables au conditionnement</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Les récipients dans lesquels les huiles seront présentées doivent être propres et leur composition doit être adaptée à un usage alimentaire. Les matériaux utilisés doivent également protéger les huiles des processus oxydatifs, selon les réglementations hygiéniques et sanitaires en vigueur. En aucun cas lesdits récipients ne peuvent être susceptibles de modifier les caractéristiques du contenu, ni transmettre des saveurs ou des odeurs qui y sont étrangères, ou provoquer des altérations du produit. Ils doivent toujours garantir le degré de protection visé à l’article 6, paragraphe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Les récipients d’huiles d’olive et de grignons d’olive destinés à la vente ou à la livraison au consommateur final, y compris ceux livrés par les moulins à huile à leurs producteurs pour leur consommation, ainsi que ceux fournis à des services de restauration collective, seront munis d’un dispositif de fermeture irrécupérable et étiquetés conformément aux dispositions de la législation en vigueur. </w:t>
      </w:r>
    </w:p>
    <w:p w14:paraId="0A2AD994" w14:textId="02AC4A07" w:rsidR="0035653C" w:rsidRPr="00DE35E8" w:rsidRDefault="00BA5254" w:rsidP="00B503A1">
      <w:pPr>
        <w:spacing w:after="240"/>
        <w:jc w:val="both"/>
        <w:rPr>
          <w:rFonts w:ascii="Arial" w:hAnsi="Arial" w:cs="Arial"/>
        </w:rPr>
      </w:pPr>
      <w:r>
        <w:rPr>
          <w:rFonts w:ascii="Arial" w:hAnsi="Arial"/>
        </w:rPr>
        <w:lastRenderedPageBreak/>
        <w:t>3. Les récipients destinés à la vente au consommateur final, y compris ceux fournis par les moulins à huile aux producteurs pour leur consommation, auront une capacité maximale de cinq litres. Les huiles fournies à des services de restauration collective peuvent également être commercialisées dans des récipients d’une capacité de dix, vingt, vingt-cinq et cinquante litres.</w:t>
      </w:r>
    </w:p>
    <w:p w14:paraId="55C9795C" w14:textId="20FCBB59" w:rsidR="00B56228" w:rsidRPr="00DE35E8" w:rsidRDefault="00BA5254" w:rsidP="00B503A1">
      <w:pPr>
        <w:pStyle w:val="Default"/>
        <w:spacing w:before="160"/>
        <w:jc w:val="both"/>
        <w:rPr>
          <w:color w:val="auto"/>
        </w:rPr>
      </w:pPr>
      <w:r>
        <w:rPr>
          <w:color w:val="auto"/>
        </w:rPr>
        <w:t>4. Les récipients mis à disposition des consommateurs finaux dans les établissements de services de restauration collective doivent disposer d’un système de protection visant à prévenir leur réutilisation une fois le contenu d’origine épuisé.</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Article 8.</w:t>
      </w:r>
      <w:r>
        <w:rPr>
          <w:b/>
          <w:i/>
          <w:color w:val="auto"/>
        </w:rPr>
        <w:t xml:space="preserve"> </w:t>
      </w:r>
      <w:r>
        <w:rPr>
          <w:i/>
          <w:color w:val="auto"/>
        </w:rPr>
        <w:t>Pratiques interdites</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 xml:space="preserve">1. Sont </w:t>
      </w:r>
      <w:proofErr w:type="gramStart"/>
      <w:r>
        <w:rPr>
          <w:rFonts w:ascii="Arial" w:hAnsi="Arial"/>
        </w:rPr>
        <w:t>interdits:</w:t>
      </w:r>
      <w:proofErr w:type="gramEnd"/>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la production à des fins de commercialisation sur le marché national de mélanges d’huiles d’olive et de grignons d’olive avec d’autres huiles ou graisses d’origine végétale. De tels mélanges ne peuvent en aucun cas être commercialisés sous l’une des dénominations alimentaires visées au règlement (UE) nº 1169/2011 du Parlement européen et du Conseil du 25 octobre 2011 concernant l’information des consommateurs sur les denrées </w:t>
      </w:r>
      <w:proofErr w:type="gramStart"/>
      <w:r>
        <w:rPr>
          <w:rFonts w:ascii="Arial" w:hAnsi="Arial"/>
        </w:rPr>
        <w:t>alimentaires;</w:t>
      </w:r>
      <w:proofErr w:type="gramEnd"/>
      <w:r>
        <w:rPr>
          <w:rFonts w:ascii="Arial" w:hAnsi="Arial"/>
        </w:rPr>
        <w:t xml:space="preserve"> </w:t>
      </w:r>
    </w:p>
    <w:p w14:paraId="24AAF4C2" w14:textId="695BA2C5" w:rsidR="00AF1F55" w:rsidRPr="00DE35E8" w:rsidRDefault="008C2F75" w:rsidP="00B503A1">
      <w:pPr>
        <w:jc w:val="both"/>
        <w:rPr>
          <w:rFonts w:ascii="Arial" w:hAnsi="Arial" w:cs="Arial"/>
        </w:rPr>
      </w:pPr>
      <w:r>
        <w:rPr>
          <w:rFonts w:ascii="Arial" w:hAnsi="Arial"/>
        </w:rPr>
        <w:t>b) l’utilisation du terme</w:t>
      </w:r>
      <w:proofErr w:type="gramStart"/>
      <w:r>
        <w:rPr>
          <w:rFonts w:ascii="Arial" w:hAnsi="Arial"/>
        </w:rPr>
        <w:t xml:space="preserve"> «vierge</w:t>
      </w:r>
      <w:proofErr w:type="gramEnd"/>
      <w:r>
        <w:rPr>
          <w:rFonts w:ascii="Arial" w:hAnsi="Arial"/>
        </w:rPr>
        <w:t xml:space="preserve">» ou «vierge extra» sur l’étiquetage des produits alimentaires d’aspect huileux pouvant être confondus avec les huiles d’olive visées dans la présente norme (huiles, assaisonnements, vinaigrettes, ou assimilés). Une telle interdiction n’affecte pas la liste des ingrédients du produit </w:t>
      </w:r>
      <w:proofErr w:type="gramStart"/>
      <w:r>
        <w:rPr>
          <w:rFonts w:ascii="Arial" w:hAnsi="Arial"/>
        </w:rPr>
        <w:t>concerné;</w:t>
      </w:r>
      <w:proofErr w:type="gramEnd"/>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la commercialisation dans le circuit de vente au détail d’huiles d’olive vierge extra dans des récipients en </w:t>
      </w:r>
      <w:proofErr w:type="gramStart"/>
      <w:r>
        <w:rPr>
          <w:rFonts w:ascii="Arial" w:hAnsi="Arial"/>
        </w:rPr>
        <w:t>plastique;</w:t>
      </w:r>
      <w:proofErr w:type="gramEnd"/>
      <w:r>
        <w:rPr>
          <w:rFonts w:ascii="Arial" w:hAnsi="Arial"/>
        </w:rPr>
        <w:t xml:space="preserve">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le transfert ou le remplissage de l’huile d’olive ou de grignons d’olive par des services de restauration collective dans des conteneurs ou des récipients destinés au consommateur </w:t>
      </w:r>
      <w:proofErr w:type="gramStart"/>
      <w:r>
        <w:rPr>
          <w:rFonts w:ascii="Arial" w:hAnsi="Arial"/>
        </w:rPr>
        <w:t>final;</w:t>
      </w:r>
      <w:proofErr w:type="gramEnd"/>
      <w:r>
        <w:rPr>
          <w:rFonts w:ascii="Arial" w:hAnsi="Arial"/>
        </w:rPr>
        <w:t xml:space="preserve"> </w:t>
      </w:r>
    </w:p>
    <w:p w14:paraId="31ED4097" w14:textId="3B96FFF4" w:rsidR="00BF4307" w:rsidRPr="00DE35E8" w:rsidRDefault="008C2F75" w:rsidP="00B503A1">
      <w:pPr>
        <w:spacing w:after="240"/>
        <w:jc w:val="both"/>
        <w:rPr>
          <w:rFonts w:ascii="Arial" w:hAnsi="Arial" w:cs="Arial"/>
        </w:rPr>
      </w:pPr>
      <w:r>
        <w:rPr>
          <w:rFonts w:ascii="Arial" w:hAnsi="Arial"/>
        </w:rPr>
        <w:t xml:space="preserve">e) le classement de tout mélange d’huiles d’olive vierges dans une catégorie supérieure à celle de l’huile de catégorie inférieure </w:t>
      </w:r>
      <w:proofErr w:type="gramStart"/>
      <w:r>
        <w:rPr>
          <w:rFonts w:ascii="Arial" w:hAnsi="Arial"/>
        </w:rPr>
        <w:t>utilisée;</w:t>
      </w:r>
      <w:proofErr w:type="gramEnd"/>
      <w:r>
        <w:rPr>
          <w:rFonts w:ascii="Arial" w:hAnsi="Arial"/>
        </w:rPr>
        <w:t xml:space="preserve"> </w:t>
      </w:r>
    </w:p>
    <w:p w14:paraId="611AC074" w14:textId="0B18B814" w:rsidR="006636F3" w:rsidRPr="00B25A68" w:rsidRDefault="00D734B4" w:rsidP="00B503A1">
      <w:pPr>
        <w:spacing w:before="100" w:beforeAutospacing="1" w:after="100" w:afterAutospacing="1"/>
        <w:jc w:val="both"/>
        <w:rPr>
          <w:rFonts w:ascii="Arial" w:hAnsi="Arial" w:cs="Arial"/>
          <w:spacing w:val="-4"/>
        </w:rPr>
      </w:pPr>
      <w:r w:rsidRPr="00B25A68">
        <w:rPr>
          <w:rFonts w:ascii="Arial" w:hAnsi="Arial"/>
          <w:spacing w:val="-4"/>
        </w:rPr>
        <w:t xml:space="preserve">f) l’installation dans les moulins à huile, les entrepôts et les installations de conditionnement d’huile d’olive vierge, de dispositifs et de moyens techniques spécifiques destinés à désodoriser ou à raffiner les huiles, de quelque manière que ce </w:t>
      </w:r>
      <w:proofErr w:type="gramStart"/>
      <w:r w:rsidRPr="00B25A68">
        <w:rPr>
          <w:rFonts w:ascii="Arial" w:hAnsi="Arial"/>
          <w:spacing w:val="-4"/>
        </w:rPr>
        <w:t>soit;</w:t>
      </w:r>
      <w:proofErr w:type="gramEnd"/>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la réception ou le traitement par les moulins à huile de grignons d’olive issus d’autres moulins, d’olives, de traces d’olives ou d’huiles issues d’usines d’assaisonnement où elles ont été soumises à des traitements non autorisés dans le cadre de la production d’huiles d’olive vierges, et de toute autre matière première impliquée dans la production de l’huile qui ne soit pas le fruit entier et brut de </w:t>
      </w:r>
      <w:proofErr w:type="gramStart"/>
      <w:r>
        <w:rPr>
          <w:rFonts w:ascii="Arial" w:hAnsi="Arial"/>
        </w:rPr>
        <w:t>l’olivier;</w:t>
      </w:r>
      <w:proofErr w:type="gramEnd"/>
      <w:r>
        <w:rPr>
          <w:rFonts w:ascii="Arial" w:hAnsi="Arial"/>
        </w:rPr>
        <w:t xml:space="preserve">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le dépôt, le stockage et le transport d’huiles d’olive et de grignons d’olive qui ne sont pas dûment identifiées au moyen de la classification correspondante, à l’exception des moulins, qui devront procéder à cette identification avant l’expédition.</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lastRenderedPageBreak/>
        <w:t xml:space="preserve">2. Dans les établissements de production d’huile d’olive et de grignons d’olive définis à l’article 3, sont </w:t>
      </w:r>
      <w:proofErr w:type="gramStart"/>
      <w:r>
        <w:rPr>
          <w:rFonts w:ascii="Arial" w:hAnsi="Arial"/>
        </w:rPr>
        <w:t>interdits:</w:t>
      </w:r>
      <w:proofErr w:type="gramEnd"/>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le lavage alcalin des huiles dans les moulins à </w:t>
      </w:r>
      <w:proofErr w:type="gramStart"/>
      <w:r>
        <w:rPr>
          <w:rFonts w:ascii="Arial" w:hAnsi="Arial"/>
        </w:rPr>
        <w:t>huile;</w:t>
      </w:r>
      <w:proofErr w:type="gramEnd"/>
      <w:r>
        <w:rPr>
          <w:rFonts w:ascii="Arial" w:hAnsi="Arial"/>
        </w:rPr>
        <w:t xml:space="preserve">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 xml:space="preserve">b) l’extraction ou le raffinage des huiles d’olive et de grignons d’olive par des procédés, solvants ou adjuvants non autorisés, ainsi que l’addition d’huiles industrielles, minérales, estérifiées ou </w:t>
      </w:r>
      <w:proofErr w:type="gramStart"/>
      <w:r>
        <w:rPr>
          <w:rFonts w:ascii="Arial" w:hAnsi="Arial"/>
        </w:rPr>
        <w:t>synthétiques;</w:t>
      </w:r>
      <w:proofErr w:type="gramEnd"/>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 xml:space="preserve">c) tout processus d’estérification ou toute pratique susceptible de modifier la structure </w:t>
      </w:r>
      <w:proofErr w:type="spellStart"/>
      <w:r>
        <w:rPr>
          <w:rFonts w:ascii="Arial" w:hAnsi="Arial"/>
        </w:rPr>
        <w:t>glycéridique</w:t>
      </w:r>
      <w:proofErr w:type="spellEnd"/>
      <w:r>
        <w:rPr>
          <w:rFonts w:ascii="Arial" w:hAnsi="Arial"/>
        </w:rPr>
        <w:t xml:space="preserve"> de </w:t>
      </w:r>
      <w:proofErr w:type="gramStart"/>
      <w:r>
        <w:rPr>
          <w:rFonts w:ascii="Arial" w:hAnsi="Arial"/>
        </w:rPr>
        <w:t>l’huile;</w:t>
      </w:r>
      <w:proofErr w:type="gramEnd"/>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 xml:space="preserve">d) le traitement des huiles avec de l’air, de l’oxygène, de l’ozone ou d’autres substances chimiques oxydantes, à l’exception des opérations de pompage nécessaires pendant le soutirage, d’inertage des récipients et des réservoirs, et d’homogénéisation à l’azote ou à d’autres gaz inertes, sans préjudice de la législation de l’Union </w:t>
      </w:r>
      <w:proofErr w:type="gramStart"/>
      <w:r>
        <w:rPr>
          <w:rFonts w:ascii="Arial" w:hAnsi="Arial"/>
        </w:rPr>
        <w:t>européenne;</w:t>
      </w:r>
      <w:proofErr w:type="gramEnd"/>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e) dans les installations d’extraction, de raffinage, de conditionnement ou de stockage en vrac des huiles d’olive et de grignons d’olive, la possession ou la manipulation de glycérine, de graisses ou d’huiles animales, végétales, industrielles ou synthétiques, et de toute substance non autorisée</w:t>
      </w:r>
      <w:r>
        <w:rPr>
          <w:rFonts w:ascii="Arial" w:hAnsi="Arial"/>
          <w:sz w:val="28"/>
        </w:rPr>
        <w:t xml:space="preserve">, </w:t>
      </w:r>
      <w:r>
        <w:rPr>
          <w:rFonts w:ascii="Arial" w:hAnsi="Arial"/>
        </w:rPr>
        <w:t xml:space="preserve">dont l’utilisation n’est ni autorisée ni </w:t>
      </w:r>
      <w:proofErr w:type="gramStart"/>
      <w:r>
        <w:rPr>
          <w:rFonts w:ascii="Arial" w:hAnsi="Arial"/>
        </w:rPr>
        <w:t>justifiée;</w:t>
      </w:r>
      <w:proofErr w:type="gramEnd"/>
      <w:r>
        <w:rPr>
          <w:rFonts w:ascii="Arial" w:hAnsi="Arial"/>
        </w:rPr>
        <w:t xml:space="preserve">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dans les moulins à huile, la </w:t>
      </w:r>
      <w:proofErr w:type="spellStart"/>
      <w:r>
        <w:rPr>
          <w:rFonts w:ascii="Arial" w:hAnsi="Arial"/>
        </w:rPr>
        <w:t>recentrifugation</w:t>
      </w:r>
      <w:proofErr w:type="spellEnd"/>
      <w:r>
        <w:rPr>
          <w:rFonts w:ascii="Arial" w:hAnsi="Arial"/>
        </w:rPr>
        <w:t xml:space="preserve"> en processus non continu des masses issues des systèmes de production d’huile d’olive vierge, pour éviter leur fermentation. Une telle </w:t>
      </w:r>
      <w:proofErr w:type="spellStart"/>
      <w:r>
        <w:rPr>
          <w:rFonts w:ascii="Arial" w:hAnsi="Arial"/>
        </w:rPr>
        <w:t>recentrifugation</w:t>
      </w:r>
      <w:proofErr w:type="spellEnd"/>
      <w:r>
        <w:rPr>
          <w:rFonts w:ascii="Arial" w:hAnsi="Arial"/>
        </w:rPr>
        <w:t xml:space="preserve"> des masses issues des systèmes de production d’huile d’olive vierge ne peut être effectuée qu’après leur </w:t>
      </w:r>
      <w:proofErr w:type="spellStart"/>
      <w:r>
        <w:rPr>
          <w:rFonts w:ascii="Arial" w:hAnsi="Arial"/>
        </w:rPr>
        <w:t>thermobilisation</w:t>
      </w:r>
      <w:proofErr w:type="spellEnd"/>
      <w:r>
        <w:rPr>
          <w:rFonts w:ascii="Arial" w:hAnsi="Arial"/>
        </w:rPr>
        <w:t xml:space="preserve">, selon un processus continu. En aucun cas la </w:t>
      </w:r>
      <w:proofErr w:type="spellStart"/>
      <w:r>
        <w:rPr>
          <w:rFonts w:ascii="Arial" w:hAnsi="Arial"/>
        </w:rPr>
        <w:t>recentrifugation</w:t>
      </w:r>
      <w:proofErr w:type="spellEnd"/>
      <w:r>
        <w:rPr>
          <w:rFonts w:ascii="Arial" w:hAnsi="Arial"/>
        </w:rPr>
        <w:t xml:space="preserve"> des masses ou des grignons provenant de réservoirs ou de bassins de stockage autres que ceux visés à l’article 3, paragraphe 2, point l) n’est autorisée. </w:t>
      </w:r>
    </w:p>
    <w:p w14:paraId="11933B30" w14:textId="3F3F5A51" w:rsidR="00B573B8" w:rsidRPr="00DE35E8" w:rsidRDefault="00B573B8" w:rsidP="00B503A1">
      <w:pPr>
        <w:spacing w:before="360" w:after="360"/>
        <w:jc w:val="both"/>
        <w:rPr>
          <w:rFonts w:ascii="Arial" w:hAnsi="Arial" w:cs="Arial"/>
          <w:i/>
        </w:rPr>
      </w:pPr>
      <w:r>
        <w:rPr>
          <w:rFonts w:ascii="Arial" w:hAnsi="Arial"/>
          <w:b/>
        </w:rPr>
        <w:t>Article 9.</w:t>
      </w:r>
      <w:r>
        <w:rPr>
          <w:rFonts w:ascii="Arial" w:hAnsi="Arial"/>
          <w:b/>
          <w:i/>
        </w:rPr>
        <w:t xml:space="preserve"> </w:t>
      </w:r>
      <w:r>
        <w:rPr>
          <w:rFonts w:ascii="Arial" w:hAnsi="Arial"/>
          <w:i/>
        </w:rPr>
        <w:t>Contrôle officiel, coordination et régime de sanctions</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Les autorités de contrôle officiel compétentes effectuent au moins un contrôle de conformité pour chaque millier de tonnes d’huile d’olive et de grignons d’olive commercialisé, afin de vérifier leurs caractéristiques de qualité en vertu du règlement (CEE) nº 2568/91 de la Commission, du 11 juillet 1991, relatif aux caractéristiques des huiles d’olive et des huiles de grignons d’olive ainsi qu’aux méthodes y afférentes.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Les méthodes de prélèvement et d’analyse seront celles établies pour chaque produit dans la réglementation de l’Union européenne ou, à défaut, dans les dispositions nationales ou régionales.</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La vérification de la conformité des huiles d’olive vierges à la catégorie déclarée sur l’étiquetage sera effectuée par des laboratoires officiels reconnus à cet effet, en fonction de leurs caractéristiques physiques, chimiques et organoleptiques, par des jurys de dégustateurs agréés pour un tel contrôle officiel, conformément aux dispositions du décret royal nº 227/2008 du 15 février 2008 fixant les règles de base concernant les panels de dégustateurs d’huile d’olive vierge.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lastRenderedPageBreak/>
        <w:t xml:space="preserve">4. Sans préjudice des contrôles établis par les règlements de l’Union européenne visés au paragraphe 1, le ministère de l’agriculture, de la pêche et de l’alimentation coordonnera un plan de contrôle spécifique pour vérifier la traçabilité du secteur de l’huile d’olive et de grignons d’olive. Ce plan est décrit à l’article 4. Dans ce plan, des contrôles spécifiques doivent être envisagés pour les installations visées à l’article 5, paragraphe 3. </w:t>
      </w:r>
    </w:p>
    <w:p w14:paraId="0CEE0216" w14:textId="0046C74F" w:rsidR="00991F21" w:rsidRPr="00DE35E8" w:rsidRDefault="00F14BA3" w:rsidP="00B503A1">
      <w:pPr>
        <w:pStyle w:val="Default"/>
        <w:spacing w:after="240"/>
        <w:jc w:val="both"/>
        <w:rPr>
          <w:color w:val="auto"/>
        </w:rPr>
      </w:pPr>
      <w:r>
        <w:rPr>
          <w:color w:val="auto"/>
        </w:rPr>
        <w:t>5. Les informations relatives aux résultats des contrôles de conformité effectués conformément aux dispositions du paragraphe 1 seront communiquées au ministère de l’agriculture, de la pêche et de l’alimentation avant le 1</w:t>
      </w:r>
      <w:r>
        <w:rPr>
          <w:color w:val="auto"/>
          <w:vertAlign w:val="superscript"/>
        </w:rPr>
        <w:t>er</w:t>
      </w:r>
      <w:r>
        <w:rPr>
          <w:color w:val="auto"/>
        </w:rPr>
        <w:t> mai de chaque année, dans le format établi.</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L’ensemble de ces données seront collectées dans un rapport annuel sur les contrôles officiels, publié par l’administration générale de l’État à la demande du ministère de l’agriculture, de la pêche et de l’alimentation. </w:t>
      </w:r>
    </w:p>
    <w:p w14:paraId="29C3D5B3" w14:textId="04798B97" w:rsidR="00F14BA3" w:rsidRPr="00DE35E8" w:rsidRDefault="00F14BA3" w:rsidP="00B503A1">
      <w:pPr>
        <w:pStyle w:val="Default"/>
        <w:spacing w:after="240"/>
        <w:jc w:val="both"/>
        <w:rPr>
          <w:color w:val="auto"/>
        </w:rPr>
      </w:pPr>
      <w:r>
        <w:rPr>
          <w:color w:val="auto"/>
        </w:rPr>
        <w:t>7. Le plan de contrôle spécifique sera présenté pour discussion à l’assemblée en charge de la coordination de la qualité alimentaire. Il doit notamment présenter le calendrier des actions de contrôle ainsi que le protocole d’organisation des campagnes d’inspection, en tenant compte des résultats des contrôles de conformité effectués par les communautés autonomes ainsi que des données contenues dans le système d’information des marchés oléicoles du ministère de l’agriculture, de la pêche et de l’alimentation. Ce plan sera examiné tous les ans par l’assemblée en charge de la coordination de la qualité alimentaire.</w:t>
      </w:r>
    </w:p>
    <w:p w14:paraId="2DAC617D" w14:textId="78604F4C" w:rsidR="00A31337" w:rsidRPr="00DE35E8" w:rsidRDefault="000E44EE" w:rsidP="00B503A1">
      <w:pPr>
        <w:jc w:val="both"/>
        <w:rPr>
          <w:rFonts w:ascii="Arial" w:hAnsi="Arial" w:cs="Arial"/>
        </w:rPr>
      </w:pPr>
      <w:r>
        <w:rPr>
          <w:rFonts w:ascii="Arial" w:hAnsi="Arial"/>
        </w:rPr>
        <w:t>8. Les sanctions infligées à la suite des contrôles effectués seront efficaces, proportionnées et dissuasives.</w:t>
      </w:r>
    </w:p>
    <w:p w14:paraId="21D2CEC6" w14:textId="77777777" w:rsidR="006B334B" w:rsidRDefault="006B334B" w:rsidP="00B503A1">
      <w:pPr>
        <w:pStyle w:val="sangrado"/>
        <w:jc w:val="both"/>
        <w:rPr>
          <w:rFonts w:ascii="Arial" w:hAnsi="Arial"/>
          <w:b/>
        </w:rPr>
      </w:pPr>
    </w:p>
    <w:p w14:paraId="5392421B" w14:textId="77777777" w:rsidR="006B334B" w:rsidRDefault="006B334B" w:rsidP="00B503A1">
      <w:pPr>
        <w:pStyle w:val="sangrado"/>
        <w:jc w:val="both"/>
        <w:rPr>
          <w:rFonts w:ascii="Arial" w:hAnsi="Arial"/>
          <w:b/>
        </w:rPr>
      </w:pPr>
    </w:p>
    <w:p w14:paraId="0B018C2C" w14:textId="0725E36B" w:rsidR="00CA039D" w:rsidRPr="00DE35E8" w:rsidRDefault="00033181" w:rsidP="00B503A1">
      <w:pPr>
        <w:pStyle w:val="sangrado"/>
        <w:jc w:val="both"/>
        <w:rPr>
          <w:rFonts w:ascii="Arial" w:hAnsi="Arial" w:cs="Arial"/>
        </w:rPr>
      </w:pPr>
      <w:r>
        <w:rPr>
          <w:rFonts w:ascii="Arial" w:hAnsi="Arial"/>
          <w:b/>
        </w:rPr>
        <w:t xml:space="preserve">Première disposition additionnelle. </w:t>
      </w:r>
      <w:r>
        <w:rPr>
          <w:rFonts w:ascii="Arial" w:hAnsi="Arial"/>
          <w:i/>
        </w:rPr>
        <w:t>Clause de reconnaissance mutuelle</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Les marchandises légalement commercialisées dans un autre État membre de l’Union européenne ou en Turquie, ou originaires d’un État de l’Association européenne de libre-échange signataire de l’accord sur l’Espace économique européen, sont considérées comme conformes au présent décret royal. L’application du présent décret royal est soumise au règlement (UE) 2019/515 du Parlement européen et du Conseil du 19 mars 2019 relatif à la reconnaissance mutuelle des marchandises commercialisées légalement dans un autre État membre et abrogeant le règlement (CE) nº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Deuxième disposition additionnelle. </w:t>
      </w:r>
      <w:r>
        <w:rPr>
          <w:rFonts w:ascii="Arial" w:hAnsi="Arial"/>
          <w:i/>
        </w:rPr>
        <w:t>Système informatisé</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Le ministère de l’agriculture, de la pêche et de l’alimentation va mettre au point un support informatisé visant à faciliter à la fois le respect par les opérateurs de l’obligation de notification établie à l’article 4, paragraphe 3, et l’accès à l’information et au contrôle des huiles d’olive et de grignons d’olive par les autorités compétentes. </w:t>
      </w:r>
    </w:p>
    <w:p w14:paraId="7BC1536B" w14:textId="47607053" w:rsidR="00D734B4" w:rsidRPr="00DE35E8" w:rsidRDefault="00190979" w:rsidP="00B503A1">
      <w:pPr>
        <w:spacing w:before="360" w:after="360"/>
        <w:jc w:val="both"/>
        <w:rPr>
          <w:rFonts w:ascii="Arial" w:hAnsi="Arial" w:cs="Arial"/>
          <w:b/>
        </w:rPr>
      </w:pPr>
      <w:r>
        <w:rPr>
          <w:rFonts w:ascii="Arial" w:hAnsi="Arial"/>
        </w:rPr>
        <w:lastRenderedPageBreak/>
        <w:t>Ce système sera accessible aux opérateurs en charge d’une telle notification, aux autorités de contrôle compétentes et aux services de sécurité de l’État.</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Disposition transitoire unique. </w:t>
      </w:r>
      <w:r>
        <w:rPr>
          <w:rFonts w:ascii="Arial" w:hAnsi="Arial"/>
          <w:i/>
        </w:rPr>
        <w:t>Période transitoire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Les dispositions énoncées à l’article 4, paragraphe 3, entreront en vigueur après la mise en place du système informatique mentionné. </w:t>
      </w:r>
    </w:p>
    <w:p w14:paraId="77B08C6A" w14:textId="2EEB1F8F" w:rsidR="0051003B" w:rsidRPr="00DE35E8" w:rsidRDefault="001E411F" w:rsidP="00B503A1">
      <w:pPr>
        <w:spacing w:before="360" w:after="360"/>
        <w:jc w:val="both"/>
        <w:rPr>
          <w:rFonts w:ascii="Arial" w:hAnsi="Arial" w:cs="Arial"/>
        </w:rPr>
      </w:pPr>
      <w:r>
        <w:rPr>
          <w:rFonts w:ascii="Arial" w:hAnsi="Arial"/>
        </w:rPr>
        <w:t>Les dispositions de l’article 8, paragraphe 1, point c), seront applicables à compter du 1</w:t>
      </w:r>
      <w:r>
        <w:rPr>
          <w:rFonts w:ascii="Arial" w:hAnsi="Arial"/>
          <w:vertAlign w:val="superscript"/>
        </w:rPr>
        <w:t>er</w:t>
      </w:r>
      <w:r>
        <w:rPr>
          <w:rFonts w:ascii="Arial" w:hAnsi="Arial"/>
        </w:rPr>
        <w:t> janvier 2024 pour les récipients dont le contenu est inférieur ou égal à un litre, et à compter du 1</w:t>
      </w:r>
      <w:r>
        <w:rPr>
          <w:rFonts w:ascii="Arial" w:hAnsi="Arial"/>
          <w:vertAlign w:val="superscript"/>
        </w:rPr>
        <w:t>er</w:t>
      </w:r>
      <w:r>
        <w:rPr>
          <w:rFonts w:ascii="Arial" w:hAnsi="Arial"/>
        </w:rPr>
        <w:t xml:space="preserve"> janvier 2025 pour les autres.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Disposition abrogatoire unique.</w:t>
      </w:r>
      <w:r>
        <w:t xml:space="preserve"> </w:t>
      </w:r>
      <w:r>
        <w:rPr>
          <w:i/>
        </w:rPr>
        <w:t>Abrogation réglementaire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 xml:space="preserve">Toutes les dispositions de rang inférieur ou égal qui s’opposent aux dispositions établies dans le présent décret royal sont abrogées, et </w:t>
      </w:r>
      <w:proofErr w:type="gramStart"/>
      <w:r>
        <w:rPr>
          <w:color w:val="auto"/>
        </w:rPr>
        <w:t>notamment:</w:t>
      </w:r>
      <w:proofErr w:type="gramEnd"/>
    </w:p>
    <w:p w14:paraId="420C7E36" w14:textId="637B8EBE" w:rsidR="00BD3ECA" w:rsidRPr="00DE35E8" w:rsidRDefault="00F07691" w:rsidP="00B503A1">
      <w:pPr>
        <w:spacing w:before="120" w:after="120"/>
        <w:jc w:val="both"/>
        <w:rPr>
          <w:rFonts w:ascii="Arial" w:hAnsi="Arial" w:cs="Arial"/>
        </w:rPr>
      </w:pPr>
      <w:r>
        <w:rPr>
          <w:rFonts w:ascii="Arial" w:hAnsi="Arial"/>
        </w:rPr>
        <w:t xml:space="preserve">a) le décret royal nº 3000/1979 du 7 décembre 1979 sur la réglementation des procédés industriels dans le secteur de l’huile </w:t>
      </w:r>
      <w:proofErr w:type="gramStart"/>
      <w:r>
        <w:rPr>
          <w:rFonts w:ascii="Arial" w:hAnsi="Arial"/>
        </w:rPr>
        <w:t>d’olive;</w:t>
      </w:r>
      <w:proofErr w:type="gramEnd"/>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le décret royal nº 308/1983 du 25 janvier 1983 portant approbation de la réglementation technico-sanitaire en matière d’huiles végétales comestibles, dans la partie relative aux huiles d’olive et de grignons </w:t>
      </w:r>
      <w:proofErr w:type="gramStart"/>
      <w:r>
        <w:rPr>
          <w:rFonts w:ascii="Arial" w:hAnsi="Arial"/>
        </w:rPr>
        <w:t>d’olive;</w:t>
      </w:r>
      <w:proofErr w:type="gramEnd"/>
      <w:r>
        <w:rPr>
          <w:rFonts w:ascii="Arial" w:hAnsi="Arial"/>
        </w:rPr>
        <w:t xml:space="preserve"> </w:t>
      </w:r>
    </w:p>
    <w:p w14:paraId="7452C311" w14:textId="55A1BD1C" w:rsidR="00BD3ECA" w:rsidRPr="00DE35E8" w:rsidRDefault="00F07691" w:rsidP="00B503A1">
      <w:pPr>
        <w:spacing w:before="120" w:after="120"/>
        <w:jc w:val="both"/>
        <w:rPr>
          <w:rFonts w:ascii="Arial" w:hAnsi="Arial" w:cs="Arial"/>
        </w:rPr>
      </w:pPr>
      <w:r>
        <w:rPr>
          <w:rFonts w:ascii="Arial" w:hAnsi="Arial"/>
        </w:rPr>
        <w:t>c) le décret royal nº 259/1985 du 20 février 1985 qui complète la règlementation technico-sanitaire en matière d’huiles végétales comestibles, avec l’application du dosage de l’</w:t>
      </w:r>
      <w:proofErr w:type="spellStart"/>
      <w:r>
        <w:rPr>
          <w:rFonts w:ascii="Arial" w:hAnsi="Arial"/>
        </w:rPr>
        <w:t>érythrodiol</w:t>
      </w:r>
      <w:proofErr w:type="spellEnd"/>
      <w:r>
        <w:rPr>
          <w:rFonts w:ascii="Arial" w:hAnsi="Arial"/>
        </w:rPr>
        <w:t xml:space="preserve"> dans les huiles </w:t>
      </w:r>
      <w:proofErr w:type="gramStart"/>
      <w:r>
        <w:rPr>
          <w:rFonts w:ascii="Arial" w:hAnsi="Arial"/>
        </w:rPr>
        <w:t>d’olive;</w:t>
      </w:r>
      <w:proofErr w:type="gramEnd"/>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d) le décret royal nº 2551/1986 du 21 novembre 1986 qui réglemente la production et la commercialisation d’huile de grignons raffinés et d’huile </w:t>
      </w:r>
      <w:proofErr w:type="gramStart"/>
      <w:r>
        <w:rPr>
          <w:rFonts w:ascii="Arial" w:hAnsi="Arial"/>
        </w:rPr>
        <w:t>d’olive;</w:t>
      </w:r>
      <w:proofErr w:type="gramEnd"/>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 xml:space="preserve">e) le décret royal nº 538/1993 du 12 avril 1993 portant modification de certaines dispositions relatives aux exigences industrielles pour la production, la circulation et le commerce des huiles végétales </w:t>
      </w:r>
      <w:proofErr w:type="gramStart"/>
      <w:r>
        <w:rPr>
          <w:rFonts w:ascii="Arial" w:hAnsi="Arial"/>
        </w:rPr>
        <w:t>comestibles;</w:t>
      </w:r>
      <w:proofErr w:type="gramEnd"/>
    </w:p>
    <w:p w14:paraId="359C9A53" w14:textId="4DE1DBE4" w:rsidR="00E52BD4" w:rsidRPr="00B25A68" w:rsidRDefault="00F07691" w:rsidP="00B503A1">
      <w:pPr>
        <w:autoSpaceDE w:val="0"/>
        <w:autoSpaceDN w:val="0"/>
        <w:adjustRightInd w:val="0"/>
        <w:spacing w:before="120" w:after="120"/>
        <w:jc w:val="both"/>
        <w:rPr>
          <w:rFonts w:ascii="Arial" w:hAnsi="Arial" w:cs="Arial"/>
          <w:spacing w:val="-4"/>
        </w:rPr>
      </w:pPr>
      <w:r w:rsidRPr="00B25A68">
        <w:rPr>
          <w:rFonts w:ascii="Arial" w:hAnsi="Arial"/>
          <w:spacing w:val="-4"/>
        </w:rPr>
        <w:t xml:space="preserve">f) le décret royal nº 1431/2003 du 21 novembre 2003 qui établit certaines mesures de commercialisation applicables au secteur de l’huile d’olive et de l’huile de grignons </w:t>
      </w:r>
      <w:proofErr w:type="gramStart"/>
      <w:r w:rsidRPr="00B25A68">
        <w:rPr>
          <w:rFonts w:ascii="Arial" w:hAnsi="Arial"/>
          <w:spacing w:val="-4"/>
        </w:rPr>
        <w:t>d’olive;</w:t>
      </w:r>
      <w:proofErr w:type="gramEnd"/>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g) l’arrêté du 12 décembre 1984 relatif à la livraison d’huile d’olive vierge par les moulins à huile à leurs producteurs à des fins de consommation </w:t>
      </w:r>
      <w:proofErr w:type="gramStart"/>
      <w:r>
        <w:rPr>
          <w:rFonts w:ascii="Arial" w:hAnsi="Arial"/>
        </w:rPr>
        <w:t>finale;</w:t>
      </w:r>
      <w:proofErr w:type="gramEnd"/>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l’arrêté APA/1343/2004 du 7 mai 2004 qui réglemente le registre général des installations autorisées à commercialiser de l’huile d’olive.</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Première disposition finale. </w:t>
      </w:r>
      <w:r>
        <w:rPr>
          <w:i/>
        </w:rPr>
        <w:t>Attribution de compétences</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Le présent arrêté royal est promulgué en vertu des dispositions de l’article 149, paragraphe 1, point 13, de la Constitution espagnole qui attribuent à l’État la compétence exclusive en matière de bases et de coordination de la planification générale de l’activité économique. </w:t>
      </w:r>
    </w:p>
    <w:p w14:paraId="17E22D3D" w14:textId="77777777" w:rsidR="00107E79" w:rsidRPr="00DE35E8" w:rsidRDefault="00107E79" w:rsidP="00B25A68">
      <w:pPr>
        <w:pStyle w:val="Pa6"/>
        <w:keepNext/>
        <w:keepLines/>
        <w:spacing w:before="100" w:beforeAutospacing="1" w:after="100" w:afterAutospacing="1" w:line="240" w:lineRule="auto"/>
        <w:jc w:val="both"/>
        <w:rPr>
          <w:rFonts w:cs="Arial"/>
        </w:rPr>
      </w:pPr>
      <w:r>
        <w:rPr>
          <w:b/>
        </w:rPr>
        <w:lastRenderedPageBreak/>
        <w:t xml:space="preserve">Deuxième disposition finale. </w:t>
      </w:r>
      <w:r>
        <w:rPr>
          <w:i/>
          <w:iCs/>
        </w:rPr>
        <w:t>Modification du décret nº 2484/1967 du 21 septembre 1967 portant approbation du texte du code alimentaire espagnol</w:t>
      </w:r>
    </w:p>
    <w:p w14:paraId="4F4C7805" w14:textId="77777777" w:rsidR="009F52EF" w:rsidRPr="00DE35E8" w:rsidRDefault="00107E79" w:rsidP="00B503A1">
      <w:pPr>
        <w:pStyle w:val="Default"/>
        <w:jc w:val="both"/>
        <w:rPr>
          <w:color w:val="auto"/>
        </w:rPr>
      </w:pPr>
      <w:r>
        <w:rPr>
          <w:color w:val="auto"/>
        </w:rPr>
        <w:t xml:space="preserve">La section 2 du chapitre 16 du décret nº 2484/1967 du 21 septembre 1967 approuvant le texte du code alimentaire espagnol est modifiée comme </w:t>
      </w:r>
      <w:proofErr w:type="gramStart"/>
      <w:r>
        <w:rPr>
          <w:color w:val="auto"/>
        </w:rPr>
        <w:t>suit:</w:t>
      </w:r>
      <w:proofErr w:type="gramEnd"/>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proofErr w:type="gramStart"/>
      <w:r>
        <w:rPr>
          <w:i/>
          <w:color w:val="auto"/>
        </w:rPr>
        <w:t>«Les</w:t>
      </w:r>
      <w:proofErr w:type="gramEnd"/>
      <w:r>
        <w:rPr>
          <w:i/>
          <w:color w:val="auto"/>
        </w:rPr>
        <w:t xml:space="preserve"> huiles d’olive et de grignons d’olive sont régies par les dispositions du décret royal </w:t>
      </w:r>
      <w:proofErr w:type="spellStart"/>
      <w:r>
        <w:rPr>
          <w:i/>
          <w:color w:val="auto"/>
        </w:rPr>
        <w:t>nºxxxx</w:t>
      </w:r>
      <w:proofErr w:type="spellEnd"/>
      <w:r>
        <w:rPr>
          <w:i/>
          <w:color w:val="auto"/>
        </w:rPr>
        <w:t>/2020 du           2020, portant approbation de la norme de qualité applicable aux huiles d’olive et de grignons d’olive.»</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Troisième disposition finale. </w:t>
      </w:r>
      <w:r>
        <w:rPr>
          <w:i/>
          <w:iCs/>
        </w:rPr>
        <w:t>Entrée en vigueur</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Le présent décret royal entre en vigueur le 2 janvier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Fait à Madrid, le</w:t>
      </w:r>
      <w:proofErr w:type="gramStart"/>
      <w:r>
        <w:rPr>
          <w:color w:val="auto"/>
        </w:rPr>
        <w:t xml:space="preserve"> ..</w:t>
      </w:r>
      <w:proofErr w:type="gramEnd"/>
      <w:r>
        <w:rPr>
          <w:color w:val="auto"/>
        </w:rPr>
        <w:t xml:space="preserve"> .........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ANNEXE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Registres de traçabilité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Partie A. Conditions générales des registres</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Le registre de traçabilité interne doit obligatoirement mentionner les opérations </w:t>
      </w:r>
      <w:proofErr w:type="gramStart"/>
      <w:r>
        <w:rPr>
          <w:rFonts w:ascii="Arial" w:hAnsi="Arial"/>
        </w:rPr>
        <w:t>suivantes:</w:t>
      </w:r>
      <w:proofErr w:type="gramEnd"/>
      <w:r>
        <w:rPr>
          <w:rFonts w:ascii="Arial" w:hAnsi="Arial"/>
        </w:rPr>
        <w:t xml:space="preserve"> production des huiles, extraction, raffinage, classification, changement de réservoir, mélange d’huiles, conditionnement des huiles.</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Chaque produit doit être identifié dans le registre d’entrée selon l’identification préalablement attribuée par le fournisseur. Les établissements d’achat et/ou de réception, les moulins à huile et les huileries doivent également identifier la parcelle et la référence cadastrale d’origine de l’olive, ainsi que son propriétaire.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Il convient d’indiquer la destination interne ou l’utilisation du produit (entrepôt, réservoir, trémie, ligne de traitement, etc.) ou son origine dans les registres d’entrée et de sortie. Il convient également de noter le solde des mouvements dans les réservoirs d’entrée et de sortie.</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Les documents d’accompagnement de chaque mouvement des marchandises seront clairement identifiés dans les registres d’entrée et de sortie.</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Tout changement de propriétaire de la marchandise (même en l’absence de mouvement physique) et tout mouvement physique de la marchandise doivent être consignés dans les registres d’entrée et de sortie.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Les mentions amenées à figurer ultérieurement sur l’étiquetage des produits (lot, première pression à froid, extraction à froid, année de récolte, variété, etc.) doivent être correctement saisies, de manière à permettre leur vérification tout au long de la documentation du produit en question.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L’identification de tout produit doit garantir la corrélation entre l’identification du réservoir de stockage et les informations reflétées dans les registres. Cette obligation doit s’entendre sans préjudice de la variation des caractéristiques découlant de l’évolution naturelle des produits. Une telle variation doit être reflétée dans le registre dès qu’elle est constatée par l’opérateur.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Partie B. Catégorie de produits devant figurer dans les différents</w:t>
      </w:r>
      <w:r>
        <w:rPr>
          <w:rFonts w:ascii="Arial" w:hAnsi="Arial"/>
          <w:i/>
          <w:sz w:val="22"/>
        </w:rPr>
        <w:t xml:space="preserve"> </w:t>
      </w:r>
      <w:r>
        <w:rPr>
          <w:rFonts w:ascii="Arial" w:hAnsi="Arial"/>
          <w:b/>
        </w:rPr>
        <w:t>registres</w:t>
      </w:r>
    </w:p>
    <w:p w14:paraId="79F6C842" w14:textId="77777777" w:rsidR="00484361" w:rsidRPr="00DE35E8" w:rsidRDefault="00484361" w:rsidP="00B503A1">
      <w:pPr>
        <w:pStyle w:val="ListParagraph"/>
        <w:keepNext/>
        <w:ind w:left="142"/>
        <w:jc w:val="both"/>
        <w:rPr>
          <w:rFonts w:ascii="Arial" w:hAnsi="Arial" w:cs="Arial"/>
          <w:i/>
        </w:rPr>
      </w:pPr>
    </w:p>
    <w:p w14:paraId="0B6D9792" w14:textId="38BDFDA5" w:rsidR="00484361" w:rsidRPr="00DE35E8" w:rsidRDefault="00DE35E8" w:rsidP="00B503A1">
      <w:pPr>
        <w:keepNext/>
        <w:ind w:left="142"/>
        <w:jc w:val="both"/>
        <w:rPr>
          <w:rFonts w:ascii="Arial" w:hAnsi="Arial" w:cs="Arial"/>
          <w:i/>
        </w:rPr>
      </w:pPr>
      <w:r>
        <w:rPr>
          <w:rFonts w:ascii="Arial" w:hAnsi="Arial"/>
          <w:i/>
        </w:rPr>
        <w:t>a) Olives</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Olives propres à la production d’huile. </w:t>
      </w:r>
    </w:p>
    <w:p w14:paraId="3A54F136" w14:textId="77777777" w:rsidR="00484361" w:rsidRPr="00DE35E8" w:rsidRDefault="00484361" w:rsidP="00B503A1">
      <w:pPr>
        <w:ind w:left="142"/>
        <w:contextualSpacing/>
        <w:rPr>
          <w:rFonts w:ascii="Arial" w:hAnsi="Arial" w:cs="Arial"/>
          <w:i/>
        </w:rPr>
      </w:pPr>
    </w:p>
    <w:p w14:paraId="67B6728A" w14:textId="6BB878A8" w:rsidR="00484361" w:rsidRPr="00DE35E8" w:rsidRDefault="00DE35E8" w:rsidP="00B503A1">
      <w:pPr>
        <w:keepNext/>
        <w:ind w:left="142"/>
        <w:jc w:val="both"/>
        <w:rPr>
          <w:rFonts w:ascii="Arial" w:hAnsi="Arial" w:cs="Arial"/>
          <w:i/>
        </w:rPr>
      </w:pPr>
      <w:r>
        <w:rPr>
          <w:rFonts w:ascii="Arial" w:hAnsi="Arial"/>
          <w:i/>
        </w:rPr>
        <w:t>b) Huiles d’olive</w:t>
      </w:r>
    </w:p>
    <w:p w14:paraId="5D5514BD" w14:textId="6DE56DFE" w:rsidR="00484361" w:rsidRPr="00DE35E8" w:rsidRDefault="00484361" w:rsidP="00B503A1">
      <w:pPr>
        <w:pStyle w:val="CM42"/>
        <w:numPr>
          <w:ilvl w:val="0"/>
          <w:numId w:val="2"/>
        </w:numPr>
        <w:contextualSpacing/>
        <w:rPr>
          <w:rFonts w:ascii="Arial" w:hAnsi="Arial" w:cs="Arial"/>
        </w:rPr>
      </w:pPr>
      <w:r>
        <w:rPr>
          <w:rFonts w:ascii="Arial" w:hAnsi="Arial"/>
        </w:rPr>
        <w:t>Huile non classée</w:t>
      </w:r>
      <w:r w:rsidR="006B334B">
        <w:rPr>
          <w:rFonts w:ascii="Arial" w:hAnsi="Arial"/>
        </w:rPr>
        <w:t>.</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Huile d’olive vierge extra.</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Huile d’olive vierge.</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Huile d’olive lampante.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Huile d’olive raffinée.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lastRenderedPageBreak/>
        <w:t>Huile d’olive - contient exclusivement des huiles d’olive raffinées et des huiles d’olive vierges.</w:t>
      </w:r>
    </w:p>
    <w:p w14:paraId="3B928C37" w14:textId="77777777" w:rsidR="00484361" w:rsidRPr="00DE35E8" w:rsidRDefault="00484361" w:rsidP="00B503A1">
      <w:pPr>
        <w:rPr>
          <w:rFonts w:ascii="Arial" w:hAnsi="Arial" w:cs="Arial"/>
          <w:lang w:eastAsia="en-US"/>
        </w:rPr>
      </w:pPr>
    </w:p>
    <w:p w14:paraId="0019EFDA" w14:textId="0ADECABA" w:rsidR="00484361" w:rsidRPr="00DE35E8" w:rsidRDefault="00DE35E8" w:rsidP="00B503A1">
      <w:pPr>
        <w:keepNext/>
        <w:ind w:left="142"/>
        <w:jc w:val="both"/>
        <w:rPr>
          <w:rFonts w:ascii="Arial" w:hAnsi="Arial" w:cs="Arial"/>
        </w:rPr>
      </w:pPr>
      <w:r>
        <w:rPr>
          <w:rFonts w:ascii="Arial" w:hAnsi="Arial"/>
          <w:i/>
        </w:rPr>
        <w:t>c) Huiles de grignons d’olive</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Huile de grignons d’olive brute.</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Huile de grignons d’olive raffinée.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Huile de grignons d’olive. </w:t>
      </w:r>
    </w:p>
    <w:p w14:paraId="5CA22CCA" w14:textId="77777777" w:rsidR="00484361" w:rsidRPr="00DE35E8" w:rsidRDefault="00484361" w:rsidP="00B503A1">
      <w:pPr>
        <w:rPr>
          <w:rFonts w:ascii="Arial" w:hAnsi="Arial" w:cs="Arial"/>
          <w:lang w:eastAsia="en-US"/>
        </w:rPr>
      </w:pPr>
    </w:p>
    <w:p w14:paraId="549D2842" w14:textId="5AFE97A3" w:rsidR="00484361" w:rsidRPr="00DE35E8" w:rsidRDefault="00DE35E8" w:rsidP="00B503A1">
      <w:pPr>
        <w:keepNext/>
        <w:ind w:left="142"/>
        <w:jc w:val="both"/>
        <w:rPr>
          <w:rFonts w:ascii="Arial" w:hAnsi="Arial" w:cs="Arial"/>
          <w:i/>
        </w:rPr>
      </w:pPr>
      <w:r>
        <w:rPr>
          <w:rFonts w:ascii="Arial" w:hAnsi="Arial"/>
          <w:i/>
        </w:rPr>
        <w:t xml:space="preserve">d) </w:t>
      </w:r>
      <w:r w:rsidR="006B334B">
        <w:rPr>
          <w:rFonts w:ascii="Arial" w:hAnsi="Arial"/>
          <w:i/>
        </w:rPr>
        <w:t>Sous</w:t>
      </w:r>
      <w:r>
        <w:rPr>
          <w:rFonts w:ascii="Arial" w:hAnsi="Arial"/>
          <w:i/>
        </w:rPr>
        <w:t>-produits de toutes les installations susceptibles de produire de l’huile</w:t>
      </w:r>
    </w:p>
    <w:p w14:paraId="22AAFA9B" w14:textId="77777777" w:rsidR="00484361" w:rsidRPr="00DE35E8" w:rsidRDefault="00484361" w:rsidP="00B503A1">
      <w:pPr>
        <w:ind w:hanging="142"/>
        <w:jc w:val="both"/>
        <w:rPr>
          <w:rFonts w:ascii="Arial" w:hAnsi="Arial" w:cs="Arial"/>
        </w:rPr>
      </w:pPr>
    </w:p>
    <w:p w14:paraId="145CCEFF" w14:textId="740C2233" w:rsidR="00484361" w:rsidRPr="00DE35E8" w:rsidRDefault="00DE35E8" w:rsidP="00B503A1">
      <w:pPr>
        <w:keepNext/>
        <w:ind w:left="142"/>
        <w:jc w:val="both"/>
        <w:rPr>
          <w:rFonts w:ascii="Arial" w:hAnsi="Arial" w:cs="Arial"/>
          <w:i/>
        </w:rPr>
      </w:pPr>
      <w:r>
        <w:rPr>
          <w:rFonts w:ascii="Arial" w:hAnsi="Arial"/>
          <w:i/>
        </w:rPr>
        <w:t>e) Autres huiles végétales comestibles</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Pour les installations et les opérateurs qui, fabriquent, raffinent, stockent ou conditionnent également d’autres huiles végétales comestibles.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Partie C. Informations devant figurer dans les registres d’entrée et de sortie</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Identification du document de transport, le cas échéant.</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Identification du vendeur ou du </w:t>
      </w:r>
      <w:proofErr w:type="gramStart"/>
      <w:r>
        <w:rPr>
          <w:rFonts w:ascii="Arial" w:hAnsi="Arial"/>
        </w:rPr>
        <w:t>fournisseur:</w:t>
      </w:r>
      <w:proofErr w:type="gramEnd"/>
      <w:r>
        <w:rPr>
          <w:rFonts w:ascii="Arial" w:hAnsi="Arial"/>
        </w:rPr>
        <w:t xml:space="preserve"> nom, adresse, identification fiscale et adresse de l’établissement d’origine. S’il s’agit d’une personne distincte du vendeur ou du fournisseur, il convient de préciser son nom et son numéro d’identification fiscale.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Identification de l’acheteur ou du destinataire, y compris le dernier détaillant destinataire de l’huile en </w:t>
      </w:r>
      <w:proofErr w:type="gramStart"/>
      <w:r>
        <w:rPr>
          <w:rFonts w:ascii="Arial" w:hAnsi="Arial"/>
        </w:rPr>
        <w:t>bouteille:</w:t>
      </w:r>
      <w:proofErr w:type="gramEnd"/>
      <w:r>
        <w:rPr>
          <w:rFonts w:ascii="Arial" w:hAnsi="Arial"/>
        </w:rPr>
        <w:t xml:space="preserve"> nom, adresse, identification fiscale et adresse de l’établissement de destination. S’il s’agit d’une personne distincte de l’acheteur ou du destinataire, il convient de préciser son nom et son numéro d’identification fiscale.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Identification du </w:t>
      </w:r>
      <w:proofErr w:type="gramStart"/>
      <w:r>
        <w:rPr>
          <w:rFonts w:ascii="Arial" w:hAnsi="Arial"/>
        </w:rPr>
        <w:t>produit:</w:t>
      </w:r>
      <w:proofErr w:type="gramEnd"/>
      <w:r>
        <w:rPr>
          <w:rFonts w:ascii="Arial" w:hAnsi="Arial"/>
        </w:rPr>
        <w:t xml:space="preserve"> dénomination, lot, quantité et caractéristiques d’identification pertinentes (vrac, emballage, étiquetage, contenu humide ou sec, etc.).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 xml:space="preserve">e) Indication de l’origine du </w:t>
      </w:r>
      <w:proofErr w:type="gramStart"/>
      <w:r>
        <w:rPr>
          <w:rFonts w:ascii="Arial" w:hAnsi="Arial"/>
        </w:rPr>
        <w:t>produit:</w:t>
      </w:r>
      <w:proofErr w:type="gramEnd"/>
      <w:r>
        <w:rPr>
          <w:rFonts w:ascii="Arial" w:hAnsi="Arial"/>
        </w:rPr>
        <w:t xml:space="preserve"> pays d’origine. Afin de se conformer, le cas échéant, aux dispositions de l’article 4 du règlement d’exécution (UE) nº 29/2012 de la Commission du 13 janvier 2012, il convient de désigner l’Espagne, un État membre, l’Union ou le pays tiers concerné, conformément aux dispositions de ce règlement.</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Caractéristiques du produit jugées pertinentes à indiquer sur l’étiquetage.</w:t>
      </w:r>
    </w:p>
    <w:p w14:paraId="3566E831" w14:textId="10890481" w:rsidR="00484361" w:rsidRPr="00DE35E8" w:rsidRDefault="00484361" w:rsidP="00B503A1">
      <w:pPr>
        <w:spacing w:before="100" w:beforeAutospacing="1" w:after="100" w:afterAutospacing="1"/>
        <w:jc w:val="both"/>
        <w:rPr>
          <w:rFonts w:ascii="Arial" w:hAnsi="Arial" w:cs="Arial"/>
        </w:rPr>
      </w:pPr>
      <w:r>
        <w:rPr>
          <w:rFonts w:ascii="Arial" w:hAnsi="Arial"/>
        </w:rPr>
        <w:t>g) Date de l’opération</w:t>
      </w:r>
      <w:r w:rsidR="006B334B">
        <w:rPr>
          <w:rFonts w:ascii="Arial" w:hAnsi="Arial"/>
        </w:rPr>
        <w:t>.</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h) Identification du </w:t>
      </w:r>
      <w:proofErr w:type="gramStart"/>
      <w:r>
        <w:rPr>
          <w:rFonts w:ascii="Arial" w:hAnsi="Arial"/>
        </w:rPr>
        <w:t>transporteur:</w:t>
      </w:r>
      <w:proofErr w:type="gramEnd"/>
      <w:r>
        <w:rPr>
          <w:rFonts w:ascii="Arial" w:hAnsi="Arial"/>
        </w:rPr>
        <w:t xml:space="preserve"> société (nom, adresse, identification fiscale), type de véhicule et son immatriculation, et toute forme, le cas échéant, d’identification légale du moyen de transport.</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Partie D. Informations devant figurer sur le registre de traçabilité interne</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 xml:space="preserve">Le système de traçabilité interne contient au moins les informations </w:t>
      </w:r>
      <w:proofErr w:type="gramStart"/>
      <w:r>
        <w:rPr>
          <w:rFonts w:ascii="Arial" w:hAnsi="Arial"/>
        </w:rPr>
        <w:t>suivantes:</w:t>
      </w:r>
      <w:proofErr w:type="gramEnd"/>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 xml:space="preserve">a) opération ou pratique </w:t>
      </w:r>
      <w:proofErr w:type="gramStart"/>
      <w:r>
        <w:rPr>
          <w:rFonts w:ascii="Arial" w:hAnsi="Arial"/>
        </w:rPr>
        <w:t>effectuée;</w:t>
      </w:r>
      <w:proofErr w:type="gramEnd"/>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identification des produits </w:t>
      </w:r>
      <w:proofErr w:type="gramStart"/>
      <w:r>
        <w:rPr>
          <w:rFonts w:ascii="Arial" w:hAnsi="Arial"/>
        </w:rPr>
        <w:t>expédiés:</w:t>
      </w:r>
      <w:proofErr w:type="gramEnd"/>
      <w:r>
        <w:rPr>
          <w:rFonts w:ascii="Arial" w:hAnsi="Arial"/>
        </w:rPr>
        <w:t xml:space="preserve"> dénomination, lot (le cas échéant), quantité;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identification des produits </w:t>
      </w:r>
      <w:proofErr w:type="gramStart"/>
      <w:r>
        <w:rPr>
          <w:rFonts w:ascii="Arial" w:hAnsi="Arial"/>
        </w:rPr>
        <w:t>obtenus:</w:t>
      </w:r>
      <w:proofErr w:type="gramEnd"/>
      <w:r>
        <w:rPr>
          <w:rFonts w:ascii="Arial" w:hAnsi="Arial"/>
        </w:rPr>
        <w:t xml:space="preserve"> dénomination, lot (le cas échéant), quantité;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d) date de l’opération et, le cas échéant, </w:t>
      </w:r>
      <w:proofErr w:type="gramStart"/>
      <w:r>
        <w:rPr>
          <w:rFonts w:ascii="Arial" w:hAnsi="Arial"/>
        </w:rPr>
        <w:t>heure;</w:t>
      </w:r>
      <w:proofErr w:type="gramEnd"/>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 xml:space="preserve">e) origine interne des produits expédiés (entrepôt, réservoir, trémie, ligne de traitement, etc.), solde des mouvements dans le réservoir ou les réservoirs </w:t>
      </w:r>
      <w:proofErr w:type="gramStart"/>
      <w:r>
        <w:rPr>
          <w:rFonts w:ascii="Arial" w:hAnsi="Arial"/>
        </w:rPr>
        <w:t>d’origine;</w:t>
      </w:r>
      <w:proofErr w:type="gramEnd"/>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destination interne ou utilisation des produits obtenus (entrepôt, réservoir, trémie, ligne de traitement, etc.), solde des mouvements dans le réservoir ou les réservoirs de destination.</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ANNEXE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Informations obligatoires devant figurer sur le document de transport</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Identification du produit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-Identification du </w:t>
      </w:r>
      <w:proofErr w:type="gramStart"/>
      <w:r>
        <w:rPr>
          <w:rFonts w:ascii="Arial" w:hAnsi="Arial"/>
        </w:rPr>
        <w:t>produit:</w:t>
      </w:r>
      <w:proofErr w:type="gramEnd"/>
      <w:r>
        <w:rPr>
          <w:rFonts w:ascii="Arial" w:hAnsi="Arial"/>
        </w:rPr>
        <w:t xml:space="preserve"> dénomination conforme à la législation applicable, lot, quantité et caractéristiques d’identification pertinentes (vrac, emballage, étiquetage, contenu humide ou sec, etc.).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-Indication de l’origine du </w:t>
      </w:r>
      <w:proofErr w:type="gramStart"/>
      <w:r>
        <w:rPr>
          <w:rFonts w:ascii="Arial" w:hAnsi="Arial"/>
        </w:rPr>
        <w:t>produit:</w:t>
      </w:r>
      <w:proofErr w:type="gramEnd"/>
      <w:r>
        <w:rPr>
          <w:rFonts w:ascii="Arial" w:hAnsi="Arial"/>
        </w:rPr>
        <w:t xml:space="preserve"> pays d’origine.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-Pour les produits en </w:t>
      </w:r>
      <w:proofErr w:type="gramStart"/>
      <w:r>
        <w:rPr>
          <w:rFonts w:ascii="Arial" w:hAnsi="Arial"/>
        </w:rPr>
        <w:t>vrac:</w:t>
      </w:r>
      <w:proofErr w:type="gramEnd"/>
      <w:r>
        <w:rPr>
          <w:rFonts w:ascii="Arial" w:hAnsi="Arial"/>
        </w:rPr>
        <w:t xml:space="preserve"> toute autre mention pouvant être indiquée a posteriori sur l’étiquetage (variété, saison de récolte, extraction à froid, première pression à froid, production biologique, etc.).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-Quantité de produit.</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Données relatives à l’origine de la marchandise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Identification du vendeur ou du </w:t>
      </w:r>
      <w:proofErr w:type="gramStart"/>
      <w:r>
        <w:rPr>
          <w:rFonts w:ascii="Arial" w:hAnsi="Arial"/>
        </w:rPr>
        <w:t>fournisseur:</w:t>
      </w:r>
      <w:proofErr w:type="gramEnd"/>
      <w:r>
        <w:rPr>
          <w:rFonts w:ascii="Arial" w:hAnsi="Arial"/>
        </w:rPr>
        <w:t xml:space="preserve"> nom, adresse, identification fiscale et adresse de l’établissement d’origine.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S’il s’agit d’une personne distincte du vendeur ou du fournisseur, il convient de préciser son nom et son numéro d’identification fiscale.</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Informations concernant le transport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Identification de la société de transport et du moyen de transport utilisé, et date du transport.</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Données relatives à la destination de la marchandise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Identification de l’acheteur ou du destinataire, y compris le dernier détaillant destinataire de l’huile en </w:t>
      </w:r>
      <w:proofErr w:type="gramStart"/>
      <w:r>
        <w:rPr>
          <w:rFonts w:ascii="Arial" w:hAnsi="Arial"/>
        </w:rPr>
        <w:t>bouteille:</w:t>
      </w:r>
      <w:proofErr w:type="gramEnd"/>
      <w:r>
        <w:rPr>
          <w:rFonts w:ascii="Arial" w:hAnsi="Arial"/>
        </w:rPr>
        <w:t xml:space="preserve"> nom, adresse, identification fiscale et adresse de l’établissement de destination. S’il s’agit d’une personne distincte de l’acheteur ou du destinataire, il convient de préciser son nom et son numéro d’identification fiscale.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ANNEXE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Aspect et caractéristiques spécifiques des huiles</w:t>
      </w:r>
    </w:p>
    <w:p w14:paraId="0FE618F1" w14:textId="0356EC90" w:rsidR="00F44FDF" w:rsidRPr="00DE35E8" w:rsidRDefault="00F44FDF" w:rsidP="00B503A1">
      <w:pPr>
        <w:keepNext/>
        <w:spacing w:before="100" w:beforeAutospacing="1" w:after="100" w:afterAutospacing="1"/>
        <w:jc w:val="both"/>
        <w:rPr>
          <w:rFonts w:ascii="Arial" w:hAnsi="Arial" w:cs="Arial"/>
        </w:rPr>
      </w:pPr>
      <w:r>
        <w:rPr>
          <w:rFonts w:ascii="Arial" w:hAnsi="Arial"/>
        </w:rPr>
        <w:t>a) Huile d’olive vierge extra et huile d’olive vierge filtrée</w:t>
      </w:r>
    </w:p>
    <w:p w14:paraId="095783EF" w14:textId="77777777" w:rsidR="00F44FDF" w:rsidRPr="00DE35E8" w:rsidRDefault="00F44FDF" w:rsidP="00B503A1">
      <w:pPr>
        <w:pStyle w:val="Default"/>
        <w:ind w:left="142"/>
        <w:rPr>
          <w:color w:val="auto"/>
        </w:rPr>
      </w:pPr>
      <w:r>
        <w:rPr>
          <w:color w:val="auto"/>
        </w:rPr>
        <w:t xml:space="preserve">Humidité et matières </w:t>
      </w:r>
      <w:proofErr w:type="gramStart"/>
      <w:r>
        <w:rPr>
          <w:color w:val="auto"/>
        </w:rPr>
        <w:t>volatiles:</w:t>
      </w:r>
      <w:proofErr w:type="gramEnd"/>
      <w:r>
        <w:rPr>
          <w:color w:val="auto"/>
        </w:rPr>
        <w:t xml:space="preserve"> ≤ 0,2 pour 100.</w:t>
      </w:r>
    </w:p>
    <w:p w14:paraId="7D6D2C01" w14:textId="5C332848" w:rsidR="00F44FDF" w:rsidRPr="00DE35E8" w:rsidRDefault="00F44FDF" w:rsidP="00B503A1">
      <w:pPr>
        <w:pStyle w:val="Default"/>
        <w:ind w:left="142"/>
        <w:rPr>
          <w:color w:val="auto"/>
        </w:rPr>
      </w:pPr>
      <w:r>
        <w:rPr>
          <w:color w:val="auto"/>
        </w:rPr>
        <w:t xml:space="preserve">Impuretés insolubles dans l’éther de </w:t>
      </w:r>
      <w:proofErr w:type="gramStart"/>
      <w:r>
        <w:rPr>
          <w:color w:val="auto"/>
        </w:rPr>
        <w:t>pétrole:</w:t>
      </w:r>
      <w:proofErr w:type="gramEnd"/>
      <w:r>
        <w:rPr>
          <w:color w:val="auto"/>
        </w:rPr>
        <w:t xml:space="preserve"> ≤ 0,10 pour 100. </w:t>
      </w:r>
    </w:p>
    <w:p w14:paraId="603E2DCE" w14:textId="6F073A5D" w:rsidR="00F44FDF" w:rsidRPr="00B25A68" w:rsidRDefault="00F44FDF" w:rsidP="00B503A1">
      <w:pPr>
        <w:keepNext/>
        <w:spacing w:before="100" w:beforeAutospacing="1" w:after="100" w:afterAutospacing="1"/>
        <w:jc w:val="both"/>
        <w:rPr>
          <w:rFonts w:ascii="Arial" w:hAnsi="Arial" w:cs="Arial"/>
          <w:spacing w:val="-4"/>
        </w:rPr>
      </w:pPr>
      <w:r w:rsidRPr="00B25A68">
        <w:rPr>
          <w:rFonts w:ascii="Arial" w:hAnsi="Arial"/>
          <w:spacing w:val="-4"/>
        </w:rPr>
        <w:t>b) Huile d’olive - contient exclusivement des huiles d’olive raffinées et des huiles d’olive vierges</w:t>
      </w:r>
    </w:p>
    <w:p w14:paraId="4C701306" w14:textId="77777777" w:rsidR="00F44FDF" w:rsidRPr="00DE35E8" w:rsidRDefault="00F44FDF" w:rsidP="00B503A1">
      <w:pPr>
        <w:spacing w:before="100" w:beforeAutospacing="1"/>
        <w:ind w:left="142"/>
        <w:jc w:val="both"/>
        <w:rPr>
          <w:rFonts w:ascii="Arial" w:hAnsi="Arial" w:cs="Arial"/>
        </w:rPr>
      </w:pPr>
      <w:proofErr w:type="gramStart"/>
      <w:r>
        <w:rPr>
          <w:rFonts w:ascii="Arial" w:hAnsi="Arial"/>
        </w:rPr>
        <w:t>Aspect:</w:t>
      </w:r>
      <w:proofErr w:type="gramEnd"/>
      <w:r>
        <w:rPr>
          <w:rFonts w:ascii="Arial" w:hAnsi="Arial"/>
        </w:rPr>
        <w:t xml:space="preserve"> clair, conservé à 20 ºc ± 2 ºC pendant vingt-quatre heures.</w:t>
      </w:r>
    </w:p>
    <w:p w14:paraId="0296A932" w14:textId="77777777" w:rsidR="00F44FDF" w:rsidRPr="00DE35E8" w:rsidRDefault="00F44FDF" w:rsidP="00B503A1">
      <w:pPr>
        <w:ind w:left="142"/>
        <w:jc w:val="both"/>
        <w:rPr>
          <w:rFonts w:ascii="Arial" w:hAnsi="Arial" w:cs="Arial"/>
        </w:rPr>
      </w:pPr>
      <w:r>
        <w:rPr>
          <w:rFonts w:ascii="Arial" w:hAnsi="Arial"/>
        </w:rPr>
        <w:t xml:space="preserve">Odeur et </w:t>
      </w:r>
      <w:proofErr w:type="gramStart"/>
      <w:r>
        <w:rPr>
          <w:rFonts w:ascii="Arial" w:hAnsi="Arial"/>
        </w:rPr>
        <w:t>saveur:</w:t>
      </w:r>
      <w:proofErr w:type="gramEnd"/>
      <w:r>
        <w:rPr>
          <w:rFonts w:ascii="Arial" w:hAnsi="Arial"/>
        </w:rPr>
        <w:t xml:space="preserve"> arômes personnalisés et caractéristiques de l’huile d’olive vierge utilisée dans le mélange. Elle ne présente pas davantage d’altération, de contamination ou de défauts que l’huile d’olive vierge utilisée.</w:t>
      </w:r>
    </w:p>
    <w:p w14:paraId="68E598BC" w14:textId="77777777" w:rsidR="00F44FDF" w:rsidRPr="00DE35E8" w:rsidRDefault="00F44FDF" w:rsidP="00B503A1">
      <w:pPr>
        <w:pStyle w:val="Default"/>
        <w:ind w:left="142"/>
        <w:rPr>
          <w:color w:val="auto"/>
        </w:rPr>
      </w:pPr>
      <w:r>
        <w:rPr>
          <w:color w:val="auto"/>
        </w:rPr>
        <w:t xml:space="preserve">Humidité et matières </w:t>
      </w:r>
      <w:proofErr w:type="gramStart"/>
      <w:r>
        <w:rPr>
          <w:color w:val="auto"/>
        </w:rPr>
        <w:t>volatiles:</w:t>
      </w:r>
      <w:proofErr w:type="gramEnd"/>
      <w:r>
        <w:rPr>
          <w:color w:val="auto"/>
        </w:rPr>
        <w:t xml:space="preserve"> ≤ 0,1 pour 100.</w:t>
      </w:r>
    </w:p>
    <w:p w14:paraId="4B215FA1" w14:textId="77777777" w:rsidR="00F44FDF" w:rsidRPr="00DE35E8" w:rsidRDefault="00F44FDF" w:rsidP="00B503A1">
      <w:pPr>
        <w:pStyle w:val="Default"/>
        <w:ind w:left="142"/>
        <w:rPr>
          <w:color w:val="auto"/>
        </w:rPr>
      </w:pPr>
      <w:r>
        <w:rPr>
          <w:color w:val="auto"/>
        </w:rPr>
        <w:t xml:space="preserve">Impuretés insolubles dans l’éther de </w:t>
      </w:r>
      <w:proofErr w:type="gramStart"/>
      <w:r>
        <w:rPr>
          <w:color w:val="auto"/>
        </w:rPr>
        <w:t>pétrole:</w:t>
      </w:r>
      <w:proofErr w:type="gramEnd"/>
      <w:r>
        <w:rPr>
          <w:color w:val="auto"/>
        </w:rPr>
        <w:t xml:space="preserve"> ≤ 0,05 pour 100.</w:t>
      </w:r>
    </w:p>
    <w:p w14:paraId="5A5E9394" w14:textId="77777777" w:rsidR="00F44FDF" w:rsidRPr="00DE35E8" w:rsidRDefault="00F44FDF" w:rsidP="00B503A1">
      <w:pPr>
        <w:pStyle w:val="Default"/>
        <w:spacing w:after="240"/>
        <w:ind w:left="142"/>
        <w:rPr>
          <w:color w:val="auto"/>
        </w:rPr>
      </w:pPr>
      <w:r>
        <w:rPr>
          <w:color w:val="auto"/>
        </w:rPr>
        <w:t xml:space="preserve">Résidus de </w:t>
      </w:r>
      <w:proofErr w:type="gramStart"/>
      <w:r>
        <w:rPr>
          <w:color w:val="auto"/>
        </w:rPr>
        <w:t>savon:</w:t>
      </w:r>
      <w:proofErr w:type="gramEnd"/>
      <w:r>
        <w:rPr>
          <w:color w:val="auto"/>
        </w:rPr>
        <w:t xml:space="preserve"> Négatif. </w:t>
      </w:r>
    </w:p>
    <w:p w14:paraId="79508AC6" w14:textId="4F9A56F8" w:rsidR="00F44FDF" w:rsidRPr="00DE35E8" w:rsidRDefault="00F44FDF" w:rsidP="00B503A1">
      <w:pPr>
        <w:keepNext/>
        <w:spacing w:before="100" w:beforeAutospacing="1" w:after="100" w:afterAutospacing="1"/>
        <w:jc w:val="both"/>
        <w:rPr>
          <w:rFonts w:ascii="Arial" w:hAnsi="Arial" w:cs="Arial"/>
        </w:rPr>
      </w:pPr>
      <w:r>
        <w:rPr>
          <w:rFonts w:ascii="Arial" w:hAnsi="Arial"/>
        </w:rPr>
        <w:t>c) Huile d’olive raffinée</w:t>
      </w:r>
    </w:p>
    <w:p w14:paraId="21E8D15B" w14:textId="77777777" w:rsidR="00F44FDF" w:rsidRPr="00DE35E8" w:rsidRDefault="00F44FDF" w:rsidP="00B503A1">
      <w:pPr>
        <w:spacing w:before="100" w:beforeAutospacing="1"/>
        <w:ind w:left="142"/>
        <w:jc w:val="both"/>
        <w:rPr>
          <w:rFonts w:ascii="Arial" w:hAnsi="Arial" w:cs="Arial"/>
        </w:rPr>
      </w:pPr>
      <w:proofErr w:type="gramStart"/>
      <w:r>
        <w:rPr>
          <w:rFonts w:ascii="Arial" w:hAnsi="Arial"/>
        </w:rPr>
        <w:t>Aspect:</w:t>
      </w:r>
      <w:proofErr w:type="gramEnd"/>
      <w:r>
        <w:rPr>
          <w:rFonts w:ascii="Arial" w:hAnsi="Arial"/>
        </w:rPr>
        <w:t xml:space="preserve"> clair, conservé à 20 ºc ± 2 ºC pendant vingt-quatre heures.</w:t>
      </w:r>
    </w:p>
    <w:p w14:paraId="7BB45A9C" w14:textId="77777777" w:rsidR="00F44FDF" w:rsidRPr="00DE35E8" w:rsidRDefault="00F44FDF" w:rsidP="00B503A1">
      <w:pPr>
        <w:ind w:left="142"/>
        <w:jc w:val="both"/>
        <w:rPr>
          <w:rFonts w:ascii="Arial" w:hAnsi="Arial" w:cs="Arial"/>
        </w:rPr>
      </w:pPr>
      <w:r>
        <w:rPr>
          <w:rFonts w:ascii="Arial" w:hAnsi="Arial"/>
        </w:rPr>
        <w:t xml:space="preserve">Odeur et </w:t>
      </w:r>
      <w:proofErr w:type="gramStart"/>
      <w:r>
        <w:rPr>
          <w:rFonts w:ascii="Arial" w:hAnsi="Arial"/>
        </w:rPr>
        <w:t>saveur:</w:t>
      </w:r>
      <w:proofErr w:type="gramEnd"/>
      <w:r>
        <w:rPr>
          <w:rFonts w:ascii="Arial" w:hAnsi="Arial"/>
        </w:rPr>
        <w:t xml:space="preserve"> neutres, sans présenter de symptômes de rancissement, d’altération ou de contamination.</w:t>
      </w:r>
    </w:p>
    <w:p w14:paraId="5105089C" w14:textId="77777777" w:rsidR="00F44FDF" w:rsidRPr="00DE35E8" w:rsidRDefault="00F44FDF" w:rsidP="00B503A1">
      <w:pPr>
        <w:pStyle w:val="Default"/>
        <w:ind w:left="142"/>
        <w:rPr>
          <w:color w:val="auto"/>
        </w:rPr>
      </w:pPr>
      <w:r>
        <w:rPr>
          <w:color w:val="auto"/>
        </w:rPr>
        <w:t xml:space="preserve">Humidité et matières </w:t>
      </w:r>
      <w:proofErr w:type="gramStart"/>
      <w:r>
        <w:rPr>
          <w:color w:val="auto"/>
        </w:rPr>
        <w:t>volatiles:</w:t>
      </w:r>
      <w:proofErr w:type="gramEnd"/>
      <w:r>
        <w:rPr>
          <w:color w:val="auto"/>
        </w:rPr>
        <w:t xml:space="preserve"> ≤ 0,1 pour 100.</w:t>
      </w:r>
    </w:p>
    <w:p w14:paraId="49281EEA" w14:textId="77777777" w:rsidR="00F44FDF" w:rsidRPr="00DE35E8" w:rsidRDefault="00F44FDF" w:rsidP="00B503A1">
      <w:pPr>
        <w:pStyle w:val="Default"/>
        <w:ind w:left="142"/>
        <w:rPr>
          <w:color w:val="auto"/>
        </w:rPr>
      </w:pPr>
      <w:r>
        <w:rPr>
          <w:color w:val="auto"/>
        </w:rPr>
        <w:t xml:space="preserve">Impuretés insolubles dans l’éther de </w:t>
      </w:r>
      <w:proofErr w:type="gramStart"/>
      <w:r>
        <w:rPr>
          <w:color w:val="auto"/>
        </w:rPr>
        <w:t>pétrole:</w:t>
      </w:r>
      <w:proofErr w:type="gramEnd"/>
      <w:r>
        <w:rPr>
          <w:color w:val="auto"/>
        </w:rPr>
        <w:t xml:space="preserve"> ≤ 0,05 pour 100.</w:t>
      </w:r>
    </w:p>
    <w:p w14:paraId="2336D379" w14:textId="77777777" w:rsidR="00F44FDF" w:rsidRPr="00DE35E8" w:rsidRDefault="00F44FDF" w:rsidP="00B503A1">
      <w:pPr>
        <w:pStyle w:val="Default"/>
        <w:ind w:left="142"/>
        <w:rPr>
          <w:color w:val="auto"/>
        </w:rPr>
      </w:pPr>
      <w:r>
        <w:rPr>
          <w:color w:val="auto"/>
        </w:rPr>
        <w:t xml:space="preserve">Résidus de </w:t>
      </w:r>
      <w:proofErr w:type="gramStart"/>
      <w:r>
        <w:rPr>
          <w:color w:val="auto"/>
        </w:rPr>
        <w:t>savon:</w:t>
      </w:r>
      <w:proofErr w:type="gramEnd"/>
      <w:r>
        <w:rPr>
          <w:color w:val="auto"/>
        </w:rPr>
        <w:t xml:space="preserve"> Négatif.</w:t>
      </w:r>
    </w:p>
    <w:p w14:paraId="095B81FB" w14:textId="383A7C49" w:rsidR="00F44FDF" w:rsidRPr="00DE35E8" w:rsidRDefault="00F44FDF" w:rsidP="00B503A1">
      <w:pPr>
        <w:keepNext/>
        <w:spacing w:before="100" w:beforeAutospacing="1" w:after="100" w:afterAutospacing="1"/>
        <w:jc w:val="both"/>
        <w:rPr>
          <w:rFonts w:ascii="Arial" w:hAnsi="Arial" w:cs="Arial"/>
        </w:rPr>
      </w:pPr>
      <w:r>
        <w:rPr>
          <w:rFonts w:ascii="Arial" w:hAnsi="Arial"/>
        </w:rPr>
        <w:t>d) Huile de grignons d’olive raffinée</w:t>
      </w:r>
    </w:p>
    <w:p w14:paraId="1696366E" w14:textId="77777777" w:rsidR="00F44FDF" w:rsidRPr="00DE35E8" w:rsidRDefault="00F44FDF" w:rsidP="00B503A1">
      <w:pPr>
        <w:spacing w:before="100" w:beforeAutospacing="1"/>
        <w:ind w:left="142"/>
        <w:jc w:val="both"/>
        <w:rPr>
          <w:rFonts w:ascii="Arial" w:hAnsi="Arial" w:cs="Arial"/>
        </w:rPr>
      </w:pPr>
      <w:proofErr w:type="gramStart"/>
      <w:r>
        <w:rPr>
          <w:rFonts w:ascii="Arial" w:hAnsi="Arial"/>
        </w:rPr>
        <w:t>Aspect:</w:t>
      </w:r>
      <w:proofErr w:type="gramEnd"/>
      <w:r>
        <w:rPr>
          <w:rFonts w:ascii="Arial" w:hAnsi="Arial"/>
        </w:rPr>
        <w:t xml:space="preserve"> clair, conservé à 20 ºc ± 2 ºC pendant vingt-quatre heures.</w:t>
      </w:r>
    </w:p>
    <w:p w14:paraId="1BB2CEF0" w14:textId="77777777" w:rsidR="00F44FDF" w:rsidRPr="00DE35E8" w:rsidRDefault="00F44FDF" w:rsidP="00B503A1">
      <w:pPr>
        <w:ind w:left="142"/>
        <w:jc w:val="both"/>
        <w:rPr>
          <w:rFonts w:ascii="Arial" w:hAnsi="Arial" w:cs="Arial"/>
        </w:rPr>
      </w:pPr>
      <w:r>
        <w:rPr>
          <w:rFonts w:ascii="Arial" w:hAnsi="Arial"/>
        </w:rPr>
        <w:t xml:space="preserve">Odeur et </w:t>
      </w:r>
      <w:proofErr w:type="gramStart"/>
      <w:r>
        <w:rPr>
          <w:rFonts w:ascii="Arial" w:hAnsi="Arial"/>
        </w:rPr>
        <w:t>saveur:</w:t>
      </w:r>
      <w:proofErr w:type="gramEnd"/>
      <w:r>
        <w:rPr>
          <w:rFonts w:ascii="Arial" w:hAnsi="Arial"/>
        </w:rPr>
        <w:t xml:space="preserve"> neutres, sans présenter de symptômes de rancissement, d’altération ou de contamination.</w:t>
      </w:r>
    </w:p>
    <w:p w14:paraId="35B990C6" w14:textId="77777777" w:rsidR="00F44FDF" w:rsidRPr="00DE35E8" w:rsidRDefault="00F44FDF" w:rsidP="00B503A1">
      <w:pPr>
        <w:pStyle w:val="Default"/>
        <w:ind w:left="142"/>
        <w:rPr>
          <w:color w:val="auto"/>
        </w:rPr>
      </w:pPr>
      <w:r>
        <w:rPr>
          <w:color w:val="auto"/>
        </w:rPr>
        <w:t xml:space="preserve">Humidité et matières </w:t>
      </w:r>
      <w:proofErr w:type="gramStart"/>
      <w:r>
        <w:rPr>
          <w:color w:val="auto"/>
        </w:rPr>
        <w:t>volatiles:</w:t>
      </w:r>
      <w:proofErr w:type="gramEnd"/>
      <w:r>
        <w:rPr>
          <w:color w:val="auto"/>
        </w:rPr>
        <w:t xml:space="preserve"> ≤ 0,1 pour 100.</w:t>
      </w:r>
    </w:p>
    <w:p w14:paraId="2AF3CFA0" w14:textId="77777777" w:rsidR="00F44FDF" w:rsidRPr="00DE35E8" w:rsidRDefault="00F44FDF" w:rsidP="00B503A1">
      <w:pPr>
        <w:pStyle w:val="Default"/>
        <w:ind w:left="142"/>
        <w:rPr>
          <w:color w:val="auto"/>
        </w:rPr>
      </w:pPr>
      <w:r>
        <w:rPr>
          <w:color w:val="auto"/>
        </w:rPr>
        <w:t xml:space="preserve">Impuretés insolubles dans l’éther de </w:t>
      </w:r>
      <w:proofErr w:type="gramStart"/>
      <w:r>
        <w:rPr>
          <w:color w:val="auto"/>
        </w:rPr>
        <w:t>pétrole:</w:t>
      </w:r>
      <w:proofErr w:type="gramEnd"/>
      <w:r>
        <w:rPr>
          <w:color w:val="auto"/>
        </w:rPr>
        <w:t xml:space="preserve"> ≤ 0,05 pour 100.</w:t>
      </w:r>
    </w:p>
    <w:p w14:paraId="667102D7" w14:textId="77777777" w:rsidR="00F44FDF" w:rsidRPr="00DE35E8" w:rsidRDefault="00F44FDF" w:rsidP="00B503A1">
      <w:pPr>
        <w:pStyle w:val="Default"/>
        <w:ind w:left="142"/>
        <w:rPr>
          <w:color w:val="auto"/>
        </w:rPr>
      </w:pPr>
      <w:r>
        <w:rPr>
          <w:color w:val="auto"/>
        </w:rPr>
        <w:t xml:space="preserve">Résidus de </w:t>
      </w:r>
      <w:proofErr w:type="gramStart"/>
      <w:r>
        <w:rPr>
          <w:color w:val="auto"/>
        </w:rPr>
        <w:t>savon:</w:t>
      </w:r>
      <w:proofErr w:type="gramEnd"/>
      <w:r>
        <w:rPr>
          <w:color w:val="auto"/>
        </w:rPr>
        <w:t xml:space="preserve"> Négatif.</w:t>
      </w:r>
    </w:p>
    <w:p w14:paraId="1886EA85" w14:textId="36BEC50D" w:rsidR="00F44FDF" w:rsidRPr="00DE35E8" w:rsidRDefault="00F44FDF" w:rsidP="00B503A1">
      <w:pPr>
        <w:keepNext/>
        <w:spacing w:before="100" w:beforeAutospacing="1" w:after="100" w:afterAutospacing="1"/>
        <w:jc w:val="both"/>
        <w:rPr>
          <w:rFonts w:ascii="Arial" w:hAnsi="Arial" w:cs="Arial"/>
        </w:rPr>
      </w:pPr>
      <w:r>
        <w:rPr>
          <w:rFonts w:ascii="Arial" w:hAnsi="Arial"/>
        </w:rPr>
        <w:t>e) Huile de grignons d’olive</w:t>
      </w:r>
    </w:p>
    <w:p w14:paraId="0ADF9FD3" w14:textId="77777777" w:rsidR="00F44FDF" w:rsidRPr="00DE35E8" w:rsidRDefault="00F44FDF" w:rsidP="00B503A1">
      <w:pPr>
        <w:spacing w:before="100" w:beforeAutospacing="1"/>
        <w:ind w:left="142"/>
        <w:jc w:val="both"/>
        <w:rPr>
          <w:rFonts w:ascii="Arial" w:hAnsi="Arial" w:cs="Arial"/>
        </w:rPr>
      </w:pPr>
      <w:proofErr w:type="gramStart"/>
      <w:r>
        <w:rPr>
          <w:rFonts w:ascii="Arial" w:hAnsi="Arial"/>
        </w:rPr>
        <w:t>Aspect:</w:t>
      </w:r>
      <w:proofErr w:type="gramEnd"/>
      <w:r>
        <w:rPr>
          <w:rFonts w:ascii="Arial" w:hAnsi="Arial"/>
        </w:rPr>
        <w:t xml:space="preserve"> clair, conservé à 20 ºC ± 2 ºC pendant vingt-quatre heures.</w:t>
      </w:r>
    </w:p>
    <w:p w14:paraId="40031B46" w14:textId="77777777" w:rsidR="00F44FDF" w:rsidRPr="00DE35E8" w:rsidRDefault="00F44FDF" w:rsidP="00B503A1">
      <w:pPr>
        <w:pStyle w:val="Default"/>
        <w:ind w:left="142"/>
        <w:jc w:val="both"/>
        <w:rPr>
          <w:color w:val="auto"/>
        </w:rPr>
      </w:pPr>
      <w:r>
        <w:rPr>
          <w:color w:val="auto"/>
        </w:rPr>
        <w:t xml:space="preserve">Odeur et </w:t>
      </w:r>
      <w:proofErr w:type="gramStart"/>
      <w:r>
        <w:rPr>
          <w:color w:val="auto"/>
        </w:rPr>
        <w:t>saveur:</w:t>
      </w:r>
      <w:proofErr w:type="gramEnd"/>
      <w:r>
        <w:rPr>
          <w:color w:val="auto"/>
        </w:rPr>
        <w:t xml:space="preserve"> arômes personnalisés et caractéristiques de l’huile d’olive vierge utilisée dans le mélange. Elle ne présente pas davantage d’altération, de contamination ou de défauts que l’huile d’olive vierge utilisée. </w:t>
      </w:r>
    </w:p>
    <w:p w14:paraId="523A1A0E" w14:textId="77777777" w:rsidR="00F44FDF" w:rsidRPr="00DE35E8" w:rsidRDefault="00F44FDF" w:rsidP="00B503A1">
      <w:pPr>
        <w:pStyle w:val="Default"/>
        <w:ind w:left="142"/>
        <w:rPr>
          <w:color w:val="auto"/>
        </w:rPr>
      </w:pPr>
      <w:r>
        <w:rPr>
          <w:color w:val="auto"/>
        </w:rPr>
        <w:t xml:space="preserve">Humidité et matières </w:t>
      </w:r>
      <w:proofErr w:type="gramStart"/>
      <w:r>
        <w:rPr>
          <w:color w:val="auto"/>
        </w:rPr>
        <w:t>volatiles:</w:t>
      </w:r>
      <w:proofErr w:type="gramEnd"/>
      <w:r>
        <w:rPr>
          <w:color w:val="auto"/>
        </w:rPr>
        <w:t xml:space="preserve"> ≤ 0,1 pour 100.</w:t>
      </w:r>
    </w:p>
    <w:p w14:paraId="1A066BD2" w14:textId="77777777" w:rsidR="00F44FDF" w:rsidRPr="00DE35E8" w:rsidRDefault="00F44FDF" w:rsidP="00B503A1">
      <w:pPr>
        <w:pStyle w:val="Default"/>
        <w:ind w:left="142"/>
        <w:rPr>
          <w:color w:val="auto"/>
        </w:rPr>
      </w:pPr>
      <w:r>
        <w:rPr>
          <w:color w:val="auto"/>
        </w:rPr>
        <w:t xml:space="preserve">Impuretés insolubles dans l’éther de </w:t>
      </w:r>
      <w:proofErr w:type="gramStart"/>
      <w:r>
        <w:rPr>
          <w:color w:val="auto"/>
        </w:rPr>
        <w:t>pétrole:</w:t>
      </w:r>
      <w:proofErr w:type="gramEnd"/>
      <w:r>
        <w:rPr>
          <w:color w:val="auto"/>
        </w:rPr>
        <w:t xml:space="preserve"> ≤ 0,05 pour 100.</w:t>
      </w:r>
    </w:p>
    <w:p w14:paraId="03631DE0" w14:textId="77777777" w:rsidR="00F44FDF" w:rsidRPr="00DE35E8" w:rsidRDefault="00F44FDF" w:rsidP="00B503A1">
      <w:pPr>
        <w:pStyle w:val="Default"/>
        <w:ind w:left="142"/>
        <w:rPr>
          <w:color w:val="auto"/>
        </w:rPr>
      </w:pPr>
      <w:r>
        <w:rPr>
          <w:color w:val="auto"/>
        </w:rPr>
        <w:t xml:space="preserve">Résidus de </w:t>
      </w:r>
      <w:proofErr w:type="gramStart"/>
      <w:r>
        <w:rPr>
          <w:color w:val="auto"/>
        </w:rPr>
        <w:t>savon:</w:t>
      </w:r>
      <w:proofErr w:type="gramEnd"/>
      <w:r>
        <w:rPr>
          <w:color w:val="auto"/>
        </w:rPr>
        <w:t xml:space="preserve"> Négatif.</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A52C" w14:textId="77777777" w:rsidR="00A97F28" w:rsidRDefault="00A97F28">
      <w:r>
        <w:separator/>
      </w:r>
    </w:p>
  </w:endnote>
  <w:endnote w:type="continuationSeparator" w:id="0">
    <w:p w14:paraId="0C2087AF" w14:textId="77777777" w:rsidR="00A97F28" w:rsidRDefault="00A97F28">
      <w:r>
        <w:continuationSeparator/>
      </w:r>
    </w:p>
  </w:endnote>
  <w:endnote w:type="continuationNotice" w:id="1">
    <w:p w14:paraId="03BAE3B2" w14:textId="77777777" w:rsidR="00A97F28" w:rsidRDefault="00A97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Page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4596E" w14:textId="77777777" w:rsidR="00A97F28" w:rsidRDefault="00A97F28">
      <w:r>
        <w:separator/>
      </w:r>
    </w:p>
  </w:footnote>
  <w:footnote w:type="continuationSeparator" w:id="0">
    <w:p w14:paraId="7C1D0F2D" w14:textId="77777777" w:rsidR="00A97F28" w:rsidRDefault="00A97F28">
      <w:r>
        <w:continuationSeparator/>
      </w:r>
    </w:p>
  </w:footnote>
  <w:footnote w:type="continuationNotice" w:id="1">
    <w:p w14:paraId="7457E325" w14:textId="77777777" w:rsidR="00A97F28" w:rsidRDefault="00A97F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334B"/>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97F28"/>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A68"/>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fr-FR"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fr-FR"/>
    </w:rPr>
  </w:style>
  <w:style w:type="character" w:customStyle="1" w:styleId="BodyTextIndent3Char">
    <w:name w:val="Body Text Indent 3 Char"/>
    <w:basedOn w:val="DefaultParagraphFont"/>
    <w:link w:val="BodyTextIndent3"/>
    <w:rsid w:val="00EE7990"/>
    <w:rPr>
      <w:sz w:val="16"/>
      <w:szCs w:val="16"/>
      <w:lang w:val="fr-FR"/>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Huile_d%27oli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wikipedia.org/wiki/Olive%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6170</Words>
  <Characters>35951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9</cp:revision>
  <cp:lastPrinted>2020-02-12T17:05:00Z</cp:lastPrinted>
  <dcterms:created xsi:type="dcterms:W3CDTF">2020-09-08T10:26:00Z</dcterms:created>
  <dcterms:modified xsi:type="dcterms:W3CDTF">2020-10-02T14:42:00Z</dcterms:modified>
</cp:coreProperties>
</file>