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8BC" w:rsidRPr="00CC38BC" w:rsidRDefault="00CC38BC" w:rsidP="00CC38BC">
      <w:pPr>
        <w:pStyle w:val="ListParagraph"/>
        <w:numPr>
          <w:ilvl w:val="0"/>
          <w:numId w:val="5"/>
        </w:numPr>
        <w:spacing w:before="120" w:after="120" w:line="240" w:lineRule="auto"/>
        <w:jc w:val="center"/>
        <w:rPr>
          <w:rFonts w:ascii="Courier New" w:hAnsi="Courier New" w:cs="Courier New"/>
          <w:sz w:val="20"/>
          <w:szCs w:val="20"/>
        </w:rPr>
      </w:pPr>
      <w:r>
        <w:rPr>
          <w:rFonts w:ascii="Courier New" w:hAnsi="Courier New"/>
          <w:sz w:val="20"/>
        </w:rPr>
        <w:t>------IND- 2019 0133 D-- ES- ------ 20200714 --- --- FINAL</w:t>
      </w:r>
    </w:p>
    <w:p w:rsidR="00932D4C" w:rsidRPr="00CC38BC" w:rsidRDefault="00932D4C" w:rsidP="00CC38BC">
      <w:pPr>
        <w:spacing w:before="120" w:after="120" w:line="240" w:lineRule="auto"/>
        <w:ind w:left="360"/>
        <w:rPr>
          <w:rFonts w:ascii="Arial" w:hAnsi="Arial" w:cs="Arial"/>
          <w:b/>
          <w:color w:val="000000"/>
          <w:sz w:val="26"/>
        </w:rPr>
      </w:pPr>
      <w:r>
        <w:rPr>
          <w:rFonts w:ascii="Arial" w:hAnsi="Arial"/>
          <w:b/>
          <w:color w:val="000000"/>
          <w:sz w:val="26"/>
        </w:rPr>
        <w:t>Decreto por el que se modifica la Ordenanza sobre la construcción y el funcionamiento de tranvías</w:t>
      </w:r>
      <w:r w:rsidRPr="00926906">
        <w:rPr>
          <w:rFonts w:ascii="Times New Roman" w:hAnsi="Times New Roman"/>
          <w:sz w:val="24"/>
          <w:szCs w:val="24"/>
          <w:vertAlign w:val="superscript"/>
        </w:rPr>
        <w:footnoteReference w:id="1"/>
      </w:r>
    </w:p>
    <w:p w:rsidR="00932D4C" w:rsidRPr="00926906" w:rsidRDefault="00932D4C" w:rsidP="00932D4C">
      <w:pPr>
        <w:spacing w:before="240" w:after="120" w:line="240" w:lineRule="auto"/>
        <w:jc w:val="center"/>
        <w:rPr>
          <w:rFonts w:ascii="Arial" w:hAnsi="Arial" w:cs="Arial"/>
          <w:b/>
          <w:color w:val="000000"/>
        </w:rPr>
      </w:pPr>
      <w:r>
        <w:rPr>
          <w:rFonts w:ascii="Arial" w:hAnsi="Arial"/>
          <w:b/>
          <w:color w:val="000000"/>
        </w:rPr>
        <w:t>De ...</w:t>
      </w:r>
      <w:bookmarkStart w:id="0" w:name="_GoBack"/>
      <w:bookmarkEnd w:id="0"/>
    </w:p>
    <w:p w:rsidR="00932D4C" w:rsidRPr="00926906" w:rsidRDefault="00932D4C" w:rsidP="00932D4C">
      <w:pPr>
        <w:spacing w:before="120" w:after="120" w:line="360" w:lineRule="auto"/>
        <w:rPr>
          <w:rFonts w:ascii="Arial" w:hAnsi="Arial" w:cs="Arial"/>
          <w:color w:val="000000"/>
        </w:rPr>
      </w:pPr>
      <w:r>
        <w:rPr>
          <w:rFonts w:ascii="Arial" w:hAnsi="Arial"/>
          <w:color w:val="000000"/>
        </w:rPr>
        <w:t>En virtud del artículo 57, apartado 1, puntos 1 y 3, en relación con el apartado 3 de la Ley sobre el transporte de personas, en la versión publicada el 8 de agosto de 1990 (Boletín Oficial Federal, parte I, p. 1690), con la última redacción que fue dada a su apartado 1, en la frase anterior al punto 1, por el artículo 482, punto 2, letra a), del Decreto de 31 de agosto de 2015 (Boletín Oficial Federal, parte I, p. 1474), el Ministerio Federal de Transportes e Infraestructura Digital dispone lo siguiente:</w:t>
      </w:r>
    </w:p>
    <w:p w:rsidR="00932D4C" w:rsidRPr="00926906" w:rsidRDefault="00D23A18" w:rsidP="00D23A18">
      <w:pPr>
        <w:keepNext/>
        <w:spacing w:before="480" w:after="240" w:line="240" w:lineRule="auto"/>
        <w:jc w:val="center"/>
        <w:rPr>
          <w:rFonts w:ascii="Arial" w:hAnsi="Arial" w:cs="Arial"/>
          <w:b/>
          <w:color w:val="000000"/>
          <w:sz w:val="28"/>
        </w:rPr>
      </w:pPr>
      <w:r>
        <w:rPr>
          <w:rFonts w:ascii="Arial" w:hAnsi="Arial"/>
          <w:b/>
          <w:color w:val="000000"/>
          <w:sz w:val="28"/>
        </w:rPr>
        <w:t>Artículo 1</w:t>
      </w:r>
    </w:p>
    <w:p w:rsidR="00932D4C" w:rsidRPr="00926906" w:rsidRDefault="00932D4C" w:rsidP="00644D74">
      <w:pPr>
        <w:keepNext/>
        <w:spacing w:before="120" w:after="120" w:line="240" w:lineRule="auto"/>
        <w:jc w:val="both"/>
        <w:rPr>
          <w:rFonts w:ascii="Arial" w:hAnsi="Arial" w:cs="Arial"/>
          <w:color w:val="000000"/>
        </w:rPr>
      </w:pPr>
      <w:r>
        <w:rPr>
          <w:rFonts w:ascii="Arial" w:hAnsi="Arial"/>
          <w:color w:val="000000"/>
        </w:rPr>
        <w:t xml:space="preserve">La Ordenanza sobre la construcción y el funcionamiento de tranvías, de 11 de diciembre de 1987 (Boletín Oficial Federal, parte I, p. 2648), modificada por última vez por el artículo 1 del Decreto de 16 de diciembre de 2016 (Boletín Oficial Federal, parte I, p. 2938), se modifica como sigue: </w:t>
      </w:r>
    </w:p>
    <w:p w:rsidR="00932D4C" w:rsidRPr="00926906" w:rsidRDefault="00932D4C" w:rsidP="00644D74">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el índice se modifica como sigue:</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La indicación relativa al artículo 61 se reformula como sigue:</w:t>
      </w:r>
      <w:r>
        <w:rPr>
          <w:rFonts w:ascii="Arial" w:hAnsi="Arial"/>
          <w:color w:val="000000"/>
        </w:rPr>
        <w:br/>
        <w:t>«Artículo 61 Supervisión de la construcción de instalaciones y vehículos»;</w:t>
      </w:r>
    </w:p>
    <w:p w:rsidR="00932D4C" w:rsidRPr="00926906" w:rsidRDefault="00932D4C" w:rsidP="00546B0A">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en el artículo 2, apartado 1, se añade la siguiente frase:</w:t>
      </w:r>
    </w:p>
    <w:p w:rsidR="00932D4C" w:rsidRPr="00926906" w:rsidRDefault="00932D4C" w:rsidP="00932D4C">
      <w:pPr>
        <w:tabs>
          <w:tab w:val="left" w:pos="851"/>
        </w:tabs>
        <w:spacing w:before="120" w:after="120" w:line="240" w:lineRule="auto"/>
        <w:ind w:left="851"/>
        <w:jc w:val="both"/>
        <w:rPr>
          <w:rFonts w:ascii="Arial" w:hAnsi="Arial" w:cs="Arial"/>
          <w:color w:val="000000"/>
        </w:rPr>
      </w:pPr>
      <w:r>
        <w:rPr>
          <w:rFonts w:ascii="Arial" w:hAnsi="Arial"/>
          <w:color w:val="000000"/>
        </w:rPr>
        <w:t>«En el artículo 1, apartado 1, las frases tercera a quinta permanecen inalteradas.»;</w:t>
      </w:r>
    </w:p>
    <w:p w:rsidR="00932D4C" w:rsidRPr="00926906" w:rsidRDefault="00932D4C" w:rsidP="00932D4C">
      <w:pPr>
        <w:tabs>
          <w:tab w:val="left" w:pos="426"/>
        </w:tabs>
        <w:spacing w:before="120" w:after="120" w:line="240" w:lineRule="auto"/>
        <w:ind w:left="426" w:hanging="426"/>
        <w:jc w:val="both"/>
        <w:rPr>
          <w:rFonts w:ascii="Arial" w:hAnsi="Arial" w:cs="Arial"/>
          <w:color w:val="000000"/>
        </w:rPr>
      </w:pPr>
      <w:r>
        <w:rPr>
          <w:rFonts w:ascii="Arial" w:hAnsi="Arial"/>
          <w:color w:val="000000"/>
        </w:rPr>
        <w:t xml:space="preserve">2 </w:t>
      </w:r>
      <w:r>
        <w:rPr>
          <w:rFonts w:ascii="Arial" w:hAnsi="Arial"/>
          <w:i/>
          <w:iCs/>
          <w:color w:val="000000"/>
        </w:rPr>
        <w:t>bis</w:t>
      </w:r>
      <w:r>
        <w:rPr>
          <w:rFonts w:ascii="Arial" w:hAnsi="Arial"/>
          <w:color w:val="000000"/>
        </w:rPr>
        <w:t>)</w:t>
      </w:r>
      <w:r>
        <w:rPr>
          <w:rFonts w:ascii="Arial" w:hAnsi="Arial"/>
          <w:color w:val="000000"/>
        </w:rPr>
        <w:tab/>
        <w:t>en el artículo 3, apartado 1, frase segunda, punto 3, después de la palabra «personas» se añaden las palabras «, o una combinación de ambos,»;</w:t>
      </w:r>
    </w:p>
    <w:p w:rsidR="00932D4C" w:rsidRPr="00926906" w:rsidRDefault="00932D4C" w:rsidP="00546B0A">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el artículo 4 se modifica como sigue:</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a) se suprime el apartado 3, frase segunda;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b) en el apartado 4, después de las palabras la palabra «personas» se añaden las palabras «, o una combinación de ambos en función de las condiciones locales,»;</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c) se añade el siguiente apartado 5: </w:t>
      </w:r>
      <w:r>
        <w:rPr>
          <w:rFonts w:ascii="Arial" w:hAnsi="Arial"/>
          <w:color w:val="000000"/>
        </w:rPr>
        <w:br/>
        <w:t>«5. El operador deberá llevar un registro sobre:</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1)</w:t>
      </w:r>
      <w:r>
        <w:rPr>
          <w:rFonts w:ascii="Arial" w:hAnsi="Arial"/>
          <w:color w:val="000000"/>
        </w:rPr>
        <w:tab/>
        <w:t xml:space="preserve">las situaciones operativas reguladas en la sección 6;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2)</w:t>
      </w:r>
      <w:r>
        <w:rPr>
          <w:rFonts w:ascii="Arial" w:hAnsi="Arial"/>
          <w:color w:val="000000"/>
        </w:rPr>
        <w:tab/>
        <w:t xml:space="preserve">la comunicación relevante para la seguridad establecida con las unidades de explotación mediante sistemas de telecomunicaciones conforme al artículo 23; y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3)</w:t>
      </w:r>
      <w:r>
        <w:rPr>
          <w:rFonts w:ascii="Arial" w:hAnsi="Arial"/>
          <w:color w:val="000000"/>
        </w:rPr>
        <w:tab/>
        <w:t xml:space="preserve">los datos de viaje de los dispositivos citados en el artículo 33, apartado 13,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y estará autorizado a recoger, guardar y utilizar los datos citados en los puntos 1 a 3, siempre que sea necesario, para poder garantizar un funcionamiento seguro, documentar el estado y el mantenimiento de los dispositivos y vehículos, y poder </w:t>
      </w:r>
      <w:r>
        <w:rPr>
          <w:rFonts w:ascii="Arial" w:hAnsi="Arial"/>
          <w:color w:val="000000"/>
        </w:rPr>
        <w:lastRenderedPageBreak/>
        <w:t>esclarecer las causas de los sucesos peligrosos. Asimismo, el operador estará autorizado para transmitir a la autoridad de supervisión técnica la información necesaria para el cumplimiento de sus tareas de los datos citados en la frase primera. En lo que respecta a los datos personales, deberán suprimirse, a más tardar, una vez transcurridas 96 horas, a menos que su conocimiento siga siendo necesario para el cumplimiento del objetivo de almacenamiento mencionado en la frase primera.»;</w:t>
      </w:r>
    </w:p>
    <w:p w:rsidR="00932D4C" w:rsidRPr="00926906" w:rsidRDefault="00932D4C" w:rsidP="00546B0A">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el artículo 5, apartado 2, se modifica como sigue:</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a)</w:t>
      </w:r>
      <w:r>
        <w:rPr>
          <w:rFonts w:ascii="Arial" w:hAnsi="Arial"/>
          <w:color w:val="000000"/>
        </w:rPr>
        <w:tab/>
        <w:t>en la frase primera, antes de las palabras «personas competentes» se elimina la palabra «otras»;</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b)</w:t>
      </w:r>
      <w:r>
        <w:rPr>
          <w:rFonts w:ascii="Arial" w:hAnsi="Arial"/>
          <w:color w:val="000000"/>
        </w:rPr>
        <w:tab/>
        <w:t>en la frase segunda, antes de las palabras «al jefe de explotación», se elimina la palabra «también»;</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 xml:space="preserve">en el artículo 16, apartado 5, se añade la siguiente frase: </w:t>
      </w:r>
      <w:r>
        <w:rPr>
          <w:rFonts w:ascii="Arial" w:hAnsi="Arial"/>
          <w:color w:val="000000"/>
        </w:rPr>
        <w:br/>
        <w:t>«Por lo demás, la responsabilidad del encargado de la obra viaria permanece inalterada.»;</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en el artículo 30, apartado 5, después de la frase primera se añade la siguiente frase:</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«En este contexto, las salidas de emergencia sirven para el rescate de las personas si, en caso de emergencia, no es posible detener los vehículos en la zona de parada.»;</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 xml:space="preserve"> el artículo 31, apartado 7, se reformula como sigue: </w:t>
      </w:r>
    </w:p>
    <w:p w:rsidR="00932D4C" w:rsidRPr="00926906" w:rsidRDefault="00932D4C" w:rsidP="00932D4C">
      <w:pPr>
        <w:numPr>
          <w:ilvl w:val="2"/>
          <w:numId w:val="0"/>
        </w:numPr>
        <w:tabs>
          <w:tab w:val="left" w:pos="851"/>
        </w:tabs>
        <w:spacing w:before="120" w:after="120" w:line="240" w:lineRule="auto"/>
        <w:ind w:left="425"/>
        <w:jc w:val="both"/>
        <w:rPr>
          <w:rFonts w:ascii="Arial" w:hAnsi="Arial" w:cs="Arial"/>
          <w:color w:val="000000"/>
        </w:rPr>
      </w:pPr>
      <w:r>
        <w:rPr>
          <w:rFonts w:ascii="Arial" w:hAnsi="Arial"/>
          <w:color w:val="000000"/>
        </w:rPr>
        <w:t>«7. Las alturas de las superficies de las plataformas, del suelo de los vehículos y de los escalones de los vehículos deberán estar adaptadas de tal forma que los pasajeros puedan entrar y salir con comodidad. La diferencia de altura entre la superficie de la plataforma y el suelo del vehículo deberá minimizarse teniendo en cuenta los parámetros de carga y desgaste de los vehículos utilizados. La superficie de la plataforma no podrá ser más alta que el suelo del vehículo, y deberá ser antideslizante.»;</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en el artículo 46, apartado 3, punto 2, después de las palabras «deseo de parada» se añaden las palabras «al menos en la zona de cada puerta.»;</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el artículo 51, apartado 11, frase segunda, se reformula como sigue:</w:t>
      </w:r>
    </w:p>
    <w:p w:rsidR="00932D4C" w:rsidRPr="00926906" w:rsidRDefault="00932D4C" w:rsidP="00932D4C">
      <w:pPr>
        <w:tabs>
          <w:tab w:val="left" w:pos="0"/>
        </w:tabs>
        <w:spacing w:before="120" w:after="120" w:line="240" w:lineRule="auto"/>
        <w:ind w:left="425"/>
        <w:jc w:val="both"/>
        <w:rPr>
          <w:rFonts w:ascii="Arial" w:hAnsi="Arial" w:cs="Arial"/>
          <w:color w:val="000000"/>
        </w:rPr>
      </w:pPr>
      <w:r>
        <w:rPr>
          <w:rFonts w:ascii="Arial" w:hAnsi="Arial"/>
          <w:color w:val="000000"/>
        </w:rPr>
        <w:t>«No será necesario que se muestren las señales de aguja cuando las agujas estén integradas en equipos de protección del tren o cuando el control de una señal dependa de la posición de la aguja y estén señalizados en consecuencia.»;</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el artículo 53, apartado 2, punto 3, se reformula como sigue:</w:t>
      </w:r>
    </w:p>
    <w:p w:rsidR="00932D4C" w:rsidRPr="00926906" w:rsidRDefault="00932D4C" w:rsidP="00932D4C">
      <w:pPr>
        <w:tabs>
          <w:tab w:val="left" w:pos="0"/>
        </w:tabs>
        <w:spacing w:before="120" w:after="120" w:line="240" w:lineRule="auto"/>
        <w:ind w:left="425"/>
        <w:jc w:val="both"/>
        <w:rPr>
          <w:rFonts w:ascii="Arial" w:hAnsi="Arial" w:cs="Arial"/>
          <w:color w:val="000000"/>
        </w:rPr>
      </w:pPr>
      <w:r>
        <w:rPr>
          <w:rFonts w:ascii="Arial" w:hAnsi="Arial"/>
          <w:color w:val="000000"/>
        </w:rPr>
        <w:t>«3) los descarrilamientos se detecten directamente en el sistema y se influya adecuadamente en el mando del tren;»;</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en el artículo 55, apartado 2, después de la palabra «tener [una longitud superior a 75 m]» se añaden las palabras «y deberán ser suficientemente reconocibles para los demás usuarios de la carretera.»;</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 xml:space="preserve">el artículo 57, apartado 3, punto 2, se reformula como sigue: </w:t>
      </w:r>
    </w:p>
    <w:p w:rsidR="00932D4C" w:rsidRPr="00926906" w:rsidRDefault="00932D4C" w:rsidP="00932D4C">
      <w:pPr>
        <w:numPr>
          <w:ilvl w:val="2"/>
          <w:numId w:val="0"/>
        </w:numPr>
        <w:spacing w:before="120" w:after="120" w:line="240" w:lineRule="auto"/>
        <w:ind w:left="425"/>
        <w:jc w:val="both"/>
        <w:rPr>
          <w:rFonts w:ascii="Arial" w:hAnsi="Arial" w:cs="Arial"/>
          <w:color w:val="000000"/>
        </w:rPr>
      </w:pPr>
      <w:r>
        <w:rPr>
          <w:rFonts w:ascii="Arial" w:hAnsi="Arial"/>
          <w:color w:val="000000"/>
        </w:rPr>
        <w:t xml:space="preserve">«2) instalaciones de suministro de energía </w:t>
      </w:r>
      <w:r>
        <w:rPr>
          <w:rFonts w:ascii="Arial" w:hAnsi="Arial"/>
          <w:color w:val="000000"/>
        </w:rPr>
        <w:tab/>
        <w:t>cada 4 años;»;</w:t>
      </w:r>
    </w:p>
    <w:p w:rsidR="00932D4C" w:rsidRPr="00926906" w:rsidRDefault="00932D4C" w:rsidP="00546B0A">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el artículo 61 se modifica como sigue:</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a) en el título, se añaden las palabras «y vehículos»;</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 xml:space="preserve">b) en el apartado 1, frase segunda, después de las palabras «muestras aleatorias» se añaden una coma y las palabras «en lo que respecta a los vehículos, al primer vehículo de una serie.»; </w:t>
      </w:r>
    </w:p>
    <w:p w:rsidR="00932D4C" w:rsidRPr="00926906" w:rsidRDefault="00932D4C" w:rsidP="00546B0A">
      <w:pPr>
        <w:numPr>
          <w:ilvl w:val="0"/>
          <w:numId w:val="2"/>
        </w:numPr>
        <w:tabs>
          <w:tab w:val="left" w:pos="0"/>
        </w:tabs>
        <w:spacing w:before="120" w:after="120" w:line="240" w:lineRule="auto"/>
        <w:jc w:val="both"/>
        <w:rPr>
          <w:rFonts w:ascii="Arial" w:hAnsi="Arial" w:cs="Arial"/>
          <w:color w:val="000000"/>
        </w:rPr>
      </w:pPr>
      <w:r>
        <w:rPr>
          <w:rFonts w:ascii="Arial" w:hAnsi="Arial"/>
          <w:color w:val="000000"/>
        </w:rPr>
        <w:t xml:space="preserve">en el artículo 62, apartado 7, se sustituyen las palabras «la instalación de explotación o el primer vehículo de una serie podrá» por las palabras «las instalaciones de explotación o los vehículos»; </w:t>
      </w:r>
    </w:p>
    <w:p w:rsidR="00932D4C" w:rsidRPr="00926906" w:rsidRDefault="00932D4C" w:rsidP="00546B0A">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lastRenderedPageBreak/>
        <w:t xml:space="preserve">el artículo 64 se modifica como sigue: </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a) en la frase primera, antes de las palabras «en construcción», se añaden las palabras «en ese momento»;</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b) después de la frase primera, se añade la siguiente frase:</w:t>
      </w:r>
      <w:r>
        <w:rPr>
          <w:rFonts w:ascii="Arial" w:hAnsi="Arial"/>
          <w:color w:val="000000"/>
        </w:rPr>
        <w:br/>
        <w:t xml:space="preserve">«En caso de que en este Decreto se apliquen requisitos a la construcción de instalaciones de explotación o vehículos distintos a los de la normativa vigente hasta el ... [introducir: fecha de entrada en vigor de este Decreto de modificación], las instalaciones de explotación o los vehículos existentes o en construcción en ese momento no tendrán que adaptarse a las disposiciones de este Decreto.». </w:t>
      </w:r>
    </w:p>
    <w:p w:rsidR="00932D4C" w:rsidRPr="00926906" w:rsidRDefault="00932D4C" w:rsidP="00932D4C">
      <w:pPr>
        <w:tabs>
          <w:tab w:val="left" w:pos="0"/>
        </w:tabs>
        <w:spacing w:before="120" w:after="120" w:line="240" w:lineRule="auto"/>
        <w:ind w:left="425"/>
        <w:jc w:val="both"/>
        <w:rPr>
          <w:rFonts w:ascii="Arial" w:hAnsi="Arial" w:cs="Arial"/>
          <w:color w:val="000000"/>
          <w:lang w:eastAsia="de-DE"/>
        </w:rPr>
      </w:pPr>
    </w:p>
    <w:p w:rsidR="00932D4C" w:rsidRPr="00926906" w:rsidRDefault="00D23A18" w:rsidP="00D23A18">
      <w:pPr>
        <w:keepNext/>
        <w:spacing w:before="480" w:after="240" w:line="240" w:lineRule="auto"/>
        <w:jc w:val="center"/>
        <w:rPr>
          <w:rFonts w:ascii="Arial" w:hAnsi="Arial" w:cs="Arial"/>
          <w:b/>
          <w:color w:val="000000"/>
          <w:sz w:val="28"/>
        </w:rPr>
      </w:pPr>
      <w:r>
        <w:rPr>
          <w:rFonts w:ascii="Arial" w:hAnsi="Arial"/>
          <w:b/>
          <w:color w:val="000000"/>
          <w:sz w:val="28"/>
        </w:rPr>
        <w:t>Artículo 2</w:t>
      </w:r>
    </w:p>
    <w:p w:rsidR="00932D4C" w:rsidRPr="00926906" w:rsidRDefault="00932D4C" w:rsidP="00932D4C">
      <w:pPr>
        <w:spacing w:before="120" w:after="120" w:line="240" w:lineRule="auto"/>
        <w:ind w:firstLine="425"/>
        <w:jc w:val="both"/>
        <w:rPr>
          <w:rFonts w:ascii="Arial" w:hAnsi="Arial" w:cs="Arial"/>
          <w:color w:val="000000"/>
        </w:rPr>
      </w:pPr>
      <w:r>
        <w:rPr>
          <w:rFonts w:ascii="Arial" w:hAnsi="Arial"/>
          <w:color w:val="000000"/>
        </w:rPr>
        <w:t>El presente Decreto entrará en vigor el día siguiente al de su publicación.</w:t>
      </w:r>
    </w:p>
    <w:p w:rsidR="00932D4C" w:rsidRPr="00926906" w:rsidRDefault="00932D4C" w:rsidP="00932D4C">
      <w:pPr>
        <w:spacing w:before="240" w:after="120" w:line="240" w:lineRule="auto"/>
        <w:rPr>
          <w:rFonts w:ascii="Arial" w:hAnsi="Arial" w:cs="Arial"/>
          <w:color w:val="000000"/>
        </w:rPr>
      </w:pPr>
      <w:r>
        <w:rPr>
          <w:rFonts w:ascii="Arial" w:hAnsi="Arial"/>
          <w:color w:val="000000"/>
        </w:rPr>
        <w:t>Aprobado por el Bundesrat alemán.</w:t>
      </w:r>
    </w:p>
    <w:sectPr w:rsidR="00932D4C" w:rsidRPr="0092690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F94" w:rsidRDefault="00762F94" w:rsidP="00932D4C">
      <w:pPr>
        <w:spacing w:after="0" w:line="240" w:lineRule="auto"/>
      </w:pPr>
      <w:r>
        <w:separator/>
      </w:r>
    </w:p>
  </w:endnote>
  <w:endnote w:type="continuationSeparator" w:id="0">
    <w:p w:rsidR="00762F94" w:rsidRDefault="00762F94" w:rsidP="00932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F94" w:rsidRDefault="00762F94" w:rsidP="00932D4C">
      <w:pPr>
        <w:spacing w:after="0" w:line="240" w:lineRule="auto"/>
      </w:pPr>
      <w:r>
        <w:separator/>
      </w:r>
    </w:p>
  </w:footnote>
  <w:footnote w:type="continuationSeparator" w:id="0">
    <w:p w:rsidR="00762F94" w:rsidRDefault="00762F94" w:rsidP="00932D4C">
      <w:pPr>
        <w:spacing w:after="0" w:line="240" w:lineRule="auto"/>
      </w:pPr>
      <w:r>
        <w:continuationSeparator/>
      </w:r>
    </w:p>
  </w:footnote>
  <w:footnote w:id="1">
    <w:p w:rsidR="00932D4C" w:rsidRDefault="00932D4C" w:rsidP="00932D4C">
      <w:pPr>
        <w:pStyle w:val="FootnoteText"/>
      </w:pPr>
      <w:r>
        <w:rPr>
          <w:rStyle w:val="FootnoteReference"/>
        </w:rPr>
        <w:footnoteRef/>
      </w:r>
      <w:r>
        <w:tab/>
        <w:t>Se han cumplido las obligaciones de información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2515E8"/>
    <w:multiLevelType w:val="hybridMultilevel"/>
    <w:tmpl w:val="9B94F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25574"/>
    <w:multiLevelType w:val="multilevel"/>
    <w:tmpl w:val="D5A0DCE0"/>
    <w:name w:val="eNorm Liste"/>
    <w:lvl w:ilvl="0">
      <w:start w:val="1"/>
      <w:numFmt w:val="decimal"/>
      <w:lvlText w:val="%1)"/>
      <w:lvlJc w:val="left"/>
      <w:pPr>
        <w:tabs>
          <w:tab w:val="num" w:pos="425"/>
        </w:tabs>
        <w:ind w:left="425" w:hanging="425"/>
      </w:pPr>
      <w:rPr>
        <w:rFonts w:hint="default"/>
      </w:r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4C"/>
    <w:rsid w:val="0007178B"/>
    <w:rsid w:val="001A7A83"/>
    <w:rsid w:val="00546B0A"/>
    <w:rsid w:val="00574048"/>
    <w:rsid w:val="00585539"/>
    <w:rsid w:val="00644D74"/>
    <w:rsid w:val="00762F94"/>
    <w:rsid w:val="00806142"/>
    <w:rsid w:val="00926906"/>
    <w:rsid w:val="00932D4C"/>
    <w:rsid w:val="00971B6B"/>
    <w:rsid w:val="00CC38BC"/>
    <w:rsid w:val="00D15FCA"/>
    <w:rsid w:val="00D23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F62870-8308-4E9A-BF77-0B22F544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2D4C"/>
    <w:rPr>
      <w:sz w:val="20"/>
      <w:szCs w:val="20"/>
    </w:rPr>
  </w:style>
  <w:style w:type="character" w:customStyle="1" w:styleId="FootnoteTextChar">
    <w:name w:val="Footnote Text Char"/>
    <w:link w:val="FootnoteText"/>
    <w:uiPriority w:val="99"/>
    <w:semiHidden/>
    <w:rsid w:val="00932D4C"/>
    <w:rPr>
      <w:lang w:eastAsia="en-US"/>
    </w:rPr>
  </w:style>
  <w:style w:type="paragraph" w:customStyle="1" w:styleId="ListeStufe1">
    <w:name w:val="Liste (Stufe 1)"/>
    <w:basedOn w:val="Normal"/>
    <w:rsid w:val="00932D4C"/>
    <w:pPr>
      <w:tabs>
        <w:tab w:val="left" w:pos="0"/>
      </w:tabs>
      <w:spacing w:before="120" w:after="120" w:line="240" w:lineRule="auto"/>
      <w:jc w:val="both"/>
    </w:pPr>
    <w:rPr>
      <w:rFonts w:ascii="Arial" w:hAnsi="Arial" w:cs="Arial"/>
      <w:lang w:eastAsia="de-DE"/>
    </w:rPr>
  </w:style>
  <w:style w:type="paragraph" w:customStyle="1" w:styleId="ListeFolgeabsatzStufe1">
    <w:name w:val="Liste Folgeabsatz (Stufe 1)"/>
    <w:basedOn w:val="Normal"/>
    <w:rsid w:val="00932D4C"/>
    <w:pPr>
      <w:numPr>
        <w:ilvl w:val="1"/>
        <w:numId w:val="2"/>
      </w:numPr>
      <w:spacing w:before="120" w:after="120" w:line="240" w:lineRule="auto"/>
      <w:jc w:val="both"/>
    </w:pPr>
    <w:rPr>
      <w:rFonts w:ascii="Arial" w:hAnsi="Arial" w:cs="Arial"/>
      <w:lang w:eastAsia="de-DE"/>
    </w:rPr>
  </w:style>
  <w:style w:type="paragraph" w:customStyle="1" w:styleId="ListeStufe2">
    <w:name w:val="Liste (Stufe 2)"/>
    <w:basedOn w:val="Normal"/>
    <w:rsid w:val="00932D4C"/>
    <w:pPr>
      <w:numPr>
        <w:ilvl w:val="2"/>
        <w:numId w:val="2"/>
      </w:numPr>
      <w:spacing w:before="120" w:after="120" w:line="240" w:lineRule="auto"/>
      <w:jc w:val="both"/>
    </w:pPr>
    <w:rPr>
      <w:rFonts w:ascii="Arial" w:hAnsi="Arial" w:cs="Arial"/>
      <w:lang w:eastAsia="de-DE"/>
    </w:rPr>
  </w:style>
  <w:style w:type="paragraph" w:customStyle="1" w:styleId="ListeFolgeabsatzStufe2">
    <w:name w:val="Liste Folgeabsatz (Stufe 2)"/>
    <w:basedOn w:val="Normal"/>
    <w:rsid w:val="00932D4C"/>
    <w:pPr>
      <w:numPr>
        <w:ilvl w:val="3"/>
        <w:numId w:val="2"/>
      </w:numPr>
      <w:spacing w:before="120" w:after="120" w:line="240" w:lineRule="auto"/>
      <w:jc w:val="both"/>
    </w:pPr>
    <w:rPr>
      <w:rFonts w:ascii="Arial" w:hAnsi="Arial" w:cs="Arial"/>
      <w:lang w:eastAsia="de-DE"/>
    </w:rPr>
  </w:style>
  <w:style w:type="paragraph" w:customStyle="1" w:styleId="ListeStufe3">
    <w:name w:val="Liste (Stufe 3)"/>
    <w:basedOn w:val="Normal"/>
    <w:rsid w:val="00932D4C"/>
    <w:pPr>
      <w:numPr>
        <w:ilvl w:val="4"/>
        <w:numId w:val="2"/>
      </w:numPr>
      <w:spacing w:before="120" w:after="120" w:line="240" w:lineRule="auto"/>
      <w:jc w:val="both"/>
    </w:pPr>
    <w:rPr>
      <w:rFonts w:ascii="Arial" w:hAnsi="Arial" w:cs="Arial"/>
      <w:lang w:eastAsia="de-DE"/>
    </w:rPr>
  </w:style>
  <w:style w:type="paragraph" w:customStyle="1" w:styleId="ListeFolgeabsatzStufe3">
    <w:name w:val="Liste Folgeabsatz (Stufe 3)"/>
    <w:basedOn w:val="Normal"/>
    <w:rsid w:val="00932D4C"/>
    <w:pPr>
      <w:numPr>
        <w:ilvl w:val="5"/>
        <w:numId w:val="2"/>
      </w:numPr>
      <w:spacing w:before="120" w:after="120" w:line="240" w:lineRule="auto"/>
      <w:jc w:val="both"/>
    </w:pPr>
    <w:rPr>
      <w:rFonts w:ascii="Arial" w:hAnsi="Arial" w:cs="Arial"/>
      <w:lang w:eastAsia="de-DE"/>
    </w:rPr>
  </w:style>
  <w:style w:type="paragraph" w:customStyle="1" w:styleId="ListeStufe4">
    <w:name w:val="Liste (Stufe 4)"/>
    <w:basedOn w:val="Normal"/>
    <w:rsid w:val="00932D4C"/>
    <w:pPr>
      <w:numPr>
        <w:ilvl w:val="6"/>
        <w:numId w:val="2"/>
      </w:numPr>
      <w:spacing w:before="120" w:after="120" w:line="240" w:lineRule="auto"/>
      <w:jc w:val="both"/>
    </w:pPr>
    <w:rPr>
      <w:rFonts w:ascii="Arial" w:hAnsi="Arial" w:cs="Arial"/>
      <w:lang w:eastAsia="de-DE"/>
    </w:rPr>
  </w:style>
  <w:style w:type="paragraph" w:customStyle="1" w:styleId="ListeFolgeabsatzStufe4">
    <w:name w:val="Liste Folgeabsatz (Stufe 4)"/>
    <w:basedOn w:val="Normal"/>
    <w:rsid w:val="00932D4C"/>
    <w:pPr>
      <w:numPr>
        <w:ilvl w:val="7"/>
        <w:numId w:val="2"/>
      </w:numPr>
      <w:spacing w:before="120" w:after="120" w:line="240" w:lineRule="auto"/>
      <w:jc w:val="both"/>
    </w:pPr>
    <w:rPr>
      <w:rFonts w:ascii="Arial" w:hAnsi="Arial" w:cs="Arial"/>
      <w:lang w:eastAsia="de-DE"/>
    </w:rPr>
  </w:style>
  <w:style w:type="character" w:styleId="FootnoteReference">
    <w:name w:val="footnote reference"/>
    <w:uiPriority w:val="99"/>
    <w:semiHidden/>
    <w:unhideWhenUsed/>
    <w:rsid w:val="00932D4C"/>
    <w:rPr>
      <w:shd w:val="clear" w:color="auto" w:fill="auto"/>
      <w:vertAlign w:val="superscript"/>
    </w:rPr>
  </w:style>
  <w:style w:type="paragraph" w:customStyle="1" w:styleId="NummerierungStufe1">
    <w:name w:val="Nummerierung (Stufe 1)"/>
    <w:basedOn w:val="Normal"/>
    <w:rsid w:val="00932D4C"/>
    <w:pPr>
      <w:numPr>
        <w:ilvl w:val="3"/>
        <w:numId w:val="1"/>
      </w:numPr>
      <w:spacing w:before="120" w:after="120" w:line="240" w:lineRule="auto"/>
      <w:jc w:val="both"/>
    </w:pPr>
    <w:rPr>
      <w:rFonts w:ascii="Arial" w:hAnsi="Arial" w:cs="Arial"/>
      <w:lang w:eastAsia="de-DE"/>
    </w:rPr>
  </w:style>
  <w:style w:type="paragraph" w:customStyle="1" w:styleId="NummerierungStufe2">
    <w:name w:val="Nummerierung (Stufe 2)"/>
    <w:basedOn w:val="Normal"/>
    <w:rsid w:val="00932D4C"/>
    <w:pPr>
      <w:numPr>
        <w:ilvl w:val="4"/>
        <w:numId w:val="1"/>
      </w:numPr>
      <w:spacing w:before="120" w:after="120" w:line="240" w:lineRule="auto"/>
      <w:jc w:val="both"/>
    </w:pPr>
    <w:rPr>
      <w:rFonts w:ascii="Arial" w:hAnsi="Arial" w:cs="Arial"/>
      <w:lang w:eastAsia="de-DE"/>
    </w:rPr>
  </w:style>
  <w:style w:type="paragraph" w:customStyle="1" w:styleId="NummerierungStufe3">
    <w:name w:val="Nummerierung (Stufe 3)"/>
    <w:basedOn w:val="Normal"/>
    <w:rsid w:val="00932D4C"/>
    <w:pPr>
      <w:numPr>
        <w:ilvl w:val="5"/>
        <w:numId w:val="1"/>
      </w:numPr>
      <w:spacing w:before="120" w:after="120" w:line="240" w:lineRule="auto"/>
      <w:jc w:val="both"/>
    </w:pPr>
    <w:rPr>
      <w:rFonts w:ascii="Arial" w:hAnsi="Arial" w:cs="Arial"/>
      <w:lang w:eastAsia="de-DE"/>
    </w:rPr>
  </w:style>
  <w:style w:type="paragraph" w:customStyle="1" w:styleId="NummerierungStufe4">
    <w:name w:val="Nummerierung (Stufe 4)"/>
    <w:basedOn w:val="Normal"/>
    <w:rsid w:val="00932D4C"/>
    <w:pPr>
      <w:numPr>
        <w:ilvl w:val="6"/>
        <w:numId w:val="1"/>
      </w:numPr>
      <w:spacing w:before="120" w:after="120" w:line="240" w:lineRule="auto"/>
      <w:jc w:val="both"/>
    </w:pPr>
    <w:rPr>
      <w:rFonts w:ascii="Arial" w:hAnsi="Arial" w:cs="Arial"/>
      <w:lang w:eastAsia="de-DE"/>
    </w:rPr>
  </w:style>
  <w:style w:type="paragraph" w:customStyle="1" w:styleId="ParagraphBezeichner">
    <w:name w:val="Paragraph Bezeichner"/>
    <w:basedOn w:val="Normal"/>
    <w:next w:val="Normal"/>
    <w:rsid w:val="00932D4C"/>
    <w:pPr>
      <w:keepNext/>
      <w:numPr>
        <w:ilvl w:val="1"/>
        <w:numId w:val="1"/>
      </w:numPr>
      <w:spacing w:before="480" w:after="120" w:line="240" w:lineRule="auto"/>
      <w:jc w:val="center"/>
    </w:pPr>
    <w:rPr>
      <w:rFonts w:ascii="Arial" w:hAnsi="Arial" w:cs="Arial"/>
      <w:lang w:eastAsia="de-DE"/>
    </w:rPr>
  </w:style>
  <w:style w:type="paragraph" w:customStyle="1" w:styleId="JuristischerAbsatznummeriert">
    <w:name w:val="Juristischer Absatz (nummeriert)"/>
    <w:basedOn w:val="Normal"/>
    <w:rsid w:val="00932D4C"/>
    <w:pPr>
      <w:numPr>
        <w:ilvl w:val="2"/>
        <w:numId w:val="1"/>
      </w:numPr>
      <w:spacing w:before="120" w:after="120" w:line="240" w:lineRule="auto"/>
      <w:jc w:val="both"/>
    </w:pPr>
    <w:rPr>
      <w:rFonts w:ascii="Arial" w:hAnsi="Arial" w:cs="Arial"/>
      <w:lang w:eastAsia="de-DE"/>
    </w:rPr>
  </w:style>
  <w:style w:type="paragraph" w:customStyle="1" w:styleId="ArtikelBezeichner">
    <w:name w:val="Artikel Bezeichner"/>
    <w:basedOn w:val="Normal"/>
    <w:next w:val="Normal"/>
    <w:rsid w:val="00932D4C"/>
    <w:pPr>
      <w:keepNext/>
      <w:numPr>
        <w:numId w:val="1"/>
      </w:numPr>
      <w:spacing w:before="480" w:after="240" w:line="240" w:lineRule="auto"/>
      <w:jc w:val="center"/>
    </w:pPr>
    <w:rPr>
      <w:rFonts w:ascii="Arial" w:hAnsi="Arial" w:cs="Arial"/>
      <w:b/>
      <w:sz w:val="28"/>
      <w:lang w:eastAsia="de-DE"/>
    </w:rPr>
  </w:style>
  <w:style w:type="paragraph" w:styleId="Header">
    <w:name w:val="header"/>
    <w:basedOn w:val="Normal"/>
    <w:link w:val="HeaderChar"/>
    <w:uiPriority w:val="99"/>
    <w:unhideWhenUsed/>
    <w:rsid w:val="00574048"/>
    <w:pPr>
      <w:tabs>
        <w:tab w:val="center" w:pos="4680"/>
        <w:tab w:val="right" w:pos="9360"/>
      </w:tabs>
    </w:pPr>
  </w:style>
  <w:style w:type="character" w:customStyle="1" w:styleId="HeaderChar">
    <w:name w:val="Header Char"/>
    <w:link w:val="Header"/>
    <w:uiPriority w:val="99"/>
    <w:rsid w:val="00574048"/>
    <w:rPr>
      <w:sz w:val="22"/>
      <w:szCs w:val="22"/>
      <w:lang w:val="es-ES" w:eastAsia="en-US"/>
    </w:rPr>
  </w:style>
  <w:style w:type="paragraph" w:styleId="Footer">
    <w:name w:val="footer"/>
    <w:basedOn w:val="Normal"/>
    <w:link w:val="FooterChar"/>
    <w:uiPriority w:val="99"/>
    <w:unhideWhenUsed/>
    <w:rsid w:val="00574048"/>
    <w:pPr>
      <w:tabs>
        <w:tab w:val="center" w:pos="4680"/>
        <w:tab w:val="right" w:pos="9360"/>
      </w:tabs>
    </w:pPr>
  </w:style>
  <w:style w:type="character" w:customStyle="1" w:styleId="FooterChar">
    <w:name w:val="Footer Char"/>
    <w:link w:val="Footer"/>
    <w:uiPriority w:val="99"/>
    <w:rsid w:val="00574048"/>
    <w:rPr>
      <w:sz w:val="22"/>
      <w:szCs w:val="22"/>
      <w:lang w:val="es-ES" w:eastAsia="en-US"/>
    </w:rPr>
  </w:style>
  <w:style w:type="paragraph" w:styleId="ListParagraph">
    <w:name w:val="List Paragraph"/>
    <w:basedOn w:val="Normal"/>
    <w:uiPriority w:val="34"/>
    <w:qFormat/>
    <w:rsid w:val="00CC3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FA3AD-4964-4D2B-93CF-37AAC0DD9D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033748-C4B3-4992-93F6-7877385E28FD}">
  <ds:schemaRefs>
    <ds:schemaRef ds:uri="http://schemas.microsoft.com/sharepoint/v3/contenttype/forms"/>
  </ds:schemaRefs>
</ds:datastoreItem>
</file>

<file path=customXml/itemProps3.xml><?xml version="1.0" encoding="utf-8"?>
<ds:datastoreItem xmlns:ds="http://schemas.openxmlformats.org/officeDocument/2006/customXml" ds:itemID="{0DB92B08-9F42-4E2A-83E0-407C2247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925</Words>
  <Characters>5276</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MyCompany</Company>
  <LinksUpToDate>false</LinksUpToDate>
  <CharactersWithSpaces>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Huland, Andreas</dc:creator>
  <cp:keywords/>
  <cp:lastModifiedBy>EXT_MEGNET, Chantal</cp:lastModifiedBy>
  <cp:revision>8</cp:revision>
  <dcterms:created xsi:type="dcterms:W3CDTF">2020-01-20T05:33:00Z</dcterms:created>
  <dcterms:modified xsi:type="dcterms:W3CDTF">2020-07-14T11:46:00Z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