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48D2F" w14:textId="5BC3D425" w:rsidR="00933EA2" w:rsidRPr="00933EA2" w:rsidRDefault="00933EA2" w:rsidP="00933EA2">
      <w:pPr>
        <w:rPr>
          <w:rFonts w:ascii="Courier New" w:hAnsi="Courier New" w:cs="Courier New"/>
          <w:sz w:val="20"/>
        </w:rPr>
      </w:pPr>
      <w:r>
        <w:rPr>
          <w:rFonts w:ascii="Courier New" w:hAnsi="Courier New"/>
          <w:sz w:val="20"/>
        </w:rPr>
        <w:t>1. ------IND- 2019 0632 F-- CS- ------ 20191224 --- --- PROJET</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045126" w:rsidRPr="00933EA2" w14:paraId="7C8CC528" w14:textId="77777777" w:rsidTr="00B86A8C">
        <w:trPr>
          <w:cantSplit/>
        </w:trPr>
        <w:tc>
          <w:tcPr>
            <w:tcW w:w="3982" w:type="dxa"/>
            <w:gridSpan w:val="3"/>
          </w:tcPr>
          <w:p w14:paraId="1717866D" w14:textId="77777777" w:rsidR="00045126" w:rsidRPr="00933EA2" w:rsidRDefault="00045126" w:rsidP="00933EA2">
            <w:pPr>
              <w:pStyle w:val="SNREPUBLIQUE"/>
            </w:pPr>
            <w:r>
              <w:t>FRANCOUZSKÁ REPUBLIKA</w:t>
            </w:r>
          </w:p>
        </w:tc>
      </w:tr>
      <w:tr w:rsidR="0091270F" w14:paraId="50F03A9B" w14:textId="77777777" w:rsidTr="00B86A8C">
        <w:trPr>
          <w:cantSplit/>
          <w:trHeight w:hRule="exact" w:val="113"/>
        </w:trPr>
        <w:tc>
          <w:tcPr>
            <w:tcW w:w="1527" w:type="dxa"/>
          </w:tcPr>
          <w:p w14:paraId="3F748D43" w14:textId="77777777" w:rsidR="00045126" w:rsidRPr="00933EA2" w:rsidRDefault="00045126" w:rsidP="00933EA2"/>
        </w:tc>
        <w:tc>
          <w:tcPr>
            <w:tcW w:w="968" w:type="dxa"/>
          </w:tcPr>
          <w:p w14:paraId="755C1562" w14:textId="77777777" w:rsidR="00045126" w:rsidRPr="00933EA2" w:rsidRDefault="00045126" w:rsidP="00933EA2"/>
        </w:tc>
        <w:tc>
          <w:tcPr>
            <w:tcW w:w="1487" w:type="dxa"/>
          </w:tcPr>
          <w:p w14:paraId="68AD4CD5" w14:textId="77777777" w:rsidR="00045126" w:rsidRPr="00933EA2" w:rsidRDefault="00045126" w:rsidP="00933EA2"/>
        </w:tc>
      </w:tr>
      <w:tr w:rsidR="00045126" w:rsidRPr="00933EA2" w14:paraId="383AF8A9" w14:textId="77777777" w:rsidTr="00B86A8C">
        <w:trPr>
          <w:cantSplit/>
        </w:trPr>
        <w:tc>
          <w:tcPr>
            <w:tcW w:w="3982" w:type="dxa"/>
            <w:gridSpan w:val="3"/>
          </w:tcPr>
          <w:p w14:paraId="75B4E826" w14:textId="77777777" w:rsidR="00045126" w:rsidRPr="00933EA2" w:rsidRDefault="00045126" w:rsidP="00933EA2">
            <w:pPr>
              <w:pStyle w:val="SNTimbre"/>
              <w:widowControl/>
            </w:pPr>
            <w:r>
              <w:t>Ministerstvo akce a veřejných účtů</w:t>
            </w:r>
          </w:p>
        </w:tc>
      </w:tr>
      <w:tr w:rsidR="0091270F" w14:paraId="024172B3" w14:textId="77777777" w:rsidTr="00B86A8C">
        <w:trPr>
          <w:cantSplit/>
          <w:trHeight w:hRule="exact" w:val="227"/>
        </w:trPr>
        <w:tc>
          <w:tcPr>
            <w:tcW w:w="1527" w:type="dxa"/>
          </w:tcPr>
          <w:p w14:paraId="496232CD" w14:textId="77777777" w:rsidR="00045126" w:rsidRPr="00933EA2" w:rsidRDefault="00045126" w:rsidP="00933EA2"/>
        </w:tc>
        <w:tc>
          <w:tcPr>
            <w:tcW w:w="968" w:type="dxa"/>
          </w:tcPr>
          <w:p w14:paraId="5743C048" w14:textId="77777777" w:rsidR="00045126" w:rsidRPr="00933EA2" w:rsidRDefault="00045126" w:rsidP="00933EA2"/>
        </w:tc>
        <w:tc>
          <w:tcPr>
            <w:tcW w:w="1487" w:type="dxa"/>
          </w:tcPr>
          <w:p w14:paraId="5D3473E1" w14:textId="77777777" w:rsidR="00045126" w:rsidRPr="00933EA2" w:rsidRDefault="00045126" w:rsidP="00933EA2"/>
        </w:tc>
      </w:tr>
      <w:tr w:rsidR="00045126" w:rsidRPr="00933EA2" w14:paraId="4B4D343E" w14:textId="77777777" w:rsidTr="00B86A8C">
        <w:trPr>
          <w:cantSplit/>
          <w:trHeight w:hRule="exact" w:val="227"/>
        </w:trPr>
        <w:tc>
          <w:tcPr>
            <w:tcW w:w="1527" w:type="dxa"/>
          </w:tcPr>
          <w:p w14:paraId="1A5B03E9" w14:textId="77777777" w:rsidR="00045126" w:rsidRPr="00933EA2" w:rsidRDefault="00045126" w:rsidP="00933EA2"/>
        </w:tc>
        <w:tc>
          <w:tcPr>
            <w:tcW w:w="968" w:type="dxa"/>
          </w:tcPr>
          <w:p w14:paraId="30B1D291" w14:textId="77777777" w:rsidR="00045126" w:rsidRPr="00933EA2" w:rsidRDefault="00045126" w:rsidP="00933EA2"/>
        </w:tc>
        <w:tc>
          <w:tcPr>
            <w:tcW w:w="1487" w:type="dxa"/>
          </w:tcPr>
          <w:p w14:paraId="30E7E51C" w14:textId="77777777" w:rsidR="00045126" w:rsidRPr="00933EA2" w:rsidRDefault="00045126" w:rsidP="00933EA2"/>
        </w:tc>
      </w:tr>
    </w:tbl>
    <w:p w14:paraId="6BDA1CE4" w14:textId="77777777" w:rsidR="00045126" w:rsidRPr="00933EA2" w:rsidRDefault="00045126" w:rsidP="00933EA2">
      <w:pPr>
        <w:pStyle w:val="SNNature"/>
        <w:keepNext/>
        <w:keepLines/>
        <w:widowControl/>
      </w:pPr>
      <w:r>
        <w:t xml:space="preserve">Návrh dekretu o způsobech regulace prováděné Národním úřadem pro hazardní hry </w:t>
      </w:r>
    </w:p>
    <w:p w14:paraId="29934606" w14:textId="77777777" w:rsidR="00045126" w:rsidRPr="00933EA2" w:rsidRDefault="00045126" w:rsidP="00933EA2">
      <w:pPr>
        <w:pStyle w:val="SNNORCentr"/>
        <w:keepNext/>
        <w:keepLines/>
      </w:pPr>
      <w:r>
        <w:t>NOR: CPAB1930945D</w:t>
      </w:r>
    </w:p>
    <w:p w14:paraId="11F21CF0" w14:textId="4B47273D" w:rsidR="00045126" w:rsidRPr="00933EA2" w:rsidRDefault="00045126" w:rsidP="00933EA2">
      <w:pPr>
        <w:pStyle w:val="SNAutorit"/>
        <w:keepNext/>
        <w:keepLines/>
        <w:jc w:val="both"/>
        <w:rPr>
          <w:b w:val="0"/>
          <w:i/>
        </w:rPr>
      </w:pPr>
      <w:r>
        <w:rPr>
          <w:i/>
        </w:rPr>
        <w:t xml:space="preserve">Dotčené subjekty: </w:t>
      </w:r>
      <w:r>
        <w:rPr>
          <w:b w:val="0"/>
          <w:i/>
        </w:rPr>
        <w:t xml:space="preserve">Národní úřad pro hazardní hry (ANJ), provozovatelé hazardních her nebo sázek on-line, společnost La </w:t>
      </w:r>
      <w:proofErr w:type="spellStart"/>
      <w:r>
        <w:rPr>
          <w:b w:val="0"/>
          <w:i/>
        </w:rPr>
        <w:t>Française</w:t>
      </w:r>
      <w:proofErr w:type="spellEnd"/>
      <w:r>
        <w:rPr>
          <w:b w:val="0"/>
          <w:i/>
        </w:rPr>
        <w:t xml:space="preserve"> des </w:t>
      </w:r>
      <w:proofErr w:type="spellStart"/>
      <w:r>
        <w:rPr>
          <w:b w:val="0"/>
          <w:i/>
        </w:rPr>
        <w:t>jeux</w:t>
      </w:r>
      <w:proofErr w:type="spellEnd"/>
      <w:r>
        <w:rPr>
          <w:b w:val="0"/>
          <w:i/>
        </w:rPr>
        <w:t xml:space="preserve">. </w:t>
      </w:r>
    </w:p>
    <w:p w14:paraId="104CE4FA" w14:textId="714CD7D5" w:rsidR="00045126" w:rsidRPr="00933EA2" w:rsidRDefault="00045126" w:rsidP="00933EA2">
      <w:pPr>
        <w:pStyle w:val="SNAutorit"/>
        <w:spacing w:before="120"/>
        <w:jc w:val="both"/>
        <w:rPr>
          <w:b w:val="0"/>
          <w:i/>
        </w:rPr>
      </w:pPr>
      <w:r>
        <w:rPr>
          <w:i/>
        </w:rPr>
        <w:t xml:space="preserve">Předmět: </w:t>
      </w:r>
      <w:r>
        <w:rPr>
          <w:b w:val="0"/>
          <w:i/>
        </w:rPr>
        <w:t>způsoby regulace prováděné Národním úřadem pro hazardní hry</w:t>
      </w:r>
    </w:p>
    <w:p w14:paraId="70F910BA" w14:textId="3E2436C7" w:rsidR="00045126" w:rsidRPr="00933EA2" w:rsidRDefault="00045126" w:rsidP="00933EA2">
      <w:pPr>
        <w:pStyle w:val="SNAutorit"/>
        <w:spacing w:before="120"/>
        <w:jc w:val="both"/>
        <w:rPr>
          <w:b w:val="0"/>
          <w:i/>
        </w:rPr>
      </w:pPr>
      <w:r>
        <w:rPr>
          <w:i/>
        </w:rPr>
        <w:t xml:space="preserve">Vstup v platnost: </w:t>
      </w:r>
      <w:r>
        <w:rPr>
          <w:b w:val="0"/>
          <w:i/>
        </w:rPr>
        <w:t>15. března 2020, s výjimkou článků 45 a 46, které vstupují v platnost s prvním zasedáním kolegia Národního úřadu pro hazardní hry, a článků D. 320-10 a D. 320-12 zákoníku vnitřní bezpečnosti ve znění vyplývajícím z tohoto dekretu, které vstupují v platnost dne 1. dubna 2020.</w:t>
      </w:r>
    </w:p>
    <w:p w14:paraId="1E039B78" w14:textId="1C4A8FD9" w:rsidR="00045126" w:rsidRPr="00933EA2" w:rsidRDefault="00045126" w:rsidP="00933EA2">
      <w:pPr>
        <w:pStyle w:val="SNAutorit"/>
        <w:spacing w:before="120"/>
        <w:jc w:val="both"/>
        <w:rPr>
          <w:b w:val="0"/>
          <w:i/>
        </w:rPr>
      </w:pPr>
      <w:r>
        <w:rPr>
          <w:i/>
        </w:rPr>
        <w:t xml:space="preserve">Poznámka: </w:t>
      </w:r>
      <w:r>
        <w:rPr>
          <w:b w:val="0"/>
          <w:i/>
        </w:rPr>
        <w:t>Článek 137 zákona č. 2019-486 ze dne 22. května 2019 o růstu a přeměně podniků zmocňuje vládu k tomu, aby přijímala formou nařízení opatření, kterými se provádí reforma regulace odvětví hazardních her. Do rozsahu tohoto zmocnění spadají rovněž způsoby regulace odvětví hazardních her, zejména ustanovení, která se vztahují na úřad uvedený v článku 34 zákona č. 2010-476 ze dne 12. května 2010 o umožnění konkurence v odvětví hazardních her on-line a jeho regulaci s cílem zřídit nezávislý správní úřad pro dohled a regulaci, který bude skýtat záruky nezávislosti odpovídající jeho poslání. Účelem tohoto dekretu je upřesnit způsoby regulace ze strany Národního úřadu pro hazardní hry.</w:t>
      </w:r>
    </w:p>
    <w:p w14:paraId="0B7013A7" w14:textId="77777777" w:rsidR="0084714D" w:rsidRPr="00933EA2" w:rsidRDefault="00045126" w:rsidP="00933EA2">
      <w:pPr>
        <w:pStyle w:val="SNAutorit"/>
        <w:spacing w:before="120"/>
        <w:jc w:val="both"/>
        <w:rPr>
          <w:b w:val="0"/>
          <w:i/>
        </w:rPr>
      </w:pPr>
      <w:r>
        <w:rPr>
          <w:i/>
        </w:rPr>
        <w:t xml:space="preserve">Odkazy: </w:t>
      </w:r>
      <w:r>
        <w:rPr>
          <w:b w:val="0"/>
          <w:i/>
        </w:rPr>
        <w:t xml:space="preserve">tento dekret a zákoník vnitřní bezpečnosti, který tento dekret pozměňuje, ve znění vyplývajícím z této změny, jsou k dispozici k nahlédnutí na internetových stránkách </w:t>
      </w:r>
      <w:proofErr w:type="spellStart"/>
      <w:r>
        <w:rPr>
          <w:b w:val="0"/>
          <w:i/>
        </w:rPr>
        <w:t>Légifrance</w:t>
      </w:r>
      <w:proofErr w:type="spellEnd"/>
      <w:r>
        <w:rPr>
          <w:b w:val="0"/>
          <w:i/>
        </w:rPr>
        <w:t xml:space="preserve"> (</w:t>
      </w:r>
      <w:hyperlink r:id="rId5" w:history="1">
        <w:r>
          <w:rPr>
            <w:rStyle w:val="Hyperlink"/>
            <w:b w:val="0"/>
            <w:i/>
          </w:rPr>
          <w:t>http://www.legifrance.gouv.fr</w:t>
        </w:r>
      </w:hyperlink>
      <w:r>
        <w:rPr>
          <w:b w:val="0"/>
          <w:i/>
        </w:rPr>
        <w:t>).</w:t>
      </w:r>
    </w:p>
    <w:p w14:paraId="65AEA4F7" w14:textId="77777777" w:rsidR="00045126" w:rsidRPr="00933EA2" w:rsidRDefault="0084714D" w:rsidP="00933EA2">
      <w:pPr>
        <w:pStyle w:val="SNAutorit"/>
        <w:spacing w:before="120"/>
        <w:jc w:val="both"/>
        <w:rPr>
          <w:b w:val="0"/>
          <w:i/>
        </w:rPr>
      </w:pPr>
      <w:r>
        <w:t>Ministerský předseda,</w:t>
      </w:r>
    </w:p>
    <w:p w14:paraId="77FB7384" w14:textId="77777777" w:rsidR="00045126" w:rsidRPr="00933EA2" w:rsidRDefault="00045126" w:rsidP="00933EA2">
      <w:pPr>
        <w:pStyle w:val="SNRapport"/>
      </w:pPr>
      <w:r>
        <w:t>na základě zprávy ministra zdravotnictví a hospodářství a ministra pro akci a veřejné účty a ministra sportu,</w:t>
      </w:r>
    </w:p>
    <w:p w14:paraId="048B7C5A" w14:textId="283A761A" w:rsidR="0084714D" w:rsidRPr="00933EA2" w:rsidRDefault="0084714D" w:rsidP="00933EA2">
      <w:pPr>
        <w:pStyle w:val="SNRapport"/>
      </w:pPr>
      <w:r>
        <w:t>s ohledem na směrnici Evropského parlamentu a Rady (EU) 2015/1535 ze dne 9. září 2015 o postupu při poskytování informací v oblasti technických předpisů a předpisů pro služby informační společnosti,</w:t>
      </w:r>
    </w:p>
    <w:p w14:paraId="762E43A9" w14:textId="30280945" w:rsidR="0084714D" w:rsidRPr="00933EA2" w:rsidRDefault="0084714D" w:rsidP="00933EA2">
      <w:pPr>
        <w:pStyle w:val="SNRapport"/>
      </w:pPr>
      <w:r>
        <w:t>s ohledem na občanský zákoník, a zejména na článek 1 tohoto zákoníku,</w:t>
      </w:r>
    </w:p>
    <w:p w14:paraId="67E6A8B9" w14:textId="763AF4B2" w:rsidR="00045126" w:rsidRPr="00933EA2" w:rsidRDefault="00045126" w:rsidP="00933EA2">
      <w:pPr>
        <w:pStyle w:val="SNRapport"/>
      </w:pPr>
      <w:r>
        <w:t>s ohledem na peněžní a finanční zákoník,</w:t>
      </w:r>
    </w:p>
    <w:p w14:paraId="16E3A4A4" w14:textId="40CCBA92" w:rsidR="00045126" w:rsidRPr="00933EA2" w:rsidRDefault="00045126" w:rsidP="00933EA2">
      <w:pPr>
        <w:pStyle w:val="SNRapport"/>
      </w:pPr>
      <w:r>
        <w:t>s ohledem na zákoník vnitřní bezpečnosti, a zejména na hlavu II a hlavu IV knihy III tohoto zákoníku,</w:t>
      </w:r>
    </w:p>
    <w:p w14:paraId="362FDC7A" w14:textId="6A0DCA31" w:rsidR="00D13FBA" w:rsidRPr="00933EA2" w:rsidRDefault="00D13FBA" w:rsidP="00933EA2">
      <w:pPr>
        <w:pStyle w:val="SNRapport"/>
      </w:pPr>
      <w:r>
        <w:lastRenderedPageBreak/>
        <w:t>s ohledem na sportovní zákoník,</w:t>
      </w:r>
    </w:p>
    <w:p w14:paraId="652A174C" w14:textId="77777777" w:rsidR="00045126" w:rsidRPr="00933EA2" w:rsidRDefault="00045126" w:rsidP="00933EA2">
      <w:pPr>
        <w:pStyle w:val="SNRapport"/>
      </w:pPr>
      <w:r>
        <w:t>s ohledem na zákon č. 2010-476 ze dne 12. května 2010 o umožnění hospodářské soutěže v odvětví hazardních her on-line a o regulaci tohoto odvětví, ve znění pozdějších předpisů,</w:t>
      </w:r>
    </w:p>
    <w:p w14:paraId="1ACCBCCB" w14:textId="77777777" w:rsidR="00142531" w:rsidRPr="00933EA2" w:rsidRDefault="00045126" w:rsidP="00933EA2">
      <w:pPr>
        <w:pStyle w:val="SNRapport"/>
      </w:pPr>
      <w:r>
        <w:t>s ohledem zákon č. 2019-486 ze dne 22. května 2019 o růstu a přeměně podniků, a zejména na článek 137 tohoto zákona,</w:t>
      </w:r>
    </w:p>
    <w:p w14:paraId="3B7366BA" w14:textId="1F3FEC7F" w:rsidR="00045126" w:rsidRPr="00933EA2" w:rsidRDefault="00045126" w:rsidP="00933EA2">
      <w:pPr>
        <w:pStyle w:val="SNRapport"/>
      </w:pPr>
      <w:r>
        <w:t>s ohledem na nařízení č. 2019-1015 ze dne 2. října 2019 o reformě regulace hazardních her,</w:t>
      </w:r>
    </w:p>
    <w:p w14:paraId="5538C323" w14:textId="77777777" w:rsidR="001A3887" w:rsidRPr="00933EA2" w:rsidRDefault="001A3887" w:rsidP="00933EA2">
      <w:pPr>
        <w:pStyle w:val="SNRapport"/>
      </w:pPr>
      <w:r>
        <w:rPr>
          <w:highlight w:val="yellow"/>
        </w:rPr>
        <w:t xml:space="preserve">s ohledem na dekret č. ze dne XX XXXX </w:t>
      </w:r>
      <w:proofErr w:type="spellStart"/>
      <w:r>
        <w:rPr>
          <w:highlight w:val="yellow"/>
        </w:rPr>
        <w:t>XXXX</w:t>
      </w:r>
      <w:proofErr w:type="spellEnd"/>
      <w:r>
        <w:rPr>
          <w:highlight w:val="yellow"/>
        </w:rPr>
        <w:t xml:space="preserve"> o podmínkách zpřístupňování nabídky her a údajů o hrách (CPAB1926918D),</w:t>
      </w:r>
    </w:p>
    <w:p w14:paraId="7DA3002F" w14:textId="7A04B1C4" w:rsidR="00142531" w:rsidRPr="00933EA2" w:rsidRDefault="00BC35EB" w:rsidP="00933EA2">
      <w:pPr>
        <w:pStyle w:val="SNRapport"/>
      </w:pPr>
      <w:r>
        <w:t xml:space="preserve">s ohledem na dekret č. 2019–1060 ze dne 17. října 2019 o způsobech uplatňování důkladné státní kontroly společnosti La </w:t>
      </w:r>
      <w:proofErr w:type="spellStart"/>
      <w:r>
        <w:t>Française</w:t>
      </w:r>
      <w:proofErr w:type="spellEnd"/>
      <w:r>
        <w:t xml:space="preserve"> des </w:t>
      </w:r>
      <w:proofErr w:type="spellStart"/>
      <w:r>
        <w:t>jeux</w:t>
      </w:r>
      <w:proofErr w:type="spellEnd"/>
      <w:r>
        <w:t>,</w:t>
      </w:r>
    </w:p>
    <w:p w14:paraId="714B0F8B" w14:textId="1364CCA8" w:rsidR="00142531" w:rsidRPr="00933EA2" w:rsidRDefault="00142531" w:rsidP="00933EA2">
      <w:pPr>
        <w:pStyle w:val="SNRapport"/>
      </w:pPr>
      <w:r>
        <w:t xml:space="preserve">s ohledem na dekret č. 2019-1061 ze dne 17. října 2019 o nabídce her společnosti La </w:t>
      </w:r>
      <w:proofErr w:type="spellStart"/>
      <w:r>
        <w:t>Française</w:t>
      </w:r>
      <w:proofErr w:type="spellEnd"/>
      <w:r>
        <w:t xml:space="preserve"> des </w:t>
      </w:r>
      <w:proofErr w:type="spellStart"/>
      <w:r>
        <w:t>jeux</w:t>
      </w:r>
      <w:proofErr w:type="spellEnd"/>
      <w:r>
        <w:t xml:space="preserve"> a hospodářského zájmového sdružení „Pari </w:t>
      </w:r>
      <w:proofErr w:type="spellStart"/>
      <w:r>
        <w:t>mutuel</w:t>
      </w:r>
      <w:proofErr w:type="spellEnd"/>
      <w:r>
        <w:t xml:space="preserve"> </w:t>
      </w:r>
      <w:proofErr w:type="spellStart"/>
      <w:r>
        <w:t>urbain</w:t>
      </w:r>
      <w:proofErr w:type="spellEnd"/>
      <w:r>
        <w:t>“,</w:t>
      </w:r>
    </w:p>
    <w:p w14:paraId="0BBA6677" w14:textId="77777777" w:rsidR="00045126" w:rsidRPr="00933EA2" w:rsidRDefault="00045126" w:rsidP="00933EA2">
      <w:pPr>
        <w:pStyle w:val="SNActe"/>
        <w:keepNext/>
        <w:keepLines/>
      </w:pPr>
      <w:r>
        <w:t>stanoví následující:</w:t>
      </w:r>
    </w:p>
    <w:p w14:paraId="08F9A76B" w14:textId="71C8A30A" w:rsidR="007E61D1" w:rsidRPr="00933EA2" w:rsidRDefault="00DD75EA" w:rsidP="00933EA2">
      <w:pPr>
        <w:pStyle w:val="SNArticle"/>
        <w:keepNext/>
        <w:keepLines/>
      </w:pPr>
      <w:r>
        <w:t>HLAVA I: ZPŮSOBY KONTROLY A UPLATŇOVÁNÍ POVINNOSTÍ PROVOZOVATELŮ HER NEBO SÁZEK</w:t>
      </w:r>
    </w:p>
    <w:p w14:paraId="6C987295" w14:textId="77777777" w:rsidR="007E61D1" w:rsidRPr="00933EA2" w:rsidRDefault="007E61D1" w:rsidP="00933EA2">
      <w:pPr>
        <w:keepNext/>
        <w:keepLines/>
        <w:jc w:val="center"/>
        <w:rPr>
          <w:b/>
        </w:rPr>
      </w:pPr>
      <w:r>
        <w:rPr>
          <w:b/>
        </w:rPr>
        <w:t>Článek 1</w:t>
      </w:r>
    </w:p>
    <w:p w14:paraId="6C33AEB4" w14:textId="77777777" w:rsidR="00813F86" w:rsidRPr="00933EA2" w:rsidRDefault="00813F86" w:rsidP="00933EA2">
      <w:pPr>
        <w:keepNext/>
        <w:keepLines/>
        <w:jc w:val="both"/>
      </w:pPr>
    </w:p>
    <w:p w14:paraId="5B20680E" w14:textId="0AB15F64" w:rsidR="00794988" w:rsidRPr="00933EA2" w:rsidRDefault="00794988" w:rsidP="00933EA2">
      <w:pPr>
        <w:jc w:val="both"/>
      </w:pPr>
      <w:r>
        <w:t xml:space="preserve">Za účelem použití ustanovení druhého pododstavce hlavy IX článku 34 výše uvedeného zákona ze dne 12. května 2010 je společnost, která provozuje kasino nebo herní klub a patří do skupiny společností provozujících kasina nebo kluby, oprávněna podat Národnímu úřadu pro hazardní hry ke schválení plán opatření, který je společný pro všechny společnosti v dané skupině. Seznam společností patřících do této skupiny se musí uvádět v uvedeném plánu opatření. </w:t>
      </w:r>
    </w:p>
    <w:p w14:paraId="0C8DEB8A" w14:textId="77777777" w:rsidR="00794988" w:rsidRPr="00933EA2" w:rsidRDefault="00794988" w:rsidP="00933EA2">
      <w:pPr>
        <w:jc w:val="both"/>
        <w:rPr>
          <w:rFonts w:asciiTheme="minorHAnsi" w:eastAsiaTheme="minorHAnsi" w:hAnsiTheme="minorHAnsi" w:cstheme="minorBidi"/>
          <w:sz w:val="20"/>
          <w:szCs w:val="20"/>
          <w:lang w:eastAsia="en-US"/>
        </w:rPr>
      </w:pPr>
    </w:p>
    <w:p w14:paraId="38A16952" w14:textId="77777777" w:rsidR="00794988" w:rsidRPr="00933EA2" w:rsidRDefault="00794988" w:rsidP="00933EA2">
      <w:pPr>
        <w:jc w:val="both"/>
      </w:pPr>
      <w:r>
        <w:t xml:space="preserve">Za účelem použití ustanovení druhého pododstavce hlavy IX článku 34 výše uvedeného zákona ze dne 12. května 2010 je společnost, která provozuje dvě nebo více kasin nebo nejméně dva herní kluby, oprávněna podat Národnímu úřadu pro hazardní hry ke schválení společný plán opatření platný v těchto kasinech a klubech. Seznam těchto kasin a klubů se musí uvádět v uvedeném plánu opatření. </w:t>
      </w:r>
    </w:p>
    <w:p w14:paraId="23525345" w14:textId="77777777" w:rsidR="00794988" w:rsidRPr="00933EA2" w:rsidRDefault="00794988" w:rsidP="00933EA2">
      <w:pPr>
        <w:jc w:val="both"/>
      </w:pPr>
    </w:p>
    <w:p w14:paraId="4C768112" w14:textId="285147CC" w:rsidR="007E61D1" w:rsidRPr="00933EA2" w:rsidRDefault="00794988" w:rsidP="00933EA2">
      <w:pPr>
        <w:jc w:val="both"/>
      </w:pPr>
      <w:r>
        <w:t>Je-li využita možnost podle pododstavců 1 a 2, Národní úřad pro hazardní hry může před rozhodnutím o podané žádosti o schválení požádat o dodání případných doplňujících dokumentů nebo informací.</w:t>
      </w:r>
    </w:p>
    <w:p w14:paraId="513C2CC2" w14:textId="77777777" w:rsidR="00794988" w:rsidRPr="00933EA2" w:rsidRDefault="00794988" w:rsidP="00933EA2">
      <w:pPr>
        <w:jc w:val="both"/>
      </w:pPr>
    </w:p>
    <w:p w14:paraId="79427271" w14:textId="77777777" w:rsidR="007E61D1" w:rsidRPr="00933EA2" w:rsidRDefault="007E61D1" w:rsidP="00933EA2">
      <w:pPr>
        <w:keepNext/>
        <w:keepLines/>
        <w:jc w:val="center"/>
        <w:rPr>
          <w:b/>
        </w:rPr>
      </w:pPr>
      <w:r>
        <w:rPr>
          <w:b/>
        </w:rPr>
        <w:t>Článek 2</w:t>
      </w:r>
    </w:p>
    <w:p w14:paraId="052D5044" w14:textId="77777777" w:rsidR="007E61D1" w:rsidRPr="00933EA2" w:rsidRDefault="007E61D1" w:rsidP="00933EA2">
      <w:pPr>
        <w:keepNext/>
        <w:keepLines/>
        <w:jc w:val="both"/>
        <w:rPr>
          <w:b/>
        </w:rPr>
      </w:pPr>
    </w:p>
    <w:p w14:paraId="366CF3E1" w14:textId="7CB58820" w:rsidR="007E61D1" w:rsidRPr="00933EA2" w:rsidRDefault="007E61D1" w:rsidP="00933EA2">
      <w:pPr>
        <w:jc w:val="both"/>
      </w:pPr>
      <w:r>
        <w:t xml:space="preserve">Pokud jde o dostihová závodiště, může být plán opatření uvedený ve druhém pododstavci bodu IX článku 34 výše uvedeného zákona ze dne 12. května 2010 společný pro několik dostihových společností provozujících tato dostihová závodiště za předpokladu, že jej zavedou všechny z nich. Seznam dotčených dostihových společností a dostihových závodišť musí být součástí plánu opatření. Národní úřad pro hazardní hry může požádat kteroukoli dostihovou společnost, aby dodala případné doplňující dokumenty, které úřadu umožní posoudit její plán opatření s cílem </w:t>
      </w:r>
      <w:r>
        <w:lastRenderedPageBreak/>
        <w:t>zabránit nadměrnému hraní hazardních her a jejich hraní nezletilými a podpořit přiměřené chování hráčů a posoudit provedení tohoto plánu za předchozí rok.</w:t>
      </w:r>
    </w:p>
    <w:p w14:paraId="0CD4DAE7" w14:textId="77777777" w:rsidR="007E61D1" w:rsidRPr="00933EA2" w:rsidRDefault="007E61D1" w:rsidP="00933EA2">
      <w:pPr>
        <w:jc w:val="both"/>
      </w:pPr>
    </w:p>
    <w:p w14:paraId="5CDE936D" w14:textId="77777777" w:rsidR="007E61D1" w:rsidRPr="00933EA2" w:rsidRDefault="007E61D1" w:rsidP="00933EA2">
      <w:pPr>
        <w:keepNext/>
        <w:keepLines/>
        <w:jc w:val="center"/>
        <w:rPr>
          <w:b/>
        </w:rPr>
      </w:pPr>
      <w:r>
        <w:rPr>
          <w:b/>
        </w:rPr>
        <w:t>Článek 3</w:t>
      </w:r>
    </w:p>
    <w:p w14:paraId="61CAAFB0" w14:textId="77777777" w:rsidR="007E61D1" w:rsidRPr="00933EA2" w:rsidRDefault="007E61D1" w:rsidP="00933EA2">
      <w:pPr>
        <w:keepNext/>
        <w:keepLines/>
        <w:jc w:val="both"/>
        <w:rPr>
          <w:b/>
        </w:rPr>
      </w:pPr>
    </w:p>
    <w:p w14:paraId="37C2CCC7" w14:textId="77777777" w:rsidR="007E61D1" w:rsidRPr="00933EA2" w:rsidRDefault="007E61D1" w:rsidP="00933EA2">
      <w:pPr>
        <w:jc w:val="both"/>
      </w:pPr>
      <w:r>
        <w:t>V případě dostihových závodišť mohou být dostihové společnosti v jednotlivých případech vyňaty z povinnosti klasifikace rizik podle článku L.561-4-1 peněžního a finančního zákoníku a povinnosti provádění postupů vnitřní kontroly podle článku L 561-32 téhož zákoníku ve prospěch společného provedení na úrovni Národní dostihové federace, která podává zprávy Národnímu úřadu pro hazardní hry prostřednictvím poskytování seznamu dotčených dostihových společností a dostihových závodišť. Pokud existují zvláštní rizika, zejména s ohledem na rozsah nabídky sázek a výši vkladů, je nutné tyto postupy odpovídajícím způsobem upravit. Národní úřad pro hazardní hry je zmocněn požádat kteroukoli z dostihových společností, aby případně dodala doplňující dokumenty, které úřadu umožní posoudit opatření, která tato společnost učinila v boji proti praní peněz a financování terorismu.</w:t>
      </w:r>
    </w:p>
    <w:p w14:paraId="4736BFF7" w14:textId="77777777" w:rsidR="007E61D1" w:rsidRPr="00933EA2" w:rsidRDefault="007E61D1" w:rsidP="00933EA2">
      <w:pPr>
        <w:jc w:val="both"/>
      </w:pPr>
    </w:p>
    <w:p w14:paraId="1A6F401F" w14:textId="77777777" w:rsidR="007E61D1" w:rsidRPr="00933EA2" w:rsidRDefault="007E61D1" w:rsidP="00933EA2">
      <w:pPr>
        <w:keepNext/>
        <w:keepLines/>
        <w:jc w:val="center"/>
        <w:rPr>
          <w:b/>
        </w:rPr>
      </w:pPr>
      <w:r>
        <w:rPr>
          <w:b/>
        </w:rPr>
        <w:t>Článek 4</w:t>
      </w:r>
    </w:p>
    <w:p w14:paraId="38FBB37D" w14:textId="77777777" w:rsidR="007E61D1" w:rsidRPr="00933EA2" w:rsidRDefault="007E61D1" w:rsidP="00933EA2">
      <w:pPr>
        <w:keepNext/>
        <w:keepLines/>
        <w:jc w:val="both"/>
        <w:rPr>
          <w:b/>
        </w:rPr>
      </w:pPr>
    </w:p>
    <w:p w14:paraId="2B218E2A" w14:textId="7DA8E983" w:rsidR="007E61D1" w:rsidRPr="00933EA2" w:rsidRDefault="007E61D1" w:rsidP="00933EA2">
      <w:pPr>
        <w:jc w:val="both"/>
      </w:pPr>
      <w:r>
        <w:t>U dostihových závodišť lze kontrolu provádět na základě společné dokumentace všech dostihových společností, které používají stejného poskytovatele služeb pro dodávku a údržbu svých informačních systémů, nebo prostřednictvím auditů informačních systémů téhož poskytovatele služeb. Národní úřad pro hazardní hry je oprávněn požádat kteroukoli dostihovou společnost o zaslání případných doplňujících dokumentů.</w:t>
      </w:r>
    </w:p>
    <w:p w14:paraId="4157AD3C" w14:textId="77777777" w:rsidR="007E61D1" w:rsidRPr="00933EA2" w:rsidRDefault="007E61D1" w:rsidP="00933EA2">
      <w:pPr>
        <w:jc w:val="both"/>
      </w:pPr>
    </w:p>
    <w:p w14:paraId="5B9DB7AE" w14:textId="77777777" w:rsidR="007E61D1" w:rsidRPr="00933EA2" w:rsidRDefault="007E61D1" w:rsidP="00933EA2">
      <w:pPr>
        <w:keepNext/>
        <w:keepLines/>
        <w:jc w:val="center"/>
        <w:rPr>
          <w:b/>
        </w:rPr>
      </w:pPr>
      <w:r>
        <w:rPr>
          <w:b/>
        </w:rPr>
        <w:t>Článek 5</w:t>
      </w:r>
    </w:p>
    <w:p w14:paraId="4C9C62BB" w14:textId="77777777" w:rsidR="007E61D1" w:rsidRPr="00933EA2" w:rsidRDefault="007E61D1" w:rsidP="00933EA2">
      <w:pPr>
        <w:keepNext/>
        <w:keepLines/>
        <w:jc w:val="both"/>
        <w:rPr>
          <w:b/>
        </w:rPr>
      </w:pPr>
    </w:p>
    <w:p w14:paraId="26847594" w14:textId="77777777" w:rsidR="007E61D1" w:rsidRPr="00933EA2" w:rsidRDefault="007E61D1" w:rsidP="00933EA2">
      <w:pPr>
        <w:jc w:val="both"/>
      </w:pPr>
      <w:r>
        <w:t xml:space="preserve">Do března každého roku předloží provozovatelé, kteří jsou nositeli výhradních práv, Národnímu úřadu pro hazardní hry podrobnou zprávu uvádějící za předchozí rok skutečnou výši rozpočtu odpovídající alespoň 0,002 % vkladů, financované výzkumné projekty doplněné o ověření subjektu určeného výše uvedeným dekretem XX XXXX </w:t>
      </w:r>
      <w:proofErr w:type="spellStart"/>
      <w:r>
        <w:t>XXXX</w:t>
      </w:r>
      <w:proofErr w:type="spellEnd"/>
      <w:r>
        <w:t xml:space="preserve"> (CPAB1926918D) a částky vyplaceného příspěvku v souladu s ustanoveními článku 3 výše uvedeného zákona ze dne 12. května 2010. </w:t>
      </w:r>
    </w:p>
    <w:p w14:paraId="429F79D8" w14:textId="77777777" w:rsidR="007E61D1" w:rsidRPr="00933EA2" w:rsidRDefault="007E61D1" w:rsidP="00933EA2">
      <w:pPr>
        <w:jc w:val="both"/>
      </w:pPr>
    </w:p>
    <w:p w14:paraId="7B122D74" w14:textId="2935AC69" w:rsidR="007E61D1" w:rsidRPr="00933EA2" w:rsidRDefault="00DD75EA" w:rsidP="00933EA2">
      <w:pPr>
        <w:keepNext/>
        <w:keepLines/>
        <w:jc w:val="both"/>
      </w:pPr>
      <w:r>
        <w:rPr>
          <w:b/>
        </w:rPr>
        <w:t>HLAVA II: ZPŮSOBY A PODMÍNKY SCHVÁLENÍ PROPAGAČNÍCH STRATEGIÍ PROVOZOVATELŮ HER NEBO SÁZEK</w:t>
      </w:r>
    </w:p>
    <w:p w14:paraId="0366C11E" w14:textId="77777777" w:rsidR="007E61D1" w:rsidRPr="00933EA2" w:rsidRDefault="007E61D1" w:rsidP="00933EA2">
      <w:pPr>
        <w:keepNext/>
        <w:keepLines/>
        <w:jc w:val="both"/>
      </w:pPr>
    </w:p>
    <w:p w14:paraId="180B46AF" w14:textId="77777777" w:rsidR="007E61D1" w:rsidRPr="00933EA2" w:rsidRDefault="007E61D1" w:rsidP="00933EA2">
      <w:pPr>
        <w:keepNext/>
        <w:keepLines/>
        <w:tabs>
          <w:tab w:val="left" w:pos="225"/>
        </w:tabs>
        <w:jc w:val="center"/>
        <w:rPr>
          <w:b/>
          <w:bCs/>
        </w:rPr>
      </w:pPr>
      <w:r>
        <w:rPr>
          <w:b/>
          <w:bCs/>
        </w:rPr>
        <w:t>Článek 6</w:t>
      </w:r>
    </w:p>
    <w:p w14:paraId="03A3768D" w14:textId="77777777" w:rsidR="007E61D1" w:rsidRPr="00933EA2" w:rsidRDefault="007E61D1" w:rsidP="00933EA2">
      <w:pPr>
        <w:keepNext/>
        <w:keepLines/>
        <w:tabs>
          <w:tab w:val="left" w:pos="225"/>
        </w:tabs>
        <w:jc w:val="both"/>
        <w:rPr>
          <w:bCs/>
        </w:rPr>
      </w:pPr>
    </w:p>
    <w:p w14:paraId="3107C3EF" w14:textId="77777777" w:rsidR="007E61D1" w:rsidRPr="00933EA2" w:rsidRDefault="007E61D1" w:rsidP="00933EA2">
      <w:pPr>
        <w:keepNext/>
        <w:keepLines/>
        <w:tabs>
          <w:tab w:val="left" w:pos="225"/>
        </w:tabs>
        <w:jc w:val="both"/>
        <w:rPr>
          <w:bCs/>
        </w:rPr>
      </w:pPr>
      <w:r>
        <w:t xml:space="preserve">Do 30. října každého roku jsou provozovatelé, kteří jsou nositeli výhradních práv, a provozovatelé her nebo sázek on-line povinni předložit na jakémkoli nosiči ke schválení Národnímu úřadu pro hazardní hry svou propagační strategii. </w:t>
      </w:r>
    </w:p>
    <w:p w14:paraId="11F470F5" w14:textId="77777777" w:rsidR="007E61D1" w:rsidRPr="00933EA2" w:rsidRDefault="007E61D1" w:rsidP="00933EA2">
      <w:pPr>
        <w:tabs>
          <w:tab w:val="left" w:pos="225"/>
        </w:tabs>
        <w:jc w:val="both"/>
        <w:rPr>
          <w:bCs/>
        </w:rPr>
      </w:pPr>
    </w:p>
    <w:p w14:paraId="699E2544" w14:textId="77777777" w:rsidR="007E61D1" w:rsidRPr="00933EA2" w:rsidRDefault="007E61D1" w:rsidP="00933EA2">
      <w:pPr>
        <w:keepNext/>
        <w:keepLines/>
        <w:tabs>
          <w:tab w:val="left" w:pos="225"/>
        </w:tabs>
        <w:jc w:val="center"/>
        <w:rPr>
          <w:b/>
          <w:bCs/>
        </w:rPr>
      </w:pPr>
      <w:r>
        <w:rPr>
          <w:b/>
          <w:bCs/>
        </w:rPr>
        <w:t>Článek 7</w:t>
      </w:r>
    </w:p>
    <w:p w14:paraId="73089FBB" w14:textId="77777777" w:rsidR="007E61D1" w:rsidRPr="00933EA2" w:rsidRDefault="007E61D1" w:rsidP="00933EA2">
      <w:pPr>
        <w:keepNext/>
        <w:keepLines/>
        <w:tabs>
          <w:tab w:val="left" w:pos="225"/>
        </w:tabs>
        <w:jc w:val="both"/>
        <w:rPr>
          <w:bCs/>
        </w:rPr>
      </w:pPr>
    </w:p>
    <w:p w14:paraId="2CE4B6B4" w14:textId="77777777" w:rsidR="007E61D1" w:rsidRPr="00933EA2" w:rsidRDefault="007E61D1" w:rsidP="00933EA2">
      <w:pPr>
        <w:tabs>
          <w:tab w:val="left" w:pos="225"/>
        </w:tabs>
        <w:jc w:val="both"/>
        <w:rPr>
          <w:bCs/>
        </w:rPr>
      </w:pPr>
      <w:r>
        <w:t xml:space="preserve">Propagační strategie předložená na jakémkoli nosiči musí obsahovat zejména popis různých médií a dalších vektorů používaných k propagaci nabídky her, odhad části rozpočtu vyčleněné na jednotlivé vektory a změny této částky v probíhajícím roce, popis typu cílové klientely, různé dotčené hry a posouzení jejich dopadu s ohledem na první cíl článku L. 320-3 zákoníku vnitřní bezpečnosti. V případě komerčních nabídek, jejichž součástí je finanční odměna pro hráče, je provozovatel povinen popsat způsob, jakým mohou hráči využít těchto výhod. </w:t>
      </w:r>
    </w:p>
    <w:p w14:paraId="5D41F546" w14:textId="343E933A" w:rsidR="007E61D1" w:rsidRPr="00933EA2" w:rsidRDefault="007E61D1" w:rsidP="00933EA2">
      <w:pPr>
        <w:tabs>
          <w:tab w:val="left" w:pos="225"/>
        </w:tabs>
        <w:jc w:val="both"/>
        <w:rPr>
          <w:bCs/>
        </w:rPr>
      </w:pPr>
      <w:r>
        <w:lastRenderedPageBreak/>
        <w:t xml:space="preserve">Z hlediska provozovatelů, kteří jsou nositeli výhradních práv, představuje propagační strategie soubor informačních a preventivních opatření určených pro veřejnost a hráče v rámci jejich fyzické distribuční sítě, kterými se naplňuje první cíl článku L. 320-3 zákoníku vnitřní bezpečnosti. </w:t>
      </w:r>
    </w:p>
    <w:p w14:paraId="466B6F1F" w14:textId="77777777" w:rsidR="007E61D1" w:rsidRPr="00933EA2" w:rsidRDefault="007E61D1" w:rsidP="00933EA2">
      <w:pPr>
        <w:tabs>
          <w:tab w:val="left" w:pos="225"/>
        </w:tabs>
        <w:jc w:val="both"/>
        <w:rPr>
          <w:bCs/>
        </w:rPr>
      </w:pPr>
    </w:p>
    <w:p w14:paraId="2292D94C" w14:textId="77777777" w:rsidR="007E61D1" w:rsidRPr="00933EA2" w:rsidRDefault="007E61D1" w:rsidP="00933EA2">
      <w:pPr>
        <w:keepNext/>
        <w:keepLines/>
        <w:tabs>
          <w:tab w:val="left" w:pos="225"/>
        </w:tabs>
        <w:jc w:val="center"/>
        <w:rPr>
          <w:b/>
          <w:bCs/>
        </w:rPr>
      </w:pPr>
      <w:r>
        <w:rPr>
          <w:b/>
          <w:bCs/>
        </w:rPr>
        <w:t>Článek 8</w:t>
      </w:r>
    </w:p>
    <w:p w14:paraId="76A6F4B3" w14:textId="77777777" w:rsidR="007E61D1" w:rsidRPr="00933EA2" w:rsidRDefault="007E61D1" w:rsidP="00933EA2">
      <w:pPr>
        <w:keepNext/>
        <w:keepLines/>
        <w:tabs>
          <w:tab w:val="left" w:pos="225"/>
        </w:tabs>
        <w:jc w:val="both"/>
        <w:rPr>
          <w:bCs/>
        </w:rPr>
      </w:pPr>
    </w:p>
    <w:p w14:paraId="7E066ACA" w14:textId="77777777" w:rsidR="007E61D1" w:rsidRPr="00933EA2" w:rsidRDefault="007E61D1" w:rsidP="00933EA2">
      <w:pPr>
        <w:tabs>
          <w:tab w:val="left" w:pos="225"/>
        </w:tabs>
        <w:jc w:val="both"/>
        <w:rPr>
          <w:bCs/>
        </w:rPr>
      </w:pPr>
      <w:r>
        <w:t>Národní úřad pro hazardní hry posoudí propagační strategii provozovatelů s ohledem na cíle článku L.320-3 zákoníku vnitřní bezpečnosti. Je oprávněn zaslat provozovateli případnou žádost o doplňující informace o jeho propagační strategii.</w:t>
      </w:r>
    </w:p>
    <w:p w14:paraId="573BB9A6" w14:textId="77777777" w:rsidR="007E61D1" w:rsidRPr="00933EA2" w:rsidRDefault="007E61D1" w:rsidP="00933EA2">
      <w:pPr>
        <w:tabs>
          <w:tab w:val="left" w:pos="225"/>
        </w:tabs>
        <w:ind w:firstLine="708"/>
        <w:jc w:val="both"/>
        <w:rPr>
          <w:bCs/>
        </w:rPr>
      </w:pPr>
    </w:p>
    <w:p w14:paraId="294DEF4C" w14:textId="77777777" w:rsidR="007E61D1" w:rsidRPr="00933EA2" w:rsidRDefault="007E61D1" w:rsidP="00933EA2">
      <w:pPr>
        <w:keepNext/>
        <w:keepLines/>
        <w:tabs>
          <w:tab w:val="left" w:pos="225"/>
        </w:tabs>
        <w:jc w:val="center"/>
        <w:rPr>
          <w:b/>
          <w:bCs/>
        </w:rPr>
      </w:pPr>
      <w:r>
        <w:rPr>
          <w:b/>
          <w:bCs/>
        </w:rPr>
        <w:t>Článek 9</w:t>
      </w:r>
    </w:p>
    <w:p w14:paraId="2DE1EFDB" w14:textId="77777777" w:rsidR="007E61D1" w:rsidRPr="00933EA2" w:rsidRDefault="007E61D1" w:rsidP="00933EA2">
      <w:pPr>
        <w:keepNext/>
        <w:keepLines/>
        <w:tabs>
          <w:tab w:val="left" w:pos="225"/>
        </w:tabs>
        <w:jc w:val="both"/>
        <w:rPr>
          <w:bCs/>
        </w:rPr>
      </w:pPr>
    </w:p>
    <w:p w14:paraId="4FBB75B5" w14:textId="07D9D852" w:rsidR="007E61D1" w:rsidRPr="00933EA2" w:rsidRDefault="007E61D1" w:rsidP="00933EA2">
      <w:pPr>
        <w:tabs>
          <w:tab w:val="left" w:pos="225"/>
        </w:tabs>
        <w:jc w:val="both"/>
        <w:rPr>
          <w:bCs/>
        </w:rPr>
      </w:pPr>
      <w:r>
        <w:t xml:space="preserve">Rozhodnutí úřadu bude provozovateli oznámeno do dvou měsíců od přijetí jeho propagační strategie. V tomto rozhodnutí budou případně definovány podmínky, za nichž je propagační strategie schválena. </w:t>
      </w:r>
    </w:p>
    <w:p w14:paraId="659F6FBA" w14:textId="77777777" w:rsidR="007E61D1" w:rsidRPr="00933EA2" w:rsidRDefault="007E61D1" w:rsidP="00933EA2">
      <w:pPr>
        <w:tabs>
          <w:tab w:val="left" w:pos="225"/>
        </w:tabs>
        <w:jc w:val="both"/>
        <w:rPr>
          <w:bCs/>
        </w:rPr>
      </w:pPr>
    </w:p>
    <w:p w14:paraId="308E1DA5" w14:textId="77777777" w:rsidR="007E61D1" w:rsidRPr="00933EA2" w:rsidRDefault="007E61D1" w:rsidP="00933EA2">
      <w:pPr>
        <w:keepNext/>
        <w:keepLines/>
        <w:tabs>
          <w:tab w:val="left" w:pos="225"/>
        </w:tabs>
        <w:jc w:val="center"/>
        <w:rPr>
          <w:b/>
          <w:bCs/>
        </w:rPr>
      </w:pPr>
      <w:r>
        <w:rPr>
          <w:b/>
          <w:bCs/>
        </w:rPr>
        <w:t>Článek 10</w:t>
      </w:r>
    </w:p>
    <w:p w14:paraId="57140C12" w14:textId="77777777" w:rsidR="007E61D1" w:rsidRPr="00933EA2" w:rsidRDefault="007E61D1" w:rsidP="00933EA2">
      <w:pPr>
        <w:keepNext/>
        <w:keepLines/>
        <w:tabs>
          <w:tab w:val="left" w:pos="225"/>
        </w:tabs>
        <w:jc w:val="both"/>
        <w:rPr>
          <w:bCs/>
        </w:rPr>
      </w:pPr>
    </w:p>
    <w:p w14:paraId="371FF32B" w14:textId="77777777" w:rsidR="007E61D1" w:rsidRPr="00933EA2" w:rsidRDefault="007E61D1" w:rsidP="00933EA2">
      <w:pPr>
        <w:tabs>
          <w:tab w:val="left" w:pos="225"/>
        </w:tabs>
        <w:jc w:val="both"/>
        <w:rPr>
          <w:bCs/>
        </w:rPr>
      </w:pPr>
      <w:r>
        <w:t>V případě, že bude mít provozovatel v úmyslu během roku změnit svou propagační strategii, uvědomí o tom Národní úřad pro hazardní hry alespoň dva měsíce před provedením zásahů nebo opatření, která odpovídají této změně. S výhradou ustanovení článku 8 úřad rozhodne o navrhované změně do dvou měsíců od obdržení oznámení.</w:t>
      </w:r>
    </w:p>
    <w:p w14:paraId="5FC09049" w14:textId="77777777" w:rsidR="007E61D1" w:rsidRPr="00933EA2" w:rsidRDefault="007E61D1" w:rsidP="00933EA2">
      <w:pPr>
        <w:tabs>
          <w:tab w:val="left" w:pos="225"/>
        </w:tabs>
        <w:jc w:val="both"/>
        <w:rPr>
          <w:bCs/>
        </w:rPr>
      </w:pPr>
    </w:p>
    <w:p w14:paraId="796C2E49" w14:textId="7CC25C8B" w:rsidR="007E61D1" w:rsidRPr="00933EA2" w:rsidRDefault="00DD75EA" w:rsidP="00933EA2">
      <w:pPr>
        <w:keepNext/>
        <w:keepLines/>
        <w:tabs>
          <w:tab w:val="left" w:pos="225"/>
        </w:tabs>
        <w:jc w:val="center"/>
        <w:rPr>
          <w:bCs/>
        </w:rPr>
      </w:pPr>
      <w:r>
        <w:rPr>
          <w:b/>
        </w:rPr>
        <w:t>HLAVA III: PODMÍNKY CERTIFIKACE</w:t>
      </w:r>
    </w:p>
    <w:p w14:paraId="4638AAB1" w14:textId="77777777" w:rsidR="007E61D1" w:rsidRPr="00933EA2" w:rsidRDefault="007E61D1" w:rsidP="00933EA2">
      <w:pPr>
        <w:pStyle w:val="BodyText"/>
        <w:keepNext/>
        <w:keepLines/>
      </w:pPr>
    </w:p>
    <w:p w14:paraId="06F93207" w14:textId="77777777" w:rsidR="00DD75EA" w:rsidRPr="00933EA2" w:rsidRDefault="00DD75EA" w:rsidP="00933EA2">
      <w:pPr>
        <w:keepNext/>
        <w:keepLines/>
        <w:rPr>
          <w:b/>
        </w:rPr>
      </w:pPr>
      <w:r>
        <w:rPr>
          <w:b/>
        </w:rPr>
        <w:t xml:space="preserve">KAPITOLA 1 - PODMÍNKY ZÁPISU NA SEZNAM CERTIFIKAČNÍCH ORGÁNŮ </w:t>
      </w:r>
    </w:p>
    <w:p w14:paraId="2100F556" w14:textId="77777777" w:rsidR="00DD75EA" w:rsidRPr="00933EA2" w:rsidRDefault="00DD75EA" w:rsidP="00933EA2">
      <w:pPr>
        <w:keepNext/>
        <w:keepLines/>
        <w:rPr>
          <w:b/>
        </w:rPr>
      </w:pPr>
    </w:p>
    <w:p w14:paraId="3CD09FF6" w14:textId="77777777" w:rsidR="00DD75EA" w:rsidRPr="00933EA2" w:rsidRDefault="00DD75EA" w:rsidP="00933EA2">
      <w:pPr>
        <w:keepNext/>
        <w:keepLines/>
        <w:jc w:val="center"/>
        <w:rPr>
          <w:b/>
        </w:rPr>
      </w:pPr>
      <w:r>
        <w:rPr>
          <w:b/>
        </w:rPr>
        <w:t>Článek 11</w:t>
      </w:r>
    </w:p>
    <w:p w14:paraId="2A95714B" w14:textId="77777777" w:rsidR="00DD75EA" w:rsidRPr="00933EA2" w:rsidRDefault="00DD75EA" w:rsidP="00933EA2">
      <w:pPr>
        <w:keepNext/>
        <w:keepLines/>
        <w:rPr>
          <w:b/>
        </w:rPr>
      </w:pPr>
    </w:p>
    <w:p w14:paraId="42280451" w14:textId="77777777" w:rsidR="00DD75EA" w:rsidRPr="00933EA2" w:rsidRDefault="00DD75EA" w:rsidP="00933EA2">
      <w:pPr>
        <w:jc w:val="both"/>
      </w:pPr>
      <w:r>
        <w:t xml:space="preserve">Národní úřad pro hazardní hry sestaví a aktualizuje seznam orgánů oprávněných k provádění certifikací uvedených v hlavě II a III článku 23 výše uvedeného zákona ze dne 12. května 2010. </w:t>
      </w:r>
    </w:p>
    <w:p w14:paraId="143A6880" w14:textId="77777777" w:rsidR="00DD75EA" w:rsidRPr="00933EA2" w:rsidRDefault="00DD75EA" w:rsidP="00933EA2">
      <w:pPr>
        <w:jc w:val="both"/>
      </w:pPr>
      <w:r>
        <w:t xml:space="preserve">Tento seznam se zveřejňuje na internetových stránkách Národního úřadu pro hazardní hry. </w:t>
      </w:r>
    </w:p>
    <w:p w14:paraId="1FC7BE82" w14:textId="77777777" w:rsidR="00DD75EA" w:rsidRPr="00933EA2" w:rsidRDefault="00DD75EA" w:rsidP="00933EA2">
      <w:pPr>
        <w:jc w:val="both"/>
      </w:pPr>
    </w:p>
    <w:p w14:paraId="4CE44A0E" w14:textId="77777777" w:rsidR="00DD75EA" w:rsidRPr="00933EA2" w:rsidRDefault="00DD75EA" w:rsidP="00933EA2">
      <w:pPr>
        <w:keepNext/>
        <w:keepLines/>
        <w:jc w:val="center"/>
        <w:rPr>
          <w:b/>
        </w:rPr>
      </w:pPr>
      <w:r>
        <w:rPr>
          <w:b/>
        </w:rPr>
        <w:t>Článek 12</w:t>
      </w:r>
    </w:p>
    <w:p w14:paraId="6CF9EA34" w14:textId="77777777" w:rsidR="00DD75EA" w:rsidRPr="00933EA2" w:rsidRDefault="00DD75EA" w:rsidP="00933EA2">
      <w:pPr>
        <w:keepNext/>
        <w:keepLines/>
        <w:rPr>
          <w:b/>
        </w:rPr>
      </w:pPr>
    </w:p>
    <w:p w14:paraId="4A9AB50A" w14:textId="77777777" w:rsidR="00DD75EA" w:rsidRPr="00933EA2" w:rsidRDefault="00DD75EA" w:rsidP="00933EA2">
      <w:pPr>
        <w:jc w:val="both"/>
      </w:pPr>
      <w:r>
        <w:t xml:space="preserve">Na seznam uvedený v článku 11 lze zapsat pouze orgány, které: </w:t>
      </w:r>
    </w:p>
    <w:p w14:paraId="2C202D0E" w14:textId="77777777" w:rsidR="00DD75EA" w:rsidRPr="00933EA2" w:rsidRDefault="00DD75EA" w:rsidP="00933EA2">
      <w:pPr>
        <w:pStyle w:val="ListParagraph"/>
        <w:numPr>
          <w:ilvl w:val="0"/>
          <w:numId w:val="3"/>
        </w:numPr>
        <w:spacing w:after="200" w:line="276" w:lineRule="auto"/>
        <w:jc w:val="both"/>
      </w:pPr>
      <w:r>
        <w:t xml:space="preserve">jsou usazeny v členském státě Evropské unie nebo ve státě, který je smluvní stranou Dohody o Evropském hospodářském prostoru; </w:t>
      </w:r>
    </w:p>
    <w:p w14:paraId="696D458E" w14:textId="77777777" w:rsidR="00DD75EA" w:rsidRPr="00933EA2" w:rsidRDefault="00DD75EA" w:rsidP="00933EA2">
      <w:pPr>
        <w:pStyle w:val="ListParagraph"/>
        <w:numPr>
          <w:ilvl w:val="0"/>
          <w:numId w:val="3"/>
        </w:numPr>
        <w:spacing w:after="200" w:line="276" w:lineRule="auto"/>
        <w:jc w:val="both"/>
      </w:pPr>
      <w:r>
        <w:t xml:space="preserve">vykazují dostatečnou způsobilost a které mají k dispozici odpovídající kvalifikovaný personál; </w:t>
      </w:r>
    </w:p>
    <w:p w14:paraId="20123FC4" w14:textId="131ED45B" w:rsidR="00DD75EA" w:rsidRPr="00933EA2" w:rsidRDefault="00DD75EA" w:rsidP="00933EA2">
      <w:pPr>
        <w:pStyle w:val="ListParagraph"/>
        <w:numPr>
          <w:ilvl w:val="0"/>
          <w:numId w:val="3"/>
        </w:numPr>
        <w:spacing w:after="200" w:line="276" w:lineRule="auto"/>
        <w:jc w:val="both"/>
      </w:pPr>
      <w:r>
        <w:t xml:space="preserve">plní své certifikační úkoly zcela nezávisle a nestranně a zejména v souladu s ustanoveními článku 17. </w:t>
      </w:r>
    </w:p>
    <w:p w14:paraId="7724FA3F" w14:textId="77777777" w:rsidR="00DD75EA" w:rsidRPr="00933EA2" w:rsidRDefault="00DD75EA" w:rsidP="00933EA2">
      <w:pPr>
        <w:pStyle w:val="ListParagraph"/>
        <w:ind w:left="1065"/>
        <w:jc w:val="both"/>
      </w:pPr>
    </w:p>
    <w:p w14:paraId="60A13DFE" w14:textId="77777777" w:rsidR="00DD75EA" w:rsidRPr="00933EA2" w:rsidRDefault="00DD75EA" w:rsidP="00933EA2">
      <w:pPr>
        <w:keepNext/>
        <w:keepLines/>
        <w:jc w:val="center"/>
        <w:rPr>
          <w:b/>
        </w:rPr>
      </w:pPr>
      <w:r>
        <w:rPr>
          <w:b/>
        </w:rPr>
        <w:t>Článek 13</w:t>
      </w:r>
    </w:p>
    <w:p w14:paraId="24D423E6" w14:textId="77777777" w:rsidR="00DD75EA" w:rsidRPr="00933EA2" w:rsidRDefault="00DD75EA" w:rsidP="00933EA2">
      <w:pPr>
        <w:keepNext/>
        <w:keepLines/>
        <w:rPr>
          <w:b/>
        </w:rPr>
      </w:pPr>
    </w:p>
    <w:p w14:paraId="23B39F27" w14:textId="2DA08637" w:rsidR="00DD75EA" w:rsidRPr="00933EA2" w:rsidRDefault="00DD75EA" w:rsidP="00933EA2">
      <w:pPr>
        <w:jc w:val="both"/>
      </w:pPr>
      <w:r>
        <w:t xml:space="preserve">Dokumentace žádosti o zápis na seznam certifikačních orgánů se podává ve francouzštině. Národnímu úřadu pro hazardní hry se zasílá elektronicky nebo poštou nebo prostřednictvím kurýrní služby nebo se předává přímo v sídle úřadu proti vyhotovení potvrzení o přijetí. Národní </w:t>
      </w:r>
      <w:r>
        <w:lastRenderedPageBreak/>
        <w:t>úřad pro hazardní hry potvrdí a zaeviduje přijetí dokumentace žádost bez ohledu na způsob doručení.</w:t>
      </w:r>
    </w:p>
    <w:p w14:paraId="3CED70A9" w14:textId="77777777" w:rsidR="00DD75EA" w:rsidRPr="00933EA2" w:rsidRDefault="00DD75EA" w:rsidP="00933EA2">
      <w:pPr>
        <w:jc w:val="both"/>
      </w:pPr>
    </w:p>
    <w:p w14:paraId="7C07E6E5" w14:textId="77777777" w:rsidR="00DD75EA" w:rsidRPr="00933EA2" w:rsidRDefault="00DD75EA" w:rsidP="00933EA2">
      <w:pPr>
        <w:keepNext/>
        <w:keepLines/>
        <w:jc w:val="center"/>
        <w:rPr>
          <w:b/>
        </w:rPr>
      </w:pPr>
      <w:r>
        <w:rPr>
          <w:b/>
        </w:rPr>
        <w:t>Článek 14</w:t>
      </w:r>
    </w:p>
    <w:p w14:paraId="5631E7C9" w14:textId="77777777" w:rsidR="00DD75EA" w:rsidRPr="00933EA2" w:rsidRDefault="00DD75EA" w:rsidP="00933EA2">
      <w:pPr>
        <w:keepNext/>
        <w:keepLines/>
        <w:jc w:val="both"/>
        <w:rPr>
          <w:b/>
        </w:rPr>
      </w:pPr>
    </w:p>
    <w:p w14:paraId="5395E8F4" w14:textId="77777777" w:rsidR="00DD75EA" w:rsidRPr="00933EA2" w:rsidRDefault="00DD75EA" w:rsidP="00933EA2">
      <w:pPr>
        <w:jc w:val="both"/>
      </w:pPr>
      <w:r>
        <w:t xml:space="preserve">Žádost o zápis na seznam certifikačních orgánů podléhá přezkoumání ze strany Národního úřadu pro hazardní hry, které bude provedeno do dvou měsíců od data přijetí žádosti. </w:t>
      </w:r>
    </w:p>
    <w:p w14:paraId="3916B7CD" w14:textId="77777777" w:rsidR="00DD75EA" w:rsidRPr="00933EA2" w:rsidRDefault="00DD75EA" w:rsidP="00933EA2">
      <w:pPr>
        <w:jc w:val="both"/>
      </w:pPr>
      <w:r>
        <w:t>Dokumentace žádosti o zápis musí obsahovat veškeré prvky, které umožní Národnímu úřadu pro hazardní hry ujistit se o tom, že žadatel splňuje požadavky pro zápis na seznam certifikačních orgánů, a to konkrétně:</w:t>
      </w:r>
    </w:p>
    <w:p w14:paraId="3796012D" w14:textId="77777777" w:rsidR="00DD75EA" w:rsidRPr="00933EA2" w:rsidRDefault="00DD75EA" w:rsidP="00933EA2">
      <w:pPr>
        <w:pStyle w:val="ListParagraph"/>
        <w:numPr>
          <w:ilvl w:val="0"/>
          <w:numId w:val="3"/>
        </w:numPr>
        <w:spacing w:after="200" w:line="276" w:lineRule="auto"/>
        <w:jc w:val="both"/>
      </w:pPr>
      <w:r>
        <w:t>dokument odkazující na služby poskytnuté žadatelem v daných oblastech odbornosti, které jsou předmětem certifikace, a termíny poskytnutí těchto služeb;</w:t>
      </w:r>
    </w:p>
    <w:p w14:paraId="10B7DCB0" w14:textId="77777777" w:rsidR="00DD75EA" w:rsidRPr="00933EA2" w:rsidRDefault="00DD75EA" w:rsidP="00933EA2">
      <w:pPr>
        <w:pStyle w:val="ListParagraph"/>
        <w:numPr>
          <w:ilvl w:val="0"/>
          <w:numId w:val="3"/>
        </w:numPr>
        <w:spacing w:after="200" w:line="276" w:lineRule="auto"/>
        <w:jc w:val="both"/>
      </w:pPr>
      <w:r>
        <w:t xml:space="preserve">seznam osob, které se věnují certifikačním činnostem, a jejich podrobný životopis; </w:t>
      </w:r>
    </w:p>
    <w:p w14:paraId="789A0E65" w14:textId="77777777" w:rsidR="00DD75EA" w:rsidRPr="00933EA2" w:rsidRDefault="00DD75EA" w:rsidP="00933EA2">
      <w:pPr>
        <w:pStyle w:val="ListParagraph"/>
        <w:numPr>
          <w:ilvl w:val="0"/>
          <w:numId w:val="3"/>
        </w:numPr>
        <w:spacing w:after="200" w:line="276" w:lineRule="auto"/>
        <w:jc w:val="both"/>
      </w:pPr>
      <w:r>
        <w:t>„typové“ zprávy o analýze, které uvádějí použité metody a úroveň hloubky analýz provedených auditů aplikací z hlediska ochrany soukromí a auditů konfigurace hostitelské platformy.</w:t>
      </w:r>
    </w:p>
    <w:p w14:paraId="49273D50" w14:textId="77777777" w:rsidR="00DD75EA" w:rsidRPr="00933EA2" w:rsidRDefault="00DD75EA" w:rsidP="00933EA2">
      <w:pPr>
        <w:jc w:val="both"/>
      </w:pPr>
      <w:r>
        <w:t xml:space="preserve">Pokud nebude dokumentace žádosti úplná, bude žadateli zaslán dopis s výzvou, aby ve lhůtě, která nesmí být kratší než patnáct dní, zaslal chybějící dokumenty. </w:t>
      </w:r>
    </w:p>
    <w:p w14:paraId="01681363" w14:textId="77777777" w:rsidR="00DD75EA" w:rsidRPr="00933EA2" w:rsidRDefault="00DD75EA" w:rsidP="00933EA2">
      <w:pPr>
        <w:jc w:val="both"/>
      </w:pPr>
      <w:r>
        <w:t>Během této doby je pozastaven běh uvedené lhůty pro zpracování žádosti o zápis. Žádosti o zápis, které nebudou do vypršení této lhůty doplněny, prohlásí Národní úřad pro hazardní hry za nepřípustné.</w:t>
      </w:r>
    </w:p>
    <w:p w14:paraId="10BC70F8" w14:textId="77777777" w:rsidR="00DD75EA" w:rsidRPr="00933EA2" w:rsidRDefault="00DD75EA" w:rsidP="00933EA2">
      <w:pPr>
        <w:jc w:val="both"/>
      </w:pPr>
      <w:r>
        <w:t xml:space="preserve">Během projednávání žádosti je žadatel povinen poskytnout Národnímu úřadu pro hazardní hry na jeho žádost veškeré informace, které by mohly úřadu objasnit informace, které jsou uvedeny v podané žádosti. Kromě toho může Národní úřad pro hazardní hry provést pohovor s žadatelem. </w:t>
      </w:r>
    </w:p>
    <w:p w14:paraId="28468FD2" w14:textId="77777777" w:rsidR="00DD75EA" w:rsidRPr="00933EA2" w:rsidRDefault="00DD75EA" w:rsidP="00933EA2">
      <w:pPr>
        <w:jc w:val="both"/>
      </w:pPr>
    </w:p>
    <w:p w14:paraId="36083355" w14:textId="77777777" w:rsidR="00DD75EA" w:rsidRPr="00933EA2" w:rsidRDefault="00DD75EA" w:rsidP="00933EA2">
      <w:pPr>
        <w:keepNext/>
        <w:keepLines/>
        <w:jc w:val="center"/>
        <w:rPr>
          <w:b/>
        </w:rPr>
      </w:pPr>
      <w:r>
        <w:rPr>
          <w:b/>
        </w:rPr>
        <w:t>Článek 15</w:t>
      </w:r>
    </w:p>
    <w:p w14:paraId="73A6235F" w14:textId="77777777" w:rsidR="00DD75EA" w:rsidRPr="00933EA2" w:rsidRDefault="00DD75EA" w:rsidP="00933EA2">
      <w:pPr>
        <w:keepNext/>
        <w:keepLines/>
        <w:rPr>
          <w:b/>
        </w:rPr>
      </w:pPr>
    </w:p>
    <w:p w14:paraId="47A7F3CA" w14:textId="77777777" w:rsidR="00DD75EA" w:rsidRPr="00933EA2" w:rsidRDefault="00DD75EA" w:rsidP="00933EA2">
      <w:pPr>
        <w:jc w:val="both"/>
      </w:pPr>
      <w:r>
        <w:t xml:space="preserve">Zápis na seznam certifikačních orgánů platí po dobu pěti let. Lze jej obnovit. </w:t>
      </w:r>
    </w:p>
    <w:p w14:paraId="11406507" w14:textId="77777777" w:rsidR="00DD75EA" w:rsidRPr="00933EA2" w:rsidRDefault="00DD75EA" w:rsidP="00933EA2">
      <w:pPr>
        <w:jc w:val="both"/>
      </w:pPr>
      <w:r>
        <w:t xml:space="preserve">Rozhodnutí o zápisu případně stanoví konkrétní povinnosti, kterým certifikační orgány podléhají. </w:t>
      </w:r>
    </w:p>
    <w:p w14:paraId="6E706C72" w14:textId="77777777" w:rsidR="00DD75EA" w:rsidRPr="00933EA2" w:rsidRDefault="00DD75EA" w:rsidP="00933EA2">
      <w:pPr>
        <w:jc w:val="both"/>
      </w:pPr>
      <w:r>
        <w:t xml:space="preserve">Případné rozhodnutí o zamítnutí zápisu musí být odůvodněno a oznámeno příslušnému orgánu jakýmkoli způsobem, který umožňuje stanovit datum přijetí. </w:t>
      </w:r>
    </w:p>
    <w:p w14:paraId="07C8A19F" w14:textId="77777777" w:rsidR="00DD75EA" w:rsidRPr="00933EA2" w:rsidRDefault="00DD75EA" w:rsidP="00933EA2">
      <w:pPr>
        <w:rPr>
          <w:b/>
        </w:rPr>
      </w:pPr>
    </w:p>
    <w:p w14:paraId="36ED0FA1" w14:textId="77777777" w:rsidR="00DD75EA" w:rsidRPr="00933EA2" w:rsidRDefault="00DD75EA" w:rsidP="00933EA2">
      <w:pPr>
        <w:keepNext/>
        <w:keepLines/>
        <w:jc w:val="center"/>
        <w:rPr>
          <w:b/>
        </w:rPr>
      </w:pPr>
      <w:r>
        <w:rPr>
          <w:b/>
        </w:rPr>
        <w:t>KAPITOLA 2 – POVINNOSTI CERTIFIKAČNÍCH ORGÁNŮ</w:t>
      </w:r>
    </w:p>
    <w:p w14:paraId="3F7D562D" w14:textId="77777777" w:rsidR="00DD75EA" w:rsidRPr="00933EA2" w:rsidRDefault="00DD75EA" w:rsidP="00933EA2">
      <w:pPr>
        <w:keepNext/>
        <w:keepLines/>
        <w:rPr>
          <w:b/>
        </w:rPr>
      </w:pPr>
    </w:p>
    <w:p w14:paraId="465FC926" w14:textId="3AC4548B" w:rsidR="00DD75EA" w:rsidRPr="00933EA2" w:rsidRDefault="00DD75EA" w:rsidP="00933EA2">
      <w:pPr>
        <w:keepNext/>
        <w:keepLines/>
        <w:jc w:val="center"/>
        <w:rPr>
          <w:b/>
        </w:rPr>
      </w:pPr>
      <w:r>
        <w:rPr>
          <w:b/>
        </w:rPr>
        <w:t>Článek 16</w:t>
      </w:r>
    </w:p>
    <w:p w14:paraId="63B4979C" w14:textId="77777777" w:rsidR="00DD75EA" w:rsidRPr="00933EA2" w:rsidRDefault="00DD75EA" w:rsidP="00933EA2">
      <w:pPr>
        <w:keepNext/>
        <w:keepLines/>
        <w:rPr>
          <w:b/>
        </w:rPr>
      </w:pPr>
    </w:p>
    <w:p w14:paraId="22292F97" w14:textId="77777777" w:rsidR="00DD75EA" w:rsidRPr="00933EA2" w:rsidRDefault="00DD75EA" w:rsidP="00933EA2">
      <w:pPr>
        <w:jc w:val="both"/>
      </w:pPr>
      <w:r>
        <w:t xml:space="preserve">Orgán zapsaný na seznam certifikačních orgánů plní certifikační úkoly, které jsou mu svěřeny, v souladu se současným stavem poznání. </w:t>
      </w:r>
    </w:p>
    <w:p w14:paraId="21136742" w14:textId="77777777" w:rsidR="00DD75EA" w:rsidRPr="00933EA2" w:rsidRDefault="00DD75EA" w:rsidP="00933EA2">
      <w:pPr>
        <w:jc w:val="both"/>
      </w:pPr>
      <w:r>
        <w:t>Kopie smlouvy o certifikaci uzavřené mezi certifikačním orgánem a provozovatelem procházejícím certifikací, se před provedením certifikace zasílá Národnímu úřadu pro hazardní hry.</w:t>
      </w:r>
    </w:p>
    <w:p w14:paraId="006D19AF" w14:textId="77777777" w:rsidR="00DD75EA" w:rsidRPr="00933EA2" w:rsidRDefault="00DD75EA" w:rsidP="00933EA2">
      <w:pPr>
        <w:jc w:val="both"/>
      </w:pPr>
    </w:p>
    <w:p w14:paraId="747F05B8" w14:textId="18EC357C" w:rsidR="00DD75EA" w:rsidRPr="00933EA2" w:rsidRDefault="00DD75EA" w:rsidP="00933EA2">
      <w:pPr>
        <w:keepNext/>
        <w:keepLines/>
        <w:jc w:val="center"/>
        <w:rPr>
          <w:b/>
        </w:rPr>
      </w:pPr>
      <w:r>
        <w:rPr>
          <w:b/>
        </w:rPr>
        <w:t>Článek 17</w:t>
      </w:r>
    </w:p>
    <w:p w14:paraId="480B580F" w14:textId="77777777" w:rsidR="00DD75EA" w:rsidRPr="00933EA2" w:rsidRDefault="00DD75EA" w:rsidP="00933EA2">
      <w:pPr>
        <w:keepNext/>
        <w:keepLines/>
        <w:rPr>
          <w:b/>
        </w:rPr>
      </w:pPr>
    </w:p>
    <w:p w14:paraId="763E1256" w14:textId="77777777" w:rsidR="00DD75EA" w:rsidRPr="00933EA2" w:rsidRDefault="00DD75EA" w:rsidP="00933EA2">
      <w:pPr>
        <w:jc w:val="both"/>
      </w:pPr>
      <w:r>
        <w:t xml:space="preserve">Orgán zapsaný na seznam certifikačních orgánů musí být nezávislý na provozovateli, u nějž provádí certifikaci. </w:t>
      </w:r>
    </w:p>
    <w:p w14:paraId="465253BE" w14:textId="77777777" w:rsidR="00DD75EA" w:rsidRPr="00933EA2" w:rsidRDefault="00DD75EA" w:rsidP="00933EA2">
      <w:pPr>
        <w:jc w:val="both"/>
      </w:pPr>
      <w:r>
        <w:t xml:space="preserve">Nesmí provádět certifikaci u provozovatele hazardních her nebo sázek on-line ani pro jedinou právnickou osobu uvedenou v článku 137 výše uvedeného zákona ze dne 22. května 2019, pokud </w:t>
      </w:r>
      <w:r>
        <w:lastRenderedPageBreak/>
        <w:t xml:space="preserve">byl v období posledních dvanácti měsíců před podpisem smlouvy o certifikaci jeho právním poradcem nebo poskytovatelem služeb. </w:t>
      </w:r>
    </w:p>
    <w:p w14:paraId="5F638C71" w14:textId="77777777" w:rsidR="00DD75EA" w:rsidRPr="00933EA2" w:rsidRDefault="00DD75EA" w:rsidP="00933EA2">
      <w:pPr>
        <w:jc w:val="both"/>
      </w:pPr>
      <w:r>
        <w:t>Doba, podle které se určuje doba trvání neslučitelnosti podle předchozího odstavce, začne běžet v jeden z níže uvedených okamžiků, a to v ten, který nastane později:</w:t>
      </w:r>
    </w:p>
    <w:p w14:paraId="090FC4E3" w14:textId="77777777" w:rsidR="00DD75EA" w:rsidRPr="00933EA2" w:rsidRDefault="00DD75EA" w:rsidP="00933EA2">
      <w:pPr>
        <w:pStyle w:val="ListParagraph"/>
        <w:numPr>
          <w:ilvl w:val="0"/>
          <w:numId w:val="3"/>
        </w:numPr>
        <w:spacing w:after="200" w:line="276" w:lineRule="auto"/>
        <w:jc w:val="both"/>
      </w:pPr>
      <w:r>
        <w:t xml:space="preserve">okamžik, kdy certifikační orgán poskytl poslední službu provozovateli, u kterého je prováděna certifikace, </w:t>
      </w:r>
    </w:p>
    <w:p w14:paraId="3D00F947" w14:textId="77777777" w:rsidR="00DD75EA" w:rsidRPr="00933EA2" w:rsidRDefault="00DD75EA" w:rsidP="00933EA2">
      <w:pPr>
        <w:pStyle w:val="ListParagraph"/>
        <w:numPr>
          <w:ilvl w:val="0"/>
          <w:numId w:val="3"/>
        </w:numPr>
        <w:spacing w:after="200" w:line="276" w:lineRule="auto"/>
        <w:jc w:val="both"/>
      </w:pPr>
      <w:r>
        <w:t xml:space="preserve">okamžik poslední platby provedené provozovatelem, u kterého je prováděna certifikace, ve prospěch certifikačního orgánu. </w:t>
      </w:r>
    </w:p>
    <w:p w14:paraId="6967F733" w14:textId="77777777" w:rsidR="00DD75EA" w:rsidRPr="00933EA2" w:rsidRDefault="00DD75EA" w:rsidP="00933EA2">
      <w:pPr>
        <w:jc w:val="both"/>
      </w:pPr>
      <w:r>
        <w:t xml:space="preserve">Neslučitelnost stanovená v tomto článku platí za stejných podmínek i v případě, že byl certifikační orgán poradcem nebo poskytovatelem služeb společnosti ovládající provozovatele, u kterého se provádí certifikace, ve smyslu článku L. 233-16 obchodního zákoníku, nebo společnosti tímto provozovatelem ovládané. </w:t>
      </w:r>
    </w:p>
    <w:p w14:paraId="54835AA2" w14:textId="77777777" w:rsidR="00DD75EA" w:rsidRPr="00933EA2" w:rsidRDefault="00DD75EA" w:rsidP="00933EA2">
      <w:pPr>
        <w:jc w:val="both"/>
      </w:pPr>
      <w:r>
        <w:t>Orgán zapsaný na seznam certifikačních orgánů oznámí Národnímu úřadu pro hazardní hry jakýkoli střet zájmů v souvislosti s jeho certifikační činností.</w:t>
      </w:r>
    </w:p>
    <w:p w14:paraId="4E38E366" w14:textId="77777777" w:rsidR="00DD75EA" w:rsidRPr="00933EA2" w:rsidRDefault="00DD75EA" w:rsidP="00933EA2">
      <w:pPr>
        <w:jc w:val="both"/>
      </w:pPr>
    </w:p>
    <w:p w14:paraId="7778A521" w14:textId="38CC997C" w:rsidR="00DD75EA" w:rsidRPr="00933EA2" w:rsidRDefault="00DD75EA" w:rsidP="00933EA2">
      <w:pPr>
        <w:keepNext/>
        <w:keepLines/>
        <w:jc w:val="center"/>
        <w:rPr>
          <w:b/>
        </w:rPr>
      </w:pPr>
      <w:r>
        <w:rPr>
          <w:b/>
        </w:rPr>
        <w:t>Článek 18</w:t>
      </w:r>
    </w:p>
    <w:p w14:paraId="6A63E476" w14:textId="77777777" w:rsidR="00DD75EA" w:rsidRPr="00933EA2" w:rsidRDefault="00DD75EA" w:rsidP="00933EA2">
      <w:pPr>
        <w:keepNext/>
        <w:keepLines/>
        <w:rPr>
          <w:b/>
        </w:rPr>
      </w:pPr>
    </w:p>
    <w:p w14:paraId="15407E47" w14:textId="77777777" w:rsidR="00DD75EA" w:rsidRPr="00933EA2" w:rsidRDefault="00DD75EA" w:rsidP="00933EA2">
      <w:pPr>
        <w:jc w:val="both"/>
      </w:pPr>
      <w:r>
        <w:t xml:space="preserve">Národní úřad pro hazardní hry se v případě potřeby prostřednictvím auditu ujistí, že certifikační orgán nadále plní povinnosti vyplývající ze zápisu na seznam certifikačních orgánů, zejména s ohledem na kvalitu prováděných certifikací. </w:t>
      </w:r>
    </w:p>
    <w:p w14:paraId="6639237C" w14:textId="77777777" w:rsidR="00DD75EA" w:rsidRPr="00933EA2" w:rsidRDefault="00DD75EA" w:rsidP="00933EA2">
      <w:pPr>
        <w:jc w:val="both"/>
      </w:pPr>
    </w:p>
    <w:p w14:paraId="39134701" w14:textId="1C28EFCF" w:rsidR="00DD75EA" w:rsidRPr="00933EA2" w:rsidRDefault="00DD75EA" w:rsidP="00933EA2">
      <w:pPr>
        <w:keepNext/>
        <w:keepLines/>
        <w:jc w:val="center"/>
        <w:rPr>
          <w:b/>
        </w:rPr>
      </w:pPr>
      <w:r>
        <w:rPr>
          <w:b/>
        </w:rPr>
        <w:t>Článek 19</w:t>
      </w:r>
    </w:p>
    <w:p w14:paraId="3397CDFA" w14:textId="77777777" w:rsidR="00DD75EA" w:rsidRPr="00933EA2" w:rsidRDefault="00DD75EA" w:rsidP="00933EA2">
      <w:pPr>
        <w:keepNext/>
        <w:keepLines/>
        <w:rPr>
          <w:b/>
        </w:rPr>
      </w:pPr>
    </w:p>
    <w:p w14:paraId="61C5B6C7" w14:textId="77777777" w:rsidR="00DD75EA" w:rsidRPr="00933EA2" w:rsidRDefault="00DD75EA" w:rsidP="00933EA2">
      <w:pPr>
        <w:jc w:val="both"/>
      </w:pPr>
      <w:r>
        <w:t xml:space="preserve">Orgán zapsaný na seznam certifikačních orgánů je povinen neprodleně nahlásit Národnímu úřadu pro hazardní hry veškeré změny, které mají dopad na informace obsažené v jeho žádosti o zápis. </w:t>
      </w:r>
    </w:p>
    <w:p w14:paraId="7901CAA7" w14:textId="77777777" w:rsidR="00DD75EA" w:rsidRPr="00933EA2" w:rsidRDefault="00DD75EA" w:rsidP="00933EA2">
      <w:pPr>
        <w:jc w:val="both"/>
      </w:pPr>
      <w:r>
        <w:t xml:space="preserve">Pokud již orgán nesplňuje podmínky pro zápis na seznam certifikačních orgánů nebo povinnosti, jejichž splnění je předpokladem jeho zápisu, je Národní úřad pro hazardní hry tento orgán ze seznamu odstranit. </w:t>
      </w:r>
    </w:p>
    <w:p w14:paraId="54C86B1E" w14:textId="77777777" w:rsidR="00DD75EA" w:rsidRPr="00933EA2" w:rsidRDefault="00DD75EA" w:rsidP="00933EA2">
      <w:pPr>
        <w:jc w:val="both"/>
      </w:pPr>
      <w:r>
        <w:t>Před odstraněním ze seznamu Národní úřad pro hazardní hry informuje dotčený orgán jakýmkoli způsobem, na jehož základě lze stanovit datum přijetí tohoto vyrozumění, že má v úmyslu jej odstranit ze seznamu certifikačních orgánů, a vyzve jej, aby předložil své písemné vyjádření ve lhůtě, která nesmí být kratší než patnáct dnů.</w:t>
      </w:r>
    </w:p>
    <w:p w14:paraId="27C240E1" w14:textId="77777777" w:rsidR="00DD75EA" w:rsidRPr="00933EA2" w:rsidRDefault="00DD75EA" w:rsidP="00933EA2">
      <w:pPr>
        <w:jc w:val="both"/>
      </w:pPr>
      <w:r>
        <w:t xml:space="preserve">Rozhodnutí o odstranění ze seznamu musí být odůvodněno a oznámeno příslušnému orgánu jakýmkoli způsobem, na jehož základě lze stanovit datum přijetí tohoto vyrozumění. </w:t>
      </w:r>
    </w:p>
    <w:p w14:paraId="623FCF8D" w14:textId="77777777" w:rsidR="00DD75EA" w:rsidRPr="00933EA2" w:rsidRDefault="00DD75EA" w:rsidP="00933EA2">
      <w:pPr>
        <w:jc w:val="both"/>
      </w:pPr>
      <w:r>
        <w:t>Seznam certifikačních orgánů musí být odpovídajícím způsobem aktualizován.</w:t>
      </w:r>
    </w:p>
    <w:p w14:paraId="450A4FEE" w14:textId="77777777" w:rsidR="00DD75EA" w:rsidRPr="00933EA2" w:rsidRDefault="00DD75EA" w:rsidP="00933EA2">
      <w:pPr>
        <w:jc w:val="both"/>
      </w:pPr>
      <w:r>
        <w:t xml:space="preserve"> </w:t>
      </w:r>
    </w:p>
    <w:p w14:paraId="37A93308" w14:textId="77777777" w:rsidR="00DD75EA" w:rsidRPr="00933EA2" w:rsidRDefault="00DD75EA" w:rsidP="00933EA2">
      <w:pPr>
        <w:keepNext/>
        <w:keepLines/>
        <w:jc w:val="center"/>
        <w:rPr>
          <w:b/>
        </w:rPr>
      </w:pPr>
      <w:r>
        <w:rPr>
          <w:b/>
        </w:rPr>
        <w:t>KAPITOLA 3 – CERTIFIKAČNÍ PRÁCE</w:t>
      </w:r>
    </w:p>
    <w:p w14:paraId="71177E03" w14:textId="77777777" w:rsidR="00DD75EA" w:rsidRPr="00933EA2" w:rsidRDefault="00DD75EA" w:rsidP="00933EA2">
      <w:pPr>
        <w:keepNext/>
        <w:keepLines/>
        <w:rPr>
          <w:b/>
        </w:rPr>
      </w:pPr>
    </w:p>
    <w:p w14:paraId="2D4A3D91" w14:textId="69848FCB" w:rsidR="00DD75EA" w:rsidRPr="00933EA2" w:rsidRDefault="00DD75EA" w:rsidP="00933EA2">
      <w:pPr>
        <w:keepNext/>
        <w:keepLines/>
        <w:jc w:val="center"/>
        <w:rPr>
          <w:b/>
        </w:rPr>
      </w:pPr>
      <w:r>
        <w:rPr>
          <w:b/>
        </w:rPr>
        <w:t>Článek 20</w:t>
      </w:r>
    </w:p>
    <w:p w14:paraId="14289C8D" w14:textId="77777777" w:rsidR="00DD75EA" w:rsidRPr="00933EA2" w:rsidRDefault="00DD75EA" w:rsidP="00933EA2">
      <w:pPr>
        <w:keepNext/>
        <w:keepLines/>
        <w:rPr>
          <w:b/>
        </w:rPr>
      </w:pPr>
    </w:p>
    <w:p w14:paraId="750A7B87" w14:textId="77777777" w:rsidR="00DD75EA" w:rsidRPr="00933EA2" w:rsidRDefault="00DD75EA" w:rsidP="00933EA2">
      <w:pPr>
        <w:jc w:val="both"/>
      </w:pPr>
      <w:r>
        <w:t xml:space="preserve">V souladu s ustanoveními článku 23 výše uvedeného zákona ze dne 12. května 2010 se certifikační práce týkají dodržování veškerými technických povinností, kterým provozovatel podléhá při své činnosti. </w:t>
      </w:r>
    </w:p>
    <w:p w14:paraId="2E31CDA0" w14:textId="77777777" w:rsidR="00DD75EA" w:rsidRPr="00933EA2" w:rsidRDefault="00DD75EA" w:rsidP="00933EA2">
      <w:pPr>
        <w:jc w:val="both"/>
      </w:pPr>
      <w:r>
        <w:t xml:space="preserve">Způsob, povahu a rozsah kontrol prováděných certifikačním orgánem stanoví Národní úřad pro hazardní hry. </w:t>
      </w:r>
    </w:p>
    <w:p w14:paraId="47AA3609" w14:textId="77777777" w:rsidR="00DD75EA" w:rsidRPr="00933EA2" w:rsidRDefault="00DD75EA" w:rsidP="00933EA2">
      <w:pPr>
        <w:jc w:val="both"/>
      </w:pPr>
    </w:p>
    <w:p w14:paraId="67E7D8F9" w14:textId="1D8D5669" w:rsidR="00DD75EA" w:rsidRPr="00933EA2" w:rsidRDefault="00DD75EA" w:rsidP="00933EA2">
      <w:pPr>
        <w:keepNext/>
        <w:keepLines/>
        <w:jc w:val="center"/>
        <w:rPr>
          <w:b/>
        </w:rPr>
      </w:pPr>
      <w:r>
        <w:rPr>
          <w:b/>
        </w:rPr>
        <w:lastRenderedPageBreak/>
        <w:t>Článek 21</w:t>
      </w:r>
    </w:p>
    <w:p w14:paraId="447BC344" w14:textId="77777777" w:rsidR="00DD75EA" w:rsidRPr="00933EA2" w:rsidRDefault="00DD75EA" w:rsidP="00933EA2">
      <w:pPr>
        <w:keepNext/>
        <w:keepLines/>
        <w:rPr>
          <w:b/>
        </w:rPr>
      </w:pPr>
    </w:p>
    <w:p w14:paraId="5AFED660" w14:textId="77777777" w:rsidR="00DD75EA" w:rsidRPr="00933EA2" w:rsidRDefault="00DD75EA" w:rsidP="00933EA2">
      <w:pPr>
        <w:jc w:val="both"/>
      </w:pPr>
      <w:r>
        <w:t xml:space="preserve">Analytické operace prováděné certifikačním orgánem se v rámci jedné certifikace neopakují: každý kontrolovaný požadavek podléhá jedinému měření. </w:t>
      </w:r>
    </w:p>
    <w:p w14:paraId="7D73166F" w14:textId="77777777" w:rsidR="00DD75EA" w:rsidRPr="00933EA2" w:rsidRDefault="00DD75EA" w:rsidP="00933EA2">
      <w:pPr>
        <w:jc w:val="both"/>
      </w:pPr>
      <w:r>
        <w:t xml:space="preserve">V okamžiku měření může mezi certifikačním orgánem a provozovatelem, jehož certifikaci certifikační orgán zajišťuje, docházet k výměně informací. Jakmile je ale měření dokončeno, nemůže certifikační orgán na základě těchto výměn informací v žádném případě provést nové měření. </w:t>
      </w:r>
    </w:p>
    <w:p w14:paraId="4330A04D" w14:textId="696746BE" w:rsidR="00DD75EA" w:rsidRPr="00933EA2" w:rsidRDefault="00DD75EA" w:rsidP="00933EA2">
      <w:pPr>
        <w:jc w:val="both"/>
      </w:pPr>
      <w:r>
        <w:t xml:space="preserve">Zejména případné úpravy provedené provozovatelem v průběhu certifikace v již změřeném kontrolním bodě nemohou změnit prvotní zjištění, které se musí objevit ve zprávě o certifikaci. </w:t>
      </w:r>
    </w:p>
    <w:p w14:paraId="3B828D1A" w14:textId="77777777" w:rsidR="00DD75EA" w:rsidRPr="00933EA2" w:rsidRDefault="00DD75EA" w:rsidP="00933EA2">
      <w:pPr>
        <w:jc w:val="both"/>
      </w:pPr>
    </w:p>
    <w:p w14:paraId="1A6C0433" w14:textId="5238B0B1" w:rsidR="00DD75EA" w:rsidRPr="00933EA2" w:rsidRDefault="00DD75EA" w:rsidP="00933EA2">
      <w:pPr>
        <w:keepNext/>
        <w:keepLines/>
        <w:jc w:val="center"/>
        <w:rPr>
          <w:b/>
        </w:rPr>
      </w:pPr>
      <w:r>
        <w:rPr>
          <w:b/>
        </w:rPr>
        <w:t>Článek 22</w:t>
      </w:r>
    </w:p>
    <w:p w14:paraId="3CE9E5A1" w14:textId="77777777" w:rsidR="00DD75EA" w:rsidRPr="00933EA2" w:rsidRDefault="00DD75EA" w:rsidP="00933EA2">
      <w:pPr>
        <w:keepNext/>
        <w:keepLines/>
        <w:rPr>
          <w:b/>
        </w:rPr>
      </w:pPr>
    </w:p>
    <w:p w14:paraId="741B27CE" w14:textId="63DF5921" w:rsidR="00DD75EA" w:rsidRPr="00933EA2" w:rsidRDefault="00DD75EA" w:rsidP="00933EA2">
      <w:pPr>
        <w:jc w:val="both"/>
      </w:pPr>
      <w:r>
        <w:t xml:space="preserve">Po provedení svých prací vydá certifikační orgán zprávu, v níž uvede svá zjištění. Tato zpráva uvádí všechny zjištěné neshody, bez ohledu na úroveň jejich kritičnosti. </w:t>
      </w:r>
    </w:p>
    <w:p w14:paraId="50D2ED44" w14:textId="77777777" w:rsidR="00DD75EA" w:rsidRPr="00933EA2" w:rsidRDefault="00DD75EA" w:rsidP="00933EA2">
      <w:pPr>
        <w:jc w:val="both"/>
      </w:pPr>
      <w:r>
        <w:t xml:space="preserve">Závěrem této zprávy je buď certifikace bez výhrad, nebo certifikace s výhradami. </w:t>
      </w:r>
    </w:p>
    <w:p w14:paraId="46E5250A" w14:textId="77777777" w:rsidR="00DD75EA" w:rsidRPr="00933EA2" w:rsidRDefault="00DD75EA" w:rsidP="00933EA2">
      <w:pPr>
        <w:jc w:val="both"/>
      </w:pPr>
      <w:r>
        <w:t xml:space="preserve">Certifikace se uděluje s výhradami, pokud není splněn jeden nebo více technických požadavků představujících úroveň kritičnosti definovanou technickou referenční příručkou. </w:t>
      </w:r>
    </w:p>
    <w:p w14:paraId="5FCADA94" w14:textId="77777777" w:rsidR="00DD75EA" w:rsidRPr="00933EA2" w:rsidRDefault="00DD75EA" w:rsidP="00933EA2">
      <w:pPr>
        <w:jc w:val="both"/>
      </w:pPr>
      <w:r>
        <w:t xml:space="preserve">Certifikační orgán předá dotčenému provozovateli doklad, který osvědčuje udělení certifikace podle článku 23 výše uvedeného zákona ze dne 12. května 2010, na základě čehož tento orgán přistupuje k předání dokladu podle tohoto článku. Tento doklad musí uvádět, zda je certifikace udělena s výhradami nebo bez výhrad a případně uvádět příslušné výhrady. </w:t>
      </w:r>
    </w:p>
    <w:p w14:paraId="043059D4" w14:textId="77777777" w:rsidR="00DD75EA" w:rsidRPr="00933EA2" w:rsidRDefault="00DD75EA" w:rsidP="00933EA2">
      <w:pPr>
        <w:jc w:val="both"/>
      </w:pPr>
    </w:p>
    <w:p w14:paraId="4DF2C95F" w14:textId="0A6B373C" w:rsidR="00DD75EA" w:rsidRPr="00933EA2" w:rsidRDefault="00DD75EA" w:rsidP="00933EA2">
      <w:pPr>
        <w:keepNext/>
        <w:keepLines/>
        <w:jc w:val="center"/>
        <w:rPr>
          <w:b/>
        </w:rPr>
      </w:pPr>
      <w:r>
        <w:rPr>
          <w:b/>
        </w:rPr>
        <w:t>Článek 23</w:t>
      </w:r>
    </w:p>
    <w:p w14:paraId="7624138E" w14:textId="77777777" w:rsidR="00DD75EA" w:rsidRPr="00933EA2" w:rsidRDefault="00DD75EA" w:rsidP="00933EA2">
      <w:pPr>
        <w:keepNext/>
        <w:keepLines/>
        <w:rPr>
          <w:b/>
        </w:rPr>
      </w:pPr>
    </w:p>
    <w:p w14:paraId="610F2AD1" w14:textId="77777777" w:rsidR="00DD75EA" w:rsidRPr="00933EA2" w:rsidRDefault="00DD75EA" w:rsidP="00933EA2">
      <w:pPr>
        <w:jc w:val="both"/>
      </w:pPr>
      <w:r>
        <w:t xml:space="preserve">Po předání zprávy o certifikaci provozovatel sestaví v případě potřeby soupisy anomálií, které zašle do jednoho měsíce od předání této zprávy Národnímu úřadu pro hazardní hry. Tyto soupisy anomálií se zasílají pro informaci i certifikačnímu orgánu. </w:t>
      </w:r>
    </w:p>
    <w:p w14:paraId="1DEA7410" w14:textId="77777777" w:rsidR="00DD75EA" w:rsidRPr="00933EA2" w:rsidRDefault="00DD75EA" w:rsidP="00933EA2">
      <w:pPr>
        <w:jc w:val="both"/>
      </w:pPr>
      <w:r>
        <w:t xml:space="preserve">Soupisy anomálií netvoří součást zprávy o certifikaci. </w:t>
      </w:r>
    </w:p>
    <w:p w14:paraId="46733F03" w14:textId="77777777" w:rsidR="00DD75EA" w:rsidRPr="00933EA2" w:rsidRDefault="00DD75EA" w:rsidP="00933EA2">
      <w:pPr>
        <w:jc w:val="both"/>
      </w:pPr>
      <w:r>
        <w:t xml:space="preserve">Obsahují seznam všech neshod zjištěných ve zprávě o certifikaci bez ohledu na jejich úroveň kritičnosti. </w:t>
      </w:r>
    </w:p>
    <w:p w14:paraId="4E452E94" w14:textId="77777777" w:rsidR="00DD75EA" w:rsidRPr="00933EA2" w:rsidRDefault="00DD75EA" w:rsidP="00933EA2">
      <w:pPr>
        <w:jc w:val="both"/>
      </w:pPr>
      <w:r>
        <w:t xml:space="preserve">V případě jednotlivých neshod provozovatel v případě potřeby navrhne nápravná opatření a harmonogram jejich provedení. </w:t>
      </w:r>
    </w:p>
    <w:p w14:paraId="4F18D176" w14:textId="77777777" w:rsidR="00DD75EA" w:rsidRPr="00933EA2" w:rsidRDefault="00DD75EA" w:rsidP="00933EA2">
      <w:pPr>
        <w:jc w:val="both"/>
      </w:pPr>
      <w:r>
        <w:t xml:space="preserve">Prostřednictvím těchto soupisů anomálií může provozovatel rovněž poskytnout Národnímu úřadu pro hazardní hry užitečné informace nebo zjištění týkající se postupu certifikačních operací a/nebo uvědomit úřad o svém případném nesouhlasu se závěry této zprávy nebo s použitými metodami. Provozovatel může v případě potřeby nechat provést nová měření a jejich výsledky předložit v souvislosti se soupisy anomálií. </w:t>
      </w:r>
    </w:p>
    <w:p w14:paraId="062872B7" w14:textId="77777777" w:rsidR="00DD75EA" w:rsidRPr="00933EA2" w:rsidRDefault="00DD75EA" w:rsidP="00933EA2">
      <w:pPr>
        <w:rPr>
          <w:b/>
        </w:rPr>
      </w:pPr>
    </w:p>
    <w:p w14:paraId="58C57799" w14:textId="4E32B005" w:rsidR="00DD75EA" w:rsidRPr="00933EA2" w:rsidRDefault="00DD75EA" w:rsidP="00933EA2">
      <w:pPr>
        <w:keepNext/>
        <w:keepLines/>
        <w:jc w:val="center"/>
        <w:rPr>
          <w:b/>
        </w:rPr>
      </w:pPr>
      <w:r>
        <w:rPr>
          <w:b/>
        </w:rPr>
        <w:t>Článek 24</w:t>
      </w:r>
    </w:p>
    <w:p w14:paraId="2A8A0D5D" w14:textId="77777777" w:rsidR="00DD75EA" w:rsidRPr="00933EA2" w:rsidRDefault="00DD75EA" w:rsidP="00933EA2">
      <w:pPr>
        <w:keepNext/>
        <w:keepLines/>
        <w:rPr>
          <w:b/>
        </w:rPr>
      </w:pPr>
    </w:p>
    <w:p w14:paraId="0D2F6807" w14:textId="77777777" w:rsidR="00DD75EA" w:rsidRPr="00933EA2" w:rsidRDefault="00DD75EA" w:rsidP="00933EA2">
      <w:pPr>
        <w:jc w:val="both"/>
      </w:pPr>
      <w:r>
        <w:t xml:space="preserve">Orgány zapsané na seznam certifikačních orgánů na základě jejich technické odbornosti přede dnem vyhlášení tohoto dekretu zůstanou zapsané na tomto seznamu až do konce období stanoveného předpisy platnými ke dni jejich zápisu. </w:t>
      </w:r>
    </w:p>
    <w:p w14:paraId="6EB693B4" w14:textId="77777777" w:rsidR="00D13FBA" w:rsidRPr="00933EA2" w:rsidRDefault="00DD75EA" w:rsidP="00933EA2">
      <w:pPr>
        <w:jc w:val="both"/>
      </w:pPr>
      <w:r>
        <w:t xml:space="preserve">Orgány zapsané na seznam certifikačních orgánů na základě jejich technické odbornosti jako subdodavatelé přede dnem vyhlášení tohoto dekretu zůstanou na tomto seznamu až do konce období stanoveného předpisy platnými ke dni jejich zápisu. Mohou navrhovat certifikační úkoly především v rámci ustanovení tohoto dekretu od jeho vyhlášení. </w:t>
      </w:r>
    </w:p>
    <w:p w14:paraId="6D4D6550" w14:textId="77777777" w:rsidR="001441BB" w:rsidRPr="00933EA2" w:rsidRDefault="001441BB" w:rsidP="00933EA2">
      <w:pPr>
        <w:jc w:val="both"/>
      </w:pPr>
    </w:p>
    <w:p w14:paraId="4D3490E4" w14:textId="77777777" w:rsidR="008701C9" w:rsidRPr="00933EA2" w:rsidRDefault="008701C9" w:rsidP="00933EA2">
      <w:pPr>
        <w:jc w:val="both"/>
      </w:pPr>
    </w:p>
    <w:p w14:paraId="74A76B25" w14:textId="0F312A14" w:rsidR="008701C9" w:rsidRPr="00933EA2" w:rsidRDefault="008701C9" w:rsidP="00933EA2">
      <w:pPr>
        <w:keepNext/>
        <w:keepLines/>
        <w:jc w:val="center"/>
        <w:rPr>
          <w:b/>
        </w:rPr>
      </w:pPr>
      <w:r>
        <w:rPr>
          <w:b/>
        </w:rPr>
        <w:lastRenderedPageBreak/>
        <w:t>HLAVA IV: MAXIMÁLNÍ PODÍL ČÁSTEK V PRŮMĚRU VYPLÁCENÝCH HRÁČŮM SCHVÁLENÝMI PROVOZOVATELI DOSTIHOVÝCH A SPORTOVNÍCH SÁZEK ON-LINE</w:t>
      </w:r>
    </w:p>
    <w:p w14:paraId="55C64EFF" w14:textId="77777777" w:rsidR="00DD75EA" w:rsidRPr="00933EA2" w:rsidRDefault="00DD75EA" w:rsidP="00933EA2">
      <w:pPr>
        <w:pStyle w:val="BodyText"/>
        <w:keepNext/>
        <w:keepLines/>
      </w:pPr>
    </w:p>
    <w:p w14:paraId="33D15D7C" w14:textId="099784A4" w:rsidR="008701C9" w:rsidRPr="00933EA2" w:rsidRDefault="008701C9" w:rsidP="00933EA2">
      <w:pPr>
        <w:pStyle w:val="BodyText"/>
        <w:keepNext/>
        <w:keepLines/>
        <w:jc w:val="center"/>
        <w:rPr>
          <w:b/>
        </w:rPr>
      </w:pPr>
      <w:r>
        <w:rPr>
          <w:b/>
        </w:rPr>
        <w:t>Článek 25</w:t>
      </w:r>
    </w:p>
    <w:p w14:paraId="01FC3784" w14:textId="77777777" w:rsidR="008701C9" w:rsidRPr="00933EA2" w:rsidRDefault="008701C9" w:rsidP="00933EA2">
      <w:pPr>
        <w:pStyle w:val="BodyText"/>
        <w:keepNext/>
        <w:keepLines/>
      </w:pPr>
    </w:p>
    <w:p w14:paraId="43EA71C9" w14:textId="77777777" w:rsidR="008701C9" w:rsidRPr="00933EA2" w:rsidRDefault="008701C9" w:rsidP="00933EA2">
      <w:pPr>
        <w:pStyle w:val="BodyText"/>
        <w:jc w:val="both"/>
      </w:pPr>
      <w:r>
        <w:t>Maximální podíl částek v průměru vyplacených hráčům uvedený v hlavě II článku 13 výše uvedeného zákona ze dne 12. května 2010 je definován jako poměr mezi částkami vyplacenými hráčům provozovatelem sázek a vklady uskutečněnými hráči.</w:t>
      </w:r>
    </w:p>
    <w:p w14:paraId="141BF3A8" w14:textId="77777777" w:rsidR="008701C9" w:rsidRPr="00933EA2" w:rsidRDefault="008701C9" w:rsidP="00933EA2">
      <w:pPr>
        <w:pStyle w:val="BodyText"/>
        <w:jc w:val="both"/>
      </w:pPr>
    </w:p>
    <w:p w14:paraId="0F5F3107" w14:textId="14C82C5F" w:rsidR="008701C9" w:rsidRPr="00933EA2" w:rsidRDefault="008701C9" w:rsidP="00933EA2">
      <w:pPr>
        <w:pStyle w:val="BodyText"/>
        <w:keepNext/>
        <w:keepLines/>
        <w:jc w:val="center"/>
        <w:rPr>
          <w:b/>
        </w:rPr>
      </w:pPr>
      <w:r>
        <w:rPr>
          <w:b/>
        </w:rPr>
        <w:t>Článek 26</w:t>
      </w:r>
    </w:p>
    <w:p w14:paraId="51E88779" w14:textId="77777777" w:rsidR="008701C9" w:rsidRPr="00933EA2" w:rsidRDefault="008701C9" w:rsidP="00933EA2">
      <w:pPr>
        <w:keepNext/>
        <w:keepLines/>
        <w:jc w:val="both"/>
        <w:rPr>
          <w:strike/>
        </w:rPr>
      </w:pPr>
    </w:p>
    <w:p w14:paraId="60A2140F" w14:textId="5E5AF31B" w:rsidR="008701C9" w:rsidRPr="00933EA2" w:rsidRDefault="008701C9" w:rsidP="00933EA2">
      <w:pPr>
        <w:jc w:val="both"/>
      </w:pPr>
      <w:r>
        <w:t>Částky vyplacené hráčům tvoří všechny peněžní nebo věcné výhry splatné ode dne uskutečnění hry nebo události, na nichž je hra založena, včetně částek vložených provozovatelem v případě, že je hráč oprávněn požádat o platbu na svůj platební účet.</w:t>
      </w:r>
    </w:p>
    <w:p w14:paraId="44E85AE4" w14:textId="77777777" w:rsidR="008701C9" w:rsidRPr="00933EA2" w:rsidRDefault="008701C9" w:rsidP="00933EA2">
      <w:pPr>
        <w:jc w:val="both"/>
      </w:pPr>
    </w:p>
    <w:p w14:paraId="20F3B5B2" w14:textId="77777777" w:rsidR="008701C9" w:rsidRPr="00933EA2" w:rsidRDefault="008701C9" w:rsidP="00933EA2">
      <w:pPr>
        <w:jc w:val="both"/>
      </w:pPr>
      <w:r>
        <w:t xml:space="preserve">Vklady uskutečněné hráči tvoří peněžní částky vložené hráči a jsou zúčtovatelné v den uskutečnění hry nebo události, na nichž je hra založena. </w:t>
      </w:r>
    </w:p>
    <w:p w14:paraId="408E3179" w14:textId="7A55EB21" w:rsidR="008701C9" w:rsidRDefault="008701C9" w:rsidP="00933EA2">
      <w:pPr>
        <w:pStyle w:val="BodyText"/>
        <w:keepNext/>
        <w:keepLines/>
        <w:jc w:val="center"/>
        <w:rPr>
          <w:b/>
        </w:rPr>
      </w:pPr>
      <w:r>
        <w:rPr>
          <w:b/>
        </w:rPr>
        <w:t>Článek 27</w:t>
      </w:r>
    </w:p>
    <w:p w14:paraId="2795718B" w14:textId="77777777" w:rsidR="00933EA2" w:rsidRPr="00933EA2" w:rsidRDefault="00933EA2" w:rsidP="00933EA2">
      <w:pPr>
        <w:keepNext/>
        <w:keepLines/>
        <w:jc w:val="both"/>
        <w:rPr>
          <w:strike/>
        </w:rPr>
      </w:pPr>
    </w:p>
    <w:p w14:paraId="2A0CD78F" w14:textId="77777777" w:rsidR="008701C9" w:rsidRPr="00933EA2" w:rsidRDefault="008701C9" w:rsidP="00933EA2">
      <w:pPr>
        <w:jc w:val="both"/>
      </w:pPr>
      <w:r>
        <w:t>Maximální podíl částek v průměru vyplácených hráčům v souvislosti s provozováním sázek on-line je 85 %.</w:t>
      </w:r>
    </w:p>
    <w:p w14:paraId="49B6524E" w14:textId="4D2A42CE" w:rsidR="008701C9" w:rsidRPr="00933EA2" w:rsidRDefault="008701C9" w:rsidP="00933EA2">
      <w:pPr>
        <w:pStyle w:val="BodyText"/>
        <w:keepNext/>
        <w:keepLines/>
        <w:jc w:val="center"/>
        <w:rPr>
          <w:b/>
        </w:rPr>
      </w:pPr>
      <w:r>
        <w:rPr>
          <w:b/>
        </w:rPr>
        <w:t>Článek 28</w:t>
      </w:r>
    </w:p>
    <w:p w14:paraId="72804D81" w14:textId="77777777" w:rsidR="008701C9" w:rsidRPr="00933EA2" w:rsidRDefault="008701C9" w:rsidP="00933EA2">
      <w:pPr>
        <w:keepNext/>
        <w:keepLines/>
        <w:jc w:val="both"/>
        <w:rPr>
          <w:strike/>
        </w:rPr>
      </w:pPr>
    </w:p>
    <w:p w14:paraId="52D40D03" w14:textId="77777777" w:rsidR="008701C9" w:rsidRPr="00933EA2" w:rsidRDefault="008701C9" w:rsidP="00933EA2">
      <w:pPr>
        <w:jc w:val="both"/>
      </w:pPr>
      <w:r>
        <w:t>Pro potřeby použití článku 28 se maximální výše částek průměrně vyplácených hráčům:</w:t>
      </w:r>
    </w:p>
    <w:p w14:paraId="2C04064E" w14:textId="77777777" w:rsidR="008701C9" w:rsidRPr="00933EA2" w:rsidRDefault="008701C9" w:rsidP="00933EA2">
      <w:pPr>
        <w:ind w:left="708"/>
        <w:jc w:val="both"/>
      </w:pPr>
      <w:r>
        <w:t>1. vyhodnocuje v případě každého schválení;</w:t>
      </w:r>
    </w:p>
    <w:p w14:paraId="3172AC7D" w14:textId="77777777" w:rsidR="008701C9" w:rsidRPr="00933EA2" w:rsidRDefault="008701C9" w:rsidP="00933EA2">
      <w:pPr>
        <w:ind w:left="708"/>
        <w:jc w:val="both"/>
      </w:pPr>
      <w:r>
        <w:t>2. vyhodnocuje jednou za kalendářní rok.</w:t>
      </w:r>
    </w:p>
    <w:p w14:paraId="174FFC32" w14:textId="77777777" w:rsidR="008701C9" w:rsidRPr="00933EA2" w:rsidRDefault="008701C9" w:rsidP="00933EA2">
      <w:pPr>
        <w:ind w:left="708"/>
        <w:jc w:val="both"/>
      </w:pPr>
    </w:p>
    <w:p w14:paraId="728ADA42" w14:textId="77777777" w:rsidR="008701C9" w:rsidRPr="00933EA2" w:rsidRDefault="008701C9" w:rsidP="00933EA2">
      <w:pPr>
        <w:rPr>
          <w:b/>
        </w:rPr>
      </w:pPr>
    </w:p>
    <w:p w14:paraId="53E41CD9" w14:textId="6951AF60" w:rsidR="008701C9" w:rsidRDefault="008701C9" w:rsidP="00933EA2">
      <w:pPr>
        <w:pStyle w:val="BodyText"/>
        <w:keepNext/>
        <w:keepLines/>
        <w:jc w:val="center"/>
        <w:rPr>
          <w:b/>
        </w:rPr>
      </w:pPr>
      <w:r>
        <w:rPr>
          <w:b/>
        </w:rPr>
        <w:t>Článek 29</w:t>
      </w:r>
    </w:p>
    <w:p w14:paraId="253ED52E" w14:textId="77777777" w:rsidR="00933EA2" w:rsidRPr="00933EA2" w:rsidRDefault="00933EA2" w:rsidP="00933EA2">
      <w:pPr>
        <w:keepNext/>
        <w:keepLines/>
        <w:rPr>
          <w:b/>
        </w:rPr>
      </w:pPr>
    </w:p>
    <w:p w14:paraId="713388DF" w14:textId="77777777" w:rsidR="008701C9" w:rsidRPr="00933EA2" w:rsidRDefault="008701C9" w:rsidP="00933EA2">
      <w:pPr>
        <w:spacing w:before="100" w:beforeAutospacing="1" w:after="100" w:afterAutospacing="1"/>
        <w:jc w:val="both"/>
      </w:pPr>
      <w:r>
        <w:t>I. ― Provozovatel zašle za každé čtvrtletí Národnímu úřadu pro hazardní hry ve vztahu ke své činnosti odpovídající každému schválení jako provozovatele sázek on-line, jehož je držitelem, dokument, který bude uvádět celkovou částku, kterou vyplatil nebo má vyplatit hráčům, a celkovou výši všech vkladů učiněných těmito hráči.</w:t>
      </w:r>
    </w:p>
    <w:p w14:paraId="6116BD42" w14:textId="559F7A3D" w:rsidR="008701C9" w:rsidRPr="00933EA2" w:rsidRDefault="008701C9" w:rsidP="00933EA2">
      <w:pPr>
        <w:spacing w:before="100" w:beforeAutospacing="1" w:after="100" w:afterAutospacing="1"/>
        <w:jc w:val="both"/>
      </w:pPr>
      <w:r>
        <w:t>II. ― Věcné výhry provozovatel ocení tak, aby bylo možné vypočítat podíl částek, které vyplatil hráčům. Provozovatel sdělí Národnímu úřadu pro hazardní hry všechny informace, ze kterých při tomto ocenění vycházel.</w:t>
      </w:r>
    </w:p>
    <w:p w14:paraId="40677CB2" w14:textId="77777777" w:rsidR="008701C9" w:rsidRPr="00933EA2" w:rsidRDefault="008701C9" w:rsidP="00933EA2">
      <w:pPr>
        <w:spacing w:before="100" w:beforeAutospacing="1" w:after="100" w:afterAutospacing="1"/>
        <w:jc w:val="both"/>
      </w:pPr>
      <w:r>
        <w:t>III. ― Tento dokument je nutné podat:</w:t>
      </w:r>
    </w:p>
    <w:p w14:paraId="5D278BD5" w14:textId="77777777" w:rsidR="008701C9" w:rsidRPr="00933EA2" w:rsidRDefault="008701C9" w:rsidP="00933EA2">
      <w:pPr>
        <w:spacing w:before="100" w:beforeAutospacing="1" w:after="100" w:afterAutospacing="1"/>
        <w:jc w:val="both"/>
      </w:pPr>
      <w:r>
        <w:t>1. nejpozději do 15. dubna v případě sázkových činností provedených během prvního čtvrtletí daného roku;</w:t>
      </w:r>
    </w:p>
    <w:p w14:paraId="512C5C0B" w14:textId="77777777" w:rsidR="008701C9" w:rsidRPr="00933EA2" w:rsidRDefault="008701C9" w:rsidP="00933EA2">
      <w:pPr>
        <w:spacing w:before="100" w:beforeAutospacing="1" w:after="100" w:afterAutospacing="1"/>
        <w:jc w:val="both"/>
      </w:pPr>
      <w:r>
        <w:lastRenderedPageBreak/>
        <w:t>2. nejpozději do 15. července v případě sázkových činností provedených během druhého čtvrtletí daného roku;</w:t>
      </w:r>
    </w:p>
    <w:p w14:paraId="2DD400E4" w14:textId="77777777" w:rsidR="008701C9" w:rsidRPr="00933EA2" w:rsidRDefault="008701C9" w:rsidP="00933EA2">
      <w:pPr>
        <w:spacing w:before="100" w:beforeAutospacing="1" w:after="100" w:afterAutospacing="1"/>
        <w:jc w:val="both"/>
      </w:pPr>
      <w:r>
        <w:t>3. nejpozději do 15. října v případě sázkových činností provedených během třetího čtvrtletí daného roku;</w:t>
      </w:r>
    </w:p>
    <w:p w14:paraId="3932FE13" w14:textId="77777777" w:rsidR="008701C9" w:rsidRPr="00933EA2" w:rsidRDefault="008701C9" w:rsidP="00933EA2">
      <w:pPr>
        <w:spacing w:before="100" w:beforeAutospacing="1" w:after="100" w:afterAutospacing="1"/>
        <w:jc w:val="both"/>
      </w:pPr>
      <w:r>
        <w:t>4. nejpozději do 15. ledna v případě sázkových činností provedených během čtvrtého čtvrtletí předchozího roku.</w:t>
      </w:r>
    </w:p>
    <w:p w14:paraId="53B60FC2" w14:textId="77777777" w:rsidR="008701C9" w:rsidRPr="00933EA2" w:rsidRDefault="008701C9" w:rsidP="00933EA2">
      <w:pPr>
        <w:jc w:val="both"/>
        <w:rPr>
          <w:u w:val="single"/>
        </w:rPr>
      </w:pPr>
    </w:p>
    <w:p w14:paraId="0A87592D" w14:textId="07D61823" w:rsidR="008701C9" w:rsidRDefault="008701C9" w:rsidP="00933EA2">
      <w:pPr>
        <w:pStyle w:val="BodyText"/>
        <w:keepNext/>
        <w:keepLines/>
        <w:jc w:val="center"/>
        <w:rPr>
          <w:b/>
        </w:rPr>
      </w:pPr>
      <w:r>
        <w:rPr>
          <w:b/>
        </w:rPr>
        <w:t>Článek 30</w:t>
      </w:r>
    </w:p>
    <w:p w14:paraId="76851D86" w14:textId="77777777" w:rsidR="00933EA2" w:rsidRPr="00933EA2" w:rsidRDefault="00933EA2" w:rsidP="00933EA2">
      <w:pPr>
        <w:keepNext/>
        <w:keepLines/>
        <w:rPr>
          <w:b/>
        </w:rPr>
      </w:pPr>
    </w:p>
    <w:p w14:paraId="0574C2B5" w14:textId="77777777" w:rsidR="008701C9" w:rsidRPr="00933EA2" w:rsidRDefault="008701C9" w:rsidP="00933EA2">
      <w:pPr>
        <w:spacing w:before="100" w:beforeAutospacing="1" w:after="100" w:afterAutospacing="1"/>
        <w:jc w:val="both"/>
      </w:pPr>
      <w:r>
        <w:t xml:space="preserve">Provozovatelé, kteří obdrželi schválení ve smyslu </w:t>
      </w:r>
      <w:hyperlink r:id="rId6" w:history="1">
        <w:r>
          <w:t>článku 21 výše uvedeného zákona ze dne 12. května 2010</w:t>
        </w:r>
      </w:hyperlink>
      <w:r>
        <w:t xml:space="preserve"> a kteří se rozhodnou mezi sebou propojit vklady jejich vlastních hráčů, musejí za tímto účelem uzavřít písemnou dohodu o propojení.</w:t>
      </w:r>
    </w:p>
    <w:p w14:paraId="6B5E456F" w14:textId="77777777" w:rsidR="008701C9" w:rsidRPr="00452EF3" w:rsidRDefault="008701C9" w:rsidP="00933EA2">
      <w:pPr>
        <w:spacing w:after="240"/>
        <w:jc w:val="both"/>
      </w:pPr>
      <w:r>
        <w:t xml:space="preserve">Kopii dohody o propojení je nutno po jejím podpisu zaslat Národnímu úřadu pro hazardní hry. </w:t>
      </w:r>
    </w:p>
    <w:p w14:paraId="1A9AAF8F" w14:textId="77777777" w:rsidR="008701C9" w:rsidRPr="00933EA2" w:rsidRDefault="008701C9" w:rsidP="00933EA2">
      <w:pPr>
        <w:spacing w:after="240"/>
        <w:jc w:val="both"/>
      </w:pPr>
      <w:r>
        <w:t>Dohoda stanoví práva a povinnosti schválených provozovatelů, kteří jsou jejími smluvními stranami, a zejména stanoví:</w:t>
      </w:r>
    </w:p>
    <w:p w14:paraId="3B4DBAB8" w14:textId="77777777" w:rsidR="008701C9" w:rsidRPr="00933EA2" w:rsidRDefault="008701C9" w:rsidP="00933EA2">
      <w:pPr>
        <w:spacing w:after="240"/>
        <w:jc w:val="both"/>
      </w:pPr>
      <w:r>
        <w:t>1. osobu pověřenou správou propojených vkladů tak, aby schválení provozovatelé dodržovali maximální podíl částek v průměru vyplacených hráčům ve smyslu článku 3;</w:t>
      </w:r>
    </w:p>
    <w:p w14:paraId="30010068" w14:textId="77777777" w:rsidR="008701C9" w:rsidRPr="00933EA2" w:rsidRDefault="008701C9" w:rsidP="00933EA2">
      <w:pPr>
        <w:spacing w:after="240"/>
        <w:jc w:val="both"/>
      </w:pPr>
      <w:r>
        <w:t>2. v oblasti dostihových sázek dostih nebo sérii dostihů a typ výsledku, které tvoří předmět propojení;</w:t>
      </w:r>
    </w:p>
    <w:p w14:paraId="31796E46" w14:textId="77777777" w:rsidR="008701C9" w:rsidRPr="00933EA2" w:rsidRDefault="008701C9" w:rsidP="00933EA2">
      <w:pPr>
        <w:spacing w:after="240"/>
        <w:jc w:val="both"/>
      </w:pPr>
      <w:r>
        <w:t>3. v oblasti sportovních sázek soutěž nebo sportovní akci a typ výsledku, které tvoří předmět propojení;</w:t>
      </w:r>
    </w:p>
    <w:p w14:paraId="1A883AC4" w14:textId="3B68A492" w:rsidR="008701C9" w:rsidRPr="00933EA2" w:rsidRDefault="008701C9" w:rsidP="00933EA2">
      <w:pPr>
        <w:spacing w:after="240"/>
        <w:jc w:val="both"/>
      </w:pPr>
      <w:r>
        <w:t>4. způsoby vypořádání bonusů, nadbytku vkladů a výher stanovené provozovateli tak, aby bylo zajištěno dodržení poměru stanoveného v článku 27;</w:t>
      </w:r>
    </w:p>
    <w:p w14:paraId="774321AE" w14:textId="77777777" w:rsidR="008701C9" w:rsidRPr="00933EA2" w:rsidRDefault="008701C9" w:rsidP="00933EA2">
      <w:pPr>
        <w:spacing w:after="240"/>
        <w:jc w:val="both"/>
      </w:pPr>
      <w:r>
        <w:t>5. technické postupy, podle kterých se provádí propojení vkladů.</w:t>
      </w:r>
    </w:p>
    <w:p w14:paraId="656FFE0E" w14:textId="77777777" w:rsidR="008701C9" w:rsidRPr="00933EA2" w:rsidRDefault="008701C9" w:rsidP="00933EA2">
      <w:pPr>
        <w:jc w:val="both"/>
        <w:rPr>
          <w:u w:val="single"/>
        </w:rPr>
      </w:pPr>
    </w:p>
    <w:p w14:paraId="14724404" w14:textId="387E552C" w:rsidR="008701C9" w:rsidRPr="00933EA2" w:rsidRDefault="00B705CF" w:rsidP="00933EA2">
      <w:pPr>
        <w:pStyle w:val="BodyText"/>
        <w:keepNext/>
        <w:keepLines/>
        <w:jc w:val="center"/>
        <w:rPr>
          <w:b/>
        </w:rPr>
      </w:pPr>
      <w:r>
        <w:rPr>
          <w:b/>
        </w:rPr>
        <w:t>Článek 31</w:t>
      </w:r>
    </w:p>
    <w:p w14:paraId="7EA81AA0" w14:textId="77777777" w:rsidR="008701C9" w:rsidRPr="00933EA2" w:rsidRDefault="008701C9" w:rsidP="00933EA2">
      <w:pPr>
        <w:keepNext/>
        <w:keepLines/>
        <w:rPr>
          <w:b/>
        </w:rPr>
      </w:pPr>
    </w:p>
    <w:p w14:paraId="12126FC7" w14:textId="77777777" w:rsidR="008701C9" w:rsidRPr="00933EA2" w:rsidRDefault="008701C9" w:rsidP="00933EA2">
      <w:pPr>
        <w:jc w:val="both"/>
      </w:pPr>
      <w:r>
        <w:t>Podíl částek průměrně vyplacených hráčům nebo míra zpětných plateb hráčům (TRJ) se stanoví zvlášť za každého schváleného provozovatele, který je smluvní stranou dohody o propojení, a to pomocí následujícího vzorce:</w:t>
      </w:r>
    </w:p>
    <w:p w14:paraId="6856DE50" w14:textId="5415CC7F" w:rsidR="008701C9" w:rsidRPr="00933EA2" w:rsidRDefault="008701C9" w:rsidP="00933EA2">
      <w:pPr>
        <w:spacing w:before="100" w:beforeAutospacing="1" w:after="100" w:afterAutospacing="1"/>
        <w:jc w:val="both"/>
      </w:pPr>
      <w:r>
        <w:t xml:space="preserve">Vzorec je k dispozici k nahlédnutí ve faksimile v </w:t>
      </w:r>
      <w:proofErr w:type="spellStart"/>
      <w:r>
        <w:t>Úř</w:t>
      </w:r>
      <w:proofErr w:type="spellEnd"/>
      <w:r>
        <w:t xml:space="preserve">. </w:t>
      </w:r>
      <w:proofErr w:type="spellStart"/>
      <w:r>
        <w:t>věst</w:t>
      </w:r>
      <w:proofErr w:type="spellEnd"/>
      <w:r>
        <w:t xml:space="preserve">. č. 0244 ze dne 21. 10. 2015, text č. 6, na následující adrese: </w:t>
      </w:r>
    </w:p>
    <w:p w14:paraId="679B85AB" w14:textId="77777777" w:rsidR="008701C9" w:rsidRPr="00933EA2" w:rsidRDefault="00CB7745" w:rsidP="00933EA2">
      <w:pPr>
        <w:spacing w:before="100" w:beforeAutospacing="1" w:after="100" w:afterAutospacing="1"/>
        <w:jc w:val="both"/>
      </w:pPr>
      <w:hyperlink r:id="rId7" w:history="1">
        <w:r w:rsidR="00452EF3">
          <w:rPr>
            <w:color w:val="0000FF"/>
            <w:u w:val="single"/>
          </w:rPr>
          <w:t>http://www.legifrance.gouv.fr/jopdf/common/jo_pdf.jsp?numJO=0&amp;dateJO=20151021&amp;numTexte=6&amp;pageDebut=19518&amp;pageFin=19519</w:t>
        </w:r>
      </w:hyperlink>
      <w:r w:rsidR="00452EF3">
        <w:t xml:space="preserve"> </w:t>
      </w:r>
    </w:p>
    <w:p w14:paraId="5463CC75" w14:textId="77777777" w:rsidR="008701C9" w:rsidRPr="00933EA2" w:rsidRDefault="008701C9" w:rsidP="00933EA2">
      <w:pPr>
        <w:spacing w:before="100" w:beforeAutospacing="1" w:after="100" w:afterAutospacing="1"/>
        <w:jc w:val="both"/>
      </w:pPr>
      <w:r>
        <w:t>Vklady(Mi) odpovídají celkové částce vkladů uskutečněných hráči schváleného provozovatele na úrovni vkladů Mi.</w:t>
      </w:r>
    </w:p>
    <w:p w14:paraId="13A78E75" w14:textId="77777777" w:rsidR="008701C9" w:rsidRPr="00933EA2" w:rsidRDefault="008701C9" w:rsidP="00933EA2">
      <w:pPr>
        <w:spacing w:before="100" w:beforeAutospacing="1" w:after="100" w:afterAutospacing="1"/>
        <w:jc w:val="both"/>
      </w:pPr>
      <w:r>
        <w:lastRenderedPageBreak/>
        <w:t>M0 odpovídá nepropojeným vkladům u jiných schválených provozovatelů. Podle příslušných případů odpovídají tyto vklady součtu vlastních vkladů schváleného provozovatele nebo propojeným vkladům tohoto provozovatele s provozovateli, kteří nejsou držiteli schválení ve smyslu článku 21 výše uvedeného zákona ze dne 12. května 2010.</w:t>
      </w:r>
    </w:p>
    <w:p w14:paraId="1E10CBD7" w14:textId="77777777" w:rsidR="008701C9" w:rsidRPr="00933EA2" w:rsidRDefault="008701C9" w:rsidP="00933EA2">
      <w:pPr>
        <w:spacing w:before="100" w:beforeAutospacing="1" w:after="100" w:afterAutospacing="1"/>
        <w:jc w:val="both"/>
      </w:pPr>
      <w:r>
        <w:t>Mi, kde i≠0, odpovídá součtu propojených vkladů s ostatními schválenými provozovateli v rámci smlouvy i.</w:t>
      </w:r>
    </w:p>
    <w:p w14:paraId="0568A677" w14:textId="77777777" w:rsidR="008701C9" w:rsidRPr="00933EA2" w:rsidRDefault="008701C9" w:rsidP="00933EA2">
      <w:pPr>
        <w:spacing w:before="100" w:beforeAutospacing="1" w:after="100" w:afterAutospacing="1"/>
        <w:jc w:val="both"/>
      </w:pPr>
      <w:r>
        <w:t>∑</w:t>
      </w:r>
      <w:proofErr w:type="spellStart"/>
      <w:r>
        <w:t>nj</w:t>
      </w:r>
      <w:proofErr w:type="spellEnd"/>
      <w:r>
        <w:t xml:space="preserve"> = 0 Vklady(</w:t>
      </w:r>
      <w:proofErr w:type="spellStart"/>
      <w:r>
        <w:t>Mj</w:t>
      </w:r>
      <w:proofErr w:type="spellEnd"/>
      <w:r>
        <w:t>) odpovídají celkové částce vkladů schváleného provozovatele uskutečněných jeho hráči.</w:t>
      </w:r>
    </w:p>
    <w:p w14:paraId="1AC6CEEB" w14:textId="77777777" w:rsidR="008701C9" w:rsidRPr="00933EA2" w:rsidRDefault="008701C9" w:rsidP="00933EA2">
      <w:pPr>
        <w:spacing w:before="100" w:beforeAutospacing="1" w:after="100" w:afterAutospacing="1"/>
        <w:jc w:val="both"/>
      </w:pPr>
      <w:r>
        <w:t>TRJ(M0) odpovídá hodnotě TRJ součtu vkladů provozovatele nepropojenému s ostatními schválenými provozovateli. TRJ(M0) se vypočítá obecným postupem uvedeným v článcích 1 a 2 s přihlédnutím výhradně k těm prvkům, které souvisí s nepropojenými činnostmi u schválených provozovatelů a které byly uskutečněny výhradně hráči provozovatele.</w:t>
      </w:r>
    </w:p>
    <w:p w14:paraId="57FCBCE0" w14:textId="77777777" w:rsidR="008701C9" w:rsidRPr="00933EA2" w:rsidRDefault="008701C9" w:rsidP="00933EA2">
      <w:pPr>
        <w:spacing w:before="100" w:beforeAutospacing="1" w:after="100" w:afterAutospacing="1"/>
        <w:jc w:val="both"/>
      </w:pPr>
      <w:r>
        <w:t>TRJ(Mi), kde i≠0, odpovídá hodnotě TRJ součtu propojených vkladů Mi.</w:t>
      </w:r>
    </w:p>
    <w:p w14:paraId="15E6BD5C" w14:textId="77777777" w:rsidR="008701C9" w:rsidRPr="00933EA2" w:rsidRDefault="008701C9" w:rsidP="00933EA2">
      <w:pPr>
        <w:spacing w:before="100" w:beforeAutospacing="1" w:after="100" w:afterAutospacing="1"/>
        <w:jc w:val="both"/>
      </w:pPr>
      <w:r>
        <w:t>TRJ(Mi) se vypočítá obecným postupem podle článků 1 a 2, přičemž se přihlíží pouze k údajům, které souvisejí se smlouvou o propojení i a které se týkají všech hráčů schválených provozovatelů, kteří jsou smluvními stranami této smlouvy o propojení.</w:t>
      </w:r>
    </w:p>
    <w:p w14:paraId="74D4ED17" w14:textId="42C1DF07" w:rsidR="008701C9" w:rsidRPr="00933EA2" w:rsidRDefault="00B705CF" w:rsidP="00933EA2">
      <w:pPr>
        <w:pStyle w:val="BodyText"/>
        <w:keepNext/>
        <w:keepLines/>
        <w:jc w:val="center"/>
        <w:rPr>
          <w:b/>
        </w:rPr>
      </w:pPr>
      <w:r>
        <w:rPr>
          <w:b/>
        </w:rPr>
        <w:t>Článek 32</w:t>
      </w:r>
    </w:p>
    <w:p w14:paraId="2798784E" w14:textId="77777777" w:rsidR="008701C9" w:rsidRPr="00933EA2" w:rsidRDefault="008701C9" w:rsidP="00933EA2">
      <w:pPr>
        <w:keepNext/>
        <w:keepLines/>
        <w:rPr>
          <w:b/>
        </w:rPr>
      </w:pPr>
    </w:p>
    <w:p w14:paraId="1F4C0003" w14:textId="71727D5C" w:rsidR="008701C9" w:rsidRPr="00933EA2" w:rsidRDefault="008701C9" w:rsidP="00933EA2">
      <w:pPr>
        <w:jc w:val="both"/>
      </w:pPr>
      <w:r>
        <w:t xml:space="preserve">Podíl částek průměrně vyplacených hráčům provozovatelem, který je držitelem schválení podle </w:t>
      </w:r>
      <w:hyperlink r:id="rId8" w:history="1">
        <w:r>
          <w:t>článku 21 výše uvedeného zákona ze dne 12. května 2010</w:t>
        </w:r>
      </w:hyperlink>
      <w:r>
        <w:t xml:space="preserve"> a který propojuje vklady od svých vlastních hráčů pouze s vklady uskutečněnými sázkaři provozovatele, který není držitelem tohoto schválení, se stanoví v souladu s články 25 až 28.</w:t>
      </w:r>
    </w:p>
    <w:p w14:paraId="014ED93E" w14:textId="77777777" w:rsidR="00C342AB" w:rsidRPr="00933EA2" w:rsidRDefault="00C342AB" w:rsidP="00933EA2">
      <w:pPr>
        <w:pStyle w:val="BodyText"/>
        <w:jc w:val="both"/>
      </w:pPr>
    </w:p>
    <w:p w14:paraId="48F0C6DC" w14:textId="02D7A6A2" w:rsidR="00E83532" w:rsidRPr="00933EA2" w:rsidRDefault="00E83532" w:rsidP="007A780D">
      <w:pPr>
        <w:keepNext/>
        <w:keepLines/>
        <w:jc w:val="center"/>
        <w:rPr>
          <w:b/>
        </w:rPr>
      </w:pPr>
      <w:r>
        <w:rPr>
          <w:b/>
        </w:rPr>
        <w:t>HLAVA V: PODMÍNKY UVÁDĚNÍ PRÁV NA POŘÁDÁNÍ SÁZEK NA SPORTOVNÍ AKCE NEBO SOUTĚŽE NA TRH</w:t>
      </w:r>
    </w:p>
    <w:p w14:paraId="5809CD9F" w14:textId="77777777" w:rsidR="00E83532" w:rsidRPr="00933EA2" w:rsidRDefault="00E83532" w:rsidP="007A780D">
      <w:pPr>
        <w:keepNext/>
        <w:keepLines/>
        <w:jc w:val="center"/>
        <w:rPr>
          <w:b/>
        </w:rPr>
      </w:pPr>
    </w:p>
    <w:p w14:paraId="0B22410E" w14:textId="77777777" w:rsidR="00E83532" w:rsidRPr="00933EA2" w:rsidRDefault="00E83532" w:rsidP="007A780D">
      <w:pPr>
        <w:keepNext/>
        <w:keepLines/>
        <w:jc w:val="center"/>
        <w:rPr>
          <w:b/>
        </w:rPr>
      </w:pPr>
    </w:p>
    <w:p w14:paraId="3C2665F7" w14:textId="6BB42B72" w:rsidR="00E83532" w:rsidRPr="00933EA2" w:rsidRDefault="00B705CF" w:rsidP="007A780D">
      <w:pPr>
        <w:pStyle w:val="BodyText"/>
        <w:keepNext/>
        <w:keepLines/>
        <w:jc w:val="center"/>
        <w:rPr>
          <w:b/>
        </w:rPr>
      </w:pPr>
      <w:r>
        <w:rPr>
          <w:b/>
        </w:rPr>
        <w:t>Článek 33</w:t>
      </w:r>
    </w:p>
    <w:p w14:paraId="28229132" w14:textId="77777777" w:rsidR="00E83532" w:rsidRPr="00933EA2" w:rsidRDefault="00E83532" w:rsidP="007A780D">
      <w:pPr>
        <w:keepNext/>
        <w:keepLines/>
        <w:rPr>
          <w:b/>
        </w:rPr>
      </w:pPr>
    </w:p>
    <w:p w14:paraId="5128E42F" w14:textId="7AD0B049" w:rsidR="001A748C" w:rsidRPr="00933EA2" w:rsidRDefault="001A748C" w:rsidP="00933EA2">
      <w:pPr>
        <w:jc w:val="both"/>
      </w:pPr>
      <w:r>
        <w:t>Sportovní federace a pořadatelé sportovních akcí uvedou se společností, která má výhradní práva podle článku 137 výše uvedeného zákona ze dne 22. května 2019, a v nevýhradním režimu s provozovateli sportovních sázek on-line, kteří jsou držiteli schválení podle článku 21 výše uvedeného zákona ze dne 12. května 2010, na trh právo na pořádání sázek na sportovní akce nebo soutěže, které pořádají za podmínek stanovených v článcích 34 až 37 tohoto dekretu.</w:t>
      </w:r>
    </w:p>
    <w:p w14:paraId="28C6C1AE" w14:textId="77777777" w:rsidR="00E83532" w:rsidRPr="00933EA2" w:rsidRDefault="00E83532" w:rsidP="00933EA2">
      <w:pPr>
        <w:jc w:val="both"/>
      </w:pPr>
    </w:p>
    <w:p w14:paraId="6C010B8C" w14:textId="79F39930" w:rsidR="00E83532" w:rsidRPr="00933EA2" w:rsidRDefault="00B705CF" w:rsidP="00933EA2">
      <w:pPr>
        <w:pStyle w:val="BodyText"/>
        <w:keepNext/>
        <w:keepLines/>
        <w:jc w:val="center"/>
        <w:rPr>
          <w:b/>
        </w:rPr>
      </w:pPr>
      <w:r>
        <w:rPr>
          <w:b/>
        </w:rPr>
        <w:t>Článek 34</w:t>
      </w:r>
    </w:p>
    <w:p w14:paraId="7F24E3CE" w14:textId="77777777" w:rsidR="00E83532" w:rsidRPr="00933EA2" w:rsidRDefault="00E83532" w:rsidP="00933EA2">
      <w:pPr>
        <w:keepNext/>
        <w:keepLines/>
        <w:rPr>
          <w:b/>
        </w:rPr>
      </w:pPr>
    </w:p>
    <w:p w14:paraId="4544500B" w14:textId="77777777" w:rsidR="00E83532" w:rsidRPr="00933EA2" w:rsidRDefault="00E83532" w:rsidP="00933EA2">
      <w:pPr>
        <w:jc w:val="both"/>
      </w:pPr>
      <w:r>
        <w:t>Uvádění práva na pořádání sázek na trh ze strany sportovních federací a pořadatelů sportovních akcí bude mít formu nediskriminačního konzultačního postupu otevřeného všem provozovatelům, kteří jsou schválenými provozovateli sportovních sázek podle článku 21 výše uvedeného zákona ze dne 12. května 2010.</w:t>
      </w:r>
    </w:p>
    <w:p w14:paraId="68BF99B9" w14:textId="77777777" w:rsidR="00E83532" w:rsidRPr="00933EA2" w:rsidRDefault="00E83532" w:rsidP="00933EA2">
      <w:pPr>
        <w:jc w:val="both"/>
      </w:pPr>
      <w:r>
        <w:t>Tento postup nesmí být rozdělen do samostatných položek.</w:t>
      </w:r>
    </w:p>
    <w:p w14:paraId="19794558" w14:textId="77777777" w:rsidR="00E83532" w:rsidRPr="00933EA2" w:rsidRDefault="00E83532" w:rsidP="00933EA2">
      <w:pPr>
        <w:jc w:val="both"/>
      </w:pPr>
      <w:r>
        <w:lastRenderedPageBreak/>
        <w:t>Specifikace vypracované sportovní federací nebo pořadatelem sportovních akcí se zasílají každému schválenému provozovateli, který o to požádá.</w:t>
      </w:r>
    </w:p>
    <w:p w14:paraId="5C661377" w14:textId="77777777" w:rsidR="00E83532" w:rsidRPr="00933EA2" w:rsidRDefault="00E83532" w:rsidP="00933EA2">
      <w:pPr>
        <w:jc w:val="both"/>
      </w:pPr>
      <w:r>
        <w:t>Tyto specifikace:</w:t>
      </w:r>
    </w:p>
    <w:p w14:paraId="5305958B" w14:textId="77777777" w:rsidR="00E83532" w:rsidRPr="00933EA2" w:rsidRDefault="00E83532" w:rsidP="00933EA2">
      <w:pPr>
        <w:jc w:val="both"/>
      </w:pPr>
      <w:r>
        <w:t>1. upřesňují časový harmonogram zadávacího řízení a pravidla konzultace, zejména pokud jde o stanovení ceny, za podmínek podle článku 36;</w:t>
      </w:r>
    </w:p>
    <w:p w14:paraId="1846E31E" w14:textId="77777777" w:rsidR="00E83532" w:rsidRPr="00933EA2" w:rsidRDefault="00E83532" w:rsidP="00933EA2">
      <w:pPr>
        <w:jc w:val="both"/>
      </w:pPr>
      <w:r>
        <w:t>2. upřesňují předmět konzultace, který se může týkat jedné nebo několika sportovních akcí nebo soutěží, při dodržení kategorií sportovních akcí a soutěží definovaných Národním úřadem pro hazardní hry;</w:t>
      </w:r>
    </w:p>
    <w:p w14:paraId="7283C5C5" w14:textId="77777777" w:rsidR="00E83532" w:rsidRPr="00933EA2" w:rsidRDefault="00E83532" w:rsidP="00933EA2">
      <w:pPr>
        <w:jc w:val="both"/>
      </w:pPr>
      <w:r>
        <w:t>3. stanoví dobu platnosti práva provozovat tyto sázky;</w:t>
      </w:r>
    </w:p>
    <w:p w14:paraId="44470888" w14:textId="77777777" w:rsidR="00E83532" w:rsidRPr="00933EA2" w:rsidRDefault="00E83532" w:rsidP="00933EA2">
      <w:pPr>
        <w:jc w:val="both"/>
      </w:pPr>
      <w:r>
        <w:t>4. upřesňují opatření v rámci dohledu a odhalování, která mají sportovní federace nebo pořadatelé sportovních akcí v úmyslu zavést, pokud jde o předcházení rizikům narušení integrity soutěží nebo sportovních akcí, které jsou předmětem konzultací;</w:t>
      </w:r>
    </w:p>
    <w:p w14:paraId="741F2DE2" w14:textId="77777777" w:rsidR="00E83532" w:rsidRPr="00933EA2" w:rsidRDefault="00E83532" w:rsidP="00933EA2">
      <w:pPr>
        <w:jc w:val="both"/>
      </w:pPr>
      <w:r>
        <w:t>5. stanoví povinnosti v oblasti podávání informací a transparentnosti, které připadají schválenému provozovateli při odhalování podvodů a předcházení narušení integrity sportovních akcí a soutěží.</w:t>
      </w:r>
    </w:p>
    <w:p w14:paraId="6B302731" w14:textId="77777777" w:rsidR="00E83532" w:rsidRPr="00933EA2" w:rsidRDefault="00E83532" w:rsidP="00933EA2">
      <w:pPr>
        <w:jc w:val="both"/>
      </w:pPr>
    </w:p>
    <w:p w14:paraId="315C78D0" w14:textId="1148D27B" w:rsidR="00E83532" w:rsidRPr="00933EA2" w:rsidRDefault="00B705CF" w:rsidP="00933EA2">
      <w:pPr>
        <w:pStyle w:val="BodyText"/>
        <w:keepNext/>
        <w:keepLines/>
        <w:jc w:val="center"/>
        <w:rPr>
          <w:b/>
        </w:rPr>
      </w:pPr>
      <w:r>
        <w:rPr>
          <w:b/>
        </w:rPr>
        <w:t>Článek 35</w:t>
      </w:r>
    </w:p>
    <w:p w14:paraId="4393A0B3" w14:textId="77777777" w:rsidR="00E83532" w:rsidRPr="00933EA2" w:rsidRDefault="00E83532" w:rsidP="00933EA2">
      <w:pPr>
        <w:keepNext/>
        <w:keepLines/>
        <w:rPr>
          <w:b/>
        </w:rPr>
      </w:pPr>
    </w:p>
    <w:p w14:paraId="1188C467" w14:textId="3F4FD285" w:rsidR="00116832" w:rsidRPr="00933EA2" w:rsidRDefault="00E83532" w:rsidP="00933EA2">
      <w:pPr>
        <w:jc w:val="both"/>
      </w:pPr>
      <w:r>
        <w:t>Smlouva o pořádání sázek uzavřená v souladu s článkem L. 333-1-2 sportovního zákoníku mezi sportovní federací nebo pořadatelem sportovních akcí a společností, která má výhradní práva pořádat a provozovat sázky na sportovní akce na základě ustanovení čl. 137 odst. I výše uvedeného zákona ze dne 22. května 2019, zejména stanoví:</w:t>
      </w:r>
    </w:p>
    <w:p w14:paraId="46E360EF" w14:textId="77777777" w:rsidR="00E83532" w:rsidRPr="00933EA2" w:rsidRDefault="00E83532" w:rsidP="00933EA2">
      <w:pPr>
        <w:jc w:val="both"/>
      </w:pPr>
      <w:r>
        <w:t>1. opatření v rámci dohledu a odhalování, která mají sportovní federace nebo pořadatelé sportovních akcí v úmyslu zavést, pokud jde o předcházení rizikům narušení integrity soutěží nebo sportovních akcí, které jsou předmětem smlouvy;</w:t>
      </w:r>
    </w:p>
    <w:p w14:paraId="1C0A8F89" w14:textId="77777777" w:rsidR="00E83532" w:rsidRPr="00933EA2" w:rsidRDefault="00E83532" w:rsidP="00933EA2">
      <w:pPr>
        <w:jc w:val="both"/>
      </w:pPr>
      <w:r>
        <w:t>2. povinnosti v oblasti podávání informací a transparentnosti, které připadají společnosti, jež je nositelem výhradních práv, při odhalování podvodů a předcházení narušení integrity sportovních akcí a soutěží.</w:t>
      </w:r>
    </w:p>
    <w:p w14:paraId="5C314506" w14:textId="77777777" w:rsidR="00E83532" w:rsidRPr="00933EA2" w:rsidRDefault="00E83532" w:rsidP="00933EA2">
      <w:pPr>
        <w:jc w:val="both"/>
        <w:rPr>
          <w:b/>
        </w:rPr>
      </w:pPr>
    </w:p>
    <w:p w14:paraId="6931D13E" w14:textId="31BF7EE5" w:rsidR="00E83532" w:rsidRPr="00933EA2" w:rsidRDefault="00B705CF" w:rsidP="00933EA2">
      <w:pPr>
        <w:pStyle w:val="BodyText"/>
        <w:keepNext/>
        <w:keepLines/>
        <w:jc w:val="center"/>
        <w:rPr>
          <w:b/>
        </w:rPr>
      </w:pPr>
      <w:r>
        <w:rPr>
          <w:b/>
        </w:rPr>
        <w:t>Článek 36</w:t>
      </w:r>
    </w:p>
    <w:p w14:paraId="37351E1A" w14:textId="77777777" w:rsidR="00E83532" w:rsidRPr="00933EA2" w:rsidRDefault="00E83532" w:rsidP="00933EA2">
      <w:pPr>
        <w:keepNext/>
        <w:keepLines/>
        <w:rPr>
          <w:b/>
        </w:rPr>
      </w:pPr>
    </w:p>
    <w:p w14:paraId="0BD0987A" w14:textId="77777777" w:rsidR="00E83532" w:rsidRPr="00933EA2" w:rsidRDefault="00E83532" w:rsidP="00933EA2">
      <w:r>
        <w:t>Cena za přidělení práva na pořádání sázek se vyjadřuje v poměru ke vsazeným částkám.</w:t>
      </w:r>
    </w:p>
    <w:p w14:paraId="5C76294E" w14:textId="77777777" w:rsidR="00E83532" w:rsidRPr="00933EA2" w:rsidRDefault="00E83532" w:rsidP="00933EA2">
      <w:pPr>
        <w:jc w:val="both"/>
        <w:rPr>
          <w:b/>
        </w:rPr>
      </w:pPr>
    </w:p>
    <w:p w14:paraId="3C1B7CE3" w14:textId="1A73D23D" w:rsidR="00E83532" w:rsidRPr="00933EA2" w:rsidRDefault="00E83532" w:rsidP="00933EA2">
      <w:pPr>
        <w:pStyle w:val="BodyText"/>
        <w:keepNext/>
        <w:keepLines/>
        <w:jc w:val="center"/>
        <w:rPr>
          <w:b/>
        </w:rPr>
      </w:pPr>
      <w:r>
        <w:rPr>
          <w:b/>
        </w:rPr>
        <w:t>Článek 37</w:t>
      </w:r>
    </w:p>
    <w:p w14:paraId="0592EB5B" w14:textId="77777777" w:rsidR="00E83532" w:rsidRPr="00933EA2" w:rsidRDefault="00E83532" w:rsidP="00933EA2">
      <w:pPr>
        <w:keepNext/>
        <w:keepLines/>
        <w:rPr>
          <w:b/>
        </w:rPr>
      </w:pPr>
    </w:p>
    <w:p w14:paraId="705BC232" w14:textId="6647C347" w:rsidR="00E83532" w:rsidRPr="00933EA2" w:rsidRDefault="00E83532" w:rsidP="00933EA2">
      <w:pPr>
        <w:jc w:val="both"/>
      </w:pPr>
      <w:r>
        <w:t>Přidělení práva na pořádání sázek musí být uděleno každému schválenému provozovateli, který o to požádá během období provozování uvedeného v čl. 34 odst. 3, a to na zbývající část tohoto období, pokud tento schválený provozovatel splňuje všechny podmínky stanovené ve specifikacích a přijme cenu vzešlou z konzultace podle článku 34.</w:t>
      </w:r>
    </w:p>
    <w:p w14:paraId="0B35E497" w14:textId="77777777" w:rsidR="00E83532" w:rsidRPr="00933EA2" w:rsidRDefault="00E83532" w:rsidP="00933EA2">
      <w:pPr>
        <w:jc w:val="both"/>
      </w:pPr>
    </w:p>
    <w:p w14:paraId="2D8F220A" w14:textId="685526BB" w:rsidR="00E83532" w:rsidRPr="00933EA2" w:rsidRDefault="000546D5" w:rsidP="00933EA2">
      <w:pPr>
        <w:pStyle w:val="BodyText"/>
        <w:keepNext/>
        <w:keepLines/>
        <w:jc w:val="center"/>
        <w:rPr>
          <w:b/>
        </w:rPr>
      </w:pPr>
      <w:r>
        <w:rPr>
          <w:b/>
        </w:rPr>
        <w:t>Článek 38</w:t>
      </w:r>
    </w:p>
    <w:p w14:paraId="6719A169" w14:textId="77777777" w:rsidR="00E83532" w:rsidRPr="00933EA2" w:rsidRDefault="00E83532" w:rsidP="00933EA2">
      <w:pPr>
        <w:keepNext/>
        <w:keepLines/>
        <w:rPr>
          <w:b/>
        </w:rPr>
      </w:pPr>
    </w:p>
    <w:p w14:paraId="5D5239CC" w14:textId="77777777" w:rsidR="00E83532" w:rsidRPr="00933EA2" w:rsidRDefault="00E83532" w:rsidP="00933EA2">
      <w:pPr>
        <w:jc w:val="both"/>
      </w:pPr>
      <w:r>
        <w:t>Smlouva o pořádání sázek uzavřená v souladu s článkem L. 333-1-2 sportovního zákoníku mezi sportovní federací nebo pořadatelem sportovní akce a schváleným provozovatelem automaticky zaniká v případě, že schválený provozovatel přijde o své schválení podle článku 21 výše uvedeného zákona ze dne 12. května 2010.</w:t>
      </w:r>
    </w:p>
    <w:p w14:paraId="36801C3B" w14:textId="77777777" w:rsidR="00757561" w:rsidRPr="00933EA2" w:rsidRDefault="00757561" w:rsidP="00933EA2">
      <w:pPr>
        <w:jc w:val="both"/>
      </w:pPr>
    </w:p>
    <w:p w14:paraId="6BC7C418" w14:textId="22A119E4" w:rsidR="00E83532" w:rsidRPr="00933EA2" w:rsidRDefault="00E83532" w:rsidP="00933EA2">
      <w:pPr>
        <w:jc w:val="center"/>
        <w:rPr>
          <w:b/>
        </w:rPr>
      </w:pPr>
      <w:r>
        <w:rPr>
          <w:b/>
        </w:rPr>
        <w:t>HLAVA VI: SPORTOVNÍ SOUTĚŽE A TYPY SPORTOVNÍCH VÝSLEDKŮ STANOVENÉ NÁRODNÍM ÚŘADEM PRO HAZARDNÍ HRY</w:t>
      </w:r>
    </w:p>
    <w:p w14:paraId="69BAC38E" w14:textId="77777777" w:rsidR="00E83532" w:rsidRPr="00933EA2" w:rsidRDefault="00E83532" w:rsidP="00933EA2">
      <w:pPr>
        <w:jc w:val="center"/>
        <w:rPr>
          <w:b/>
        </w:rPr>
      </w:pPr>
    </w:p>
    <w:p w14:paraId="3CECFBB9" w14:textId="25BBB318" w:rsidR="00E83532" w:rsidRPr="00933EA2" w:rsidRDefault="000546D5" w:rsidP="00933EA2">
      <w:pPr>
        <w:pStyle w:val="BodyText"/>
        <w:keepNext/>
        <w:keepLines/>
        <w:jc w:val="center"/>
        <w:rPr>
          <w:b/>
        </w:rPr>
      </w:pPr>
      <w:r>
        <w:rPr>
          <w:b/>
        </w:rPr>
        <w:lastRenderedPageBreak/>
        <w:t>Článek 39</w:t>
      </w:r>
    </w:p>
    <w:p w14:paraId="6A81B994" w14:textId="77777777" w:rsidR="00E83532" w:rsidRPr="00933EA2" w:rsidRDefault="00E83532" w:rsidP="00933EA2">
      <w:pPr>
        <w:keepNext/>
        <w:keepLines/>
        <w:rPr>
          <w:b/>
        </w:rPr>
      </w:pPr>
    </w:p>
    <w:p w14:paraId="0DB946A6" w14:textId="77777777" w:rsidR="00E83532" w:rsidRPr="00933EA2" w:rsidRDefault="00E83532" w:rsidP="00933EA2">
      <w:pPr>
        <w:jc w:val="both"/>
      </w:pPr>
      <w:r>
        <w:t>Všichni provozovatelé sázek na sportovní akce, kteří jsou držiteli schválení podle článku 21 výše uvedeného zákona ze dne 12. května 2010 a všechny společnosti, které jsou nositeli výhradních práv uvedených v článku 137 výše uvedeného zákona ze dne 22. května 2019, jsou oprávněni přijímat sázky na sportovní akce, pokud jde o:</w:t>
      </w:r>
    </w:p>
    <w:p w14:paraId="17D806A7" w14:textId="10AEBFC3" w:rsidR="00E83532" w:rsidRPr="00933EA2" w:rsidRDefault="001D2F2A" w:rsidP="00933EA2">
      <w:pPr>
        <w:jc w:val="both"/>
      </w:pPr>
      <w:r>
        <w:t>1. jednu ze sportovních soutěží nebo akcí stanovených Národním úřadem pro hazardní hry na základě podmínek stanovených v článku 40 tohoto dekretu;</w:t>
      </w:r>
    </w:p>
    <w:p w14:paraId="5583FEEC" w14:textId="31F4AAB1" w:rsidR="00E83532" w:rsidRPr="00933EA2" w:rsidRDefault="001D2F2A" w:rsidP="00933EA2">
      <w:pPr>
        <w:jc w:val="both"/>
      </w:pPr>
      <w:r>
        <w:t>2. typy výsledků stanovených Národním úřadem pro hazardní hry na základě podmínek stanovených v článku 41 tohoto dekretu.</w:t>
      </w:r>
    </w:p>
    <w:p w14:paraId="43D77DCC" w14:textId="77777777" w:rsidR="00E83532" w:rsidRPr="00933EA2" w:rsidRDefault="00E83532" w:rsidP="00933EA2">
      <w:pPr>
        <w:jc w:val="both"/>
      </w:pPr>
    </w:p>
    <w:p w14:paraId="3D01E1B0" w14:textId="2CD26D6C" w:rsidR="00E83532" w:rsidRPr="00933EA2" w:rsidRDefault="000546D5" w:rsidP="00933EA2">
      <w:pPr>
        <w:pStyle w:val="BodyText"/>
        <w:keepNext/>
        <w:keepLines/>
        <w:jc w:val="center"/>
        <w:rPr>
          <w:b/>
        </w:rPr>
      </w:pPr>
      <w:r>
        <w:rPr>
          <w:b/>
        </w:rPr>
        <w:t>Článek 40</w:t>
      </w:r>
    </w:p>
    <w:p w14:paraId="0C3BE9F8" w14:textId="77777777" w:rsidR="00E83532" w:rsidRPr="00933EA2" w:rsidRDefault="00E83532" w:rsidP="00933EA2">
      <w:pPr>
        <w:keepNext/>
        <w:keepLines/>
        <w:rPr>
          <w:b/>
        </w:rPr>
      </w:pPr>
    </w:p>
    <w:p w14:paraId="718B7814" w14:textId="77777777" w:rsidR="00E83532" w:rsidRPr="00933EA2" w:rsidRDefault="00E83532" w:rsidP="00933EA2">
      <w:pPr>
        <w:jc w:val="both"/>
      </w:pPr>
      <w:r>
        <w:t>I. ― Národní úřad pro hazardní hry stanoví v případě každé sportovní disciplíny sportovní soutěže nebo akce, na které lze podávat sportovní sázky, a případně provede rozlišení mezi sázkami podléhajícími výhradním právům a sázkami on-line.</w:t>
      </w:r>
    </w:p>
    <w:p w14:paraId="0E8A7ED2" w14:textId="77777777" w:rsidR="00E83532" w:rsidRPr="00933EA2" w:rsidRDefault="000546D5" w:rsidP="00933EA2">
      <w:pPr>
        <w:jc w:val="both"/>
      </w:pPr>
      <w:r>
        <w:t>II. ― Sportovní soutěže nebo akce, na které lze podávat sázky, jsou stanoveny na základě doporučení příslušné zmocněné federace ve spolupráci s profesionální ligou, pokud byla zřízena, nebo, pokud to není možné, s ministrem sportu, a to zejména v závislosti na:</w:t>
      </w:r>
    </w:p>
    <w:p w14:paraId="722FF2F6" w14:textId="5172B280" w:rsidR="00E83532" w:rsidRPr="00933EA2" w:rsidRDefault="00E83532" w:rsidP="00933EA2">
      <w:pPr>
        <w:jc w:val="both"/>
      </w:pPr>
      <w:r>
        <w:t>1. povaze pořadatele sportovní soutěže nebo akce, kterým může být buďto:</w:t>
      </w:r>
    </w:p>
    <w:p w14:paraId="3488BBCF" w14:textId="25AC620C" w:rsidR="00E83532" w:rsidRPr="00933EA2" w:rsidRDefault="001D2F2A" w:rsidP="00933EA2">
      <w:pPr>
        <w:jc w:val="both"/>
      </w:pPr>
      <w:r>
        <w:t>a) sportovní federace uvedená v článku L. 131-1 sportovního zákoníku;</w:t>
      </w:r>
    </w:p>
    <w:p w14:paraId="7C99B229" w14:textId="0EBB845F" w:rsidR="00E83532" w:rsidRPr="00933EA2" w:rsidRDefault="001D2F2A" w:rsidP="00933EA2">
      <w:pPr>
        <w:jc w:val="both"/>
      </w:pPr>
      <w:r>
        <w:t>b) mezinárodní sportovní federace;</w:t>
      </w:r>
    </w:p>
    <w:p w14:paraId="2F54D76A" w14:textId="73157C35" w:rsidR="00E83532" w:rsidRPr="00933EA2" w:rsidRDefault="001D2F2A" w:rsidP="00933EA2">
      <w:pPr>
        <w:jc w:val="both"/>
      </w:pPr>
      <w:r>
        <w:t>c) mezinárodní sportovní orgán;</w:t>
      </w:r>
    </w:p>
    <w:p w14:paraId="64D8D58C" w14:textId="467D8AC5" w:rsidR="00E83532" w:rsidRPr="00933EA2" w:rsidRDefault="001D2F2A" w:rsidP="00933EA2">
      <w:pPr>
        <w:jc w:val="both"/>
      </w:pPr>
      <w:r>
        <w:t>d) pořadatel sportovní akce podle článku L. 331-5 nebo R 331-4-1 sportovního zákoníku;</w:t>
      </w:r>
    </w:p>
    <w:p w14:paraId="6D85461B" w14:textId="41B7DCD3" w:rsidR="00E83532" w:rsidRPr="00933EA2" w:rsidRDefault="001D2F2A" w:rsidP="00933EA2">
      <w:pPr>
        <w:jc w:val="both"/>
      </w:pPr>
      <w:r>
        <w:t>e) pořadatel sportovní akce pořádané v souladu se zákonem v zahraničí;</w:t>
      </w:r>
    </w:p>
    <w:p w14:paraId="2CDF6961" w14:textId="38CAF493" w:rsidR="00E83532" w:rsidRPr="00933EA2" w:rsidRDefault="001D2F2A" w:rsidP="00933EA2">
      <w:pPr>
        <w:jc w:val="both"/>
      </w:pPr>
      <w:r>
        <w:t xml:space="preserve">2. právní úpravě vztahující se na tyto sportovní soutěže nebo akce; </w:t>
      </w:r>
    </w:p>
    <w:p w14:paraId="11DA738D" w14:textId="1DBC6C2A" w:rsidR="00E83532" w:rsidRPr="00933EA2" w:rsidRDefault="001D2F2A" w:rsidP="00933EA2">
      <w:pPr>
        <w:jc w:val="both"/>
      </w:pPr>
      <w:r>
        <w:t>3. dostupnosti výsledků těchto sportovních soutěží nebo akcí;</w:t>
      </w:r>
    </w:p>
    <w:p w14:paraId="048F9C60" w14:textId="0BDBD468" w:rsidR="00E83532" w:rsidRPr="00933EA2" w:rsidRDefault="001D2F2A" w:rsidP="00933EA2">
      <w:pPr>
        <w:jc w:val="both"/>
      </w:pPr>
      <w:r>
        <w:t>4. věku účastníků sportovní akce, kteří se mohou těchto soutěží nebo sportovních akcí účastnit;</w:t>
      </w:r>
    </w:p>
    <w:p w14:paraId="146ED28A" w14:textId="4C2DC76F" w:rsidR="00E83532" w:rsidRPr="00933EA2" w:rsidRDefault="001D2F2A" w:rsidP="00933EA2">
      <w:pPr>
        <w:jc w:val="both"/>
      </w:pPr>
      <w:r>
        <w:t xml:space="preserve">5. známosti sportovní soutěže nebo akce a toho, co je ve hře; </w:t>
      </w:r>
    </w:p>
    <w:p w14:paraId="7A8FAC6E" w14:textId="6EB98374" w:rsidR="00E83532" w:rsidRPr="00933EA2" w:rsidRDefault="001D2F2A" w:rsidP="00933EA2">
      <w:pPr>
        <w:jc w:val="both"/>
      </w:pPr>
      <w:r>
        <w:t>6. rizicích manipulace, která existují v případě dané sportovní soutěže nebo akce.</w:t>
      </w:r>
    </w:p>
    <w:p w14:paraId="74D6EFEB" w14:textId="77777777" w:rsidR="00E83532" w:rsidRPr="00933EA2" w:rsidRDefault="00E83532" w:rsidP="00933EA2">
      <w:pPr>
        <w:jc w:val="both"/>
      </w:pPr>
    </w:p>
    <w:p w14:paraId="74BF033A" w14:textId="1A8A113B" w:rsidR="00E83532" w:rsidRPr="00933EA2" w:rsidRDefault="000546D5" w:rsidP="00933EA2">
      <w:pPr>
        <w:jc w:val="both"/>
      </w:pPr>
      <w:r>
        <w:t>III. ― Národní úřad pro hazardní hry je oprávněn zapsat na seznam jen část sportovní soutěže nebo akce s ohledem na kritéria definovaná v bodu II tohoto článku.</w:t>
      </w:r>
    </w:p>
    <w:p w14:paraId="165DB7F5" w14:textId="77777777" w:rsidR="00E83532" w:rsidRPr="00933EA2" w:rsidRDefault="00E83532" w:rsidP="00933EA2">
      <w:pPr>
        <w:jc w:val="both"/>
      </w:pPr>
    </w:p>
    <w:p w14:paraId="2466DE5D" w14:textId="1FBC8993" w:rsidR="00E83532" w:rsidRPr="00933EA2" w:rsidRDefault="000546D5" w:rsidP="00933EA2">
      <w:pPr>
        <w:jc w:val="center"/>
        <w:rPr>
          <w:b/>
        </w:rPr>
      </w:pPr>
      <w:r>
        <w:rPr>
          <w:b/>
        </w:rPr>
        <w:t>Článek 41</w:t>
      </w:r>
    </w:p>
    <w:p w14:paraId="196D5DA5" w14:textId="77777777" w:rsidR="00E83532" w:rsidRPr="00933EA2" w:rsidRDefault="00E83532" w:rsidP="00933EA2">
      <w:pPr>
        <w:keepNext/>
        <w:keepLines/>
        <w:rPr>
          <w:b/>
        </w:rPr>
      </w:pPr>
    </w:p>
    <w:p w14:paraId="13AE3DD7" w14:textId="2172B9F8" w:rsidR="00E83532" w:rsidRPr="00933EA2" w:rsidRDefault="00E83532" w:rsidP="00933EA2">
      <w:pPr>
        <w:jc w:val="both"/>
      </w:pPr>
      <w:r>
        <w:t>I.― V případě každé sportovní disciplíny a případně každé sportovní soutěže nebo akce definované v souladu s postupy podle článku 40 Národní úřad pro hazardní hry na základě stanoviska příslušné zmocněné federace ve spolupráci s profesionální ligou, pokud byla zřízena, nebo, pokud to není možné, na základě stanoviska ministra sportu stanoví typy výsledků a odpovídající herní fáze, na které lze podávat sportovní sázky, a případně provede rozlišení mezi sázkami na základě výhradních práv a sázkami on-line.</w:t>
      </w:r>
    </w:p>
    <w:p w14:paraId="52F1E19B" w14:textId="77777777" w:rsidR="00933EA2" w:rsidRDefault="00933EA2" w:rsidP="00933EA2">
      <w:pPr>
        <w:jc w:val="both"/>
      </w:pPr>
    </w:p>
    <w:p w14:paraId="1E870BBE" w14:textId="69770689" w:rsidR="00E83532" w:rsidRPr="00933EA2" w:rsidRDefault="000546D5" w:rsidP="00933EA2">
      <w:pPr>
        <w:jc w:val="both"/>
      </w:pPr>
      <w:r>
        <w:t>II.― Typy výsledků se stanoví s přihlédnutím k rizikům manipulace, která existují v případě těchto výsledků, a specifikům dané sportovní disciplíny.</w:t>
      </w:r>
    </w:p>
    <w:p w14:paraId="3DDA3910" w14:textId="77777777" w:rsidR="00E83532" w:rsidRPr="00933EA2" w:rsidRDefault="00E83532" w:rsidP="00933EA2">
      <w:pPr>
        <w:jc w:val="both"/>
      </w:pPr>
    </w:p>
    <w:p w14:paraId="77CBE7C3" w14:textId="77777777" w:rsidR="00E83532" w:rsidRPr="00933EA2" w:rsidRDefault="00E83532" w:rsidP="00933EA2">
      <w:pPr>
        <w:jc w:val="both"/>
      </w:pPr>
      <w:r>
        <w:t xml:space="preserve">Těmito typy výsledků mohou být: </w:t>
      </w:r>
    </w:p>
    <w:p w14:paraId="64871295" w14:textId="77777777" w:rsidR="00E83532" w:rsidRPr="00933EA2" w:rsidRDefault="00E83532" w:rsidP="00933EA2">
      <w:pPr>
        <w:jc w:val="both"/>
      </w:pPr>
    </w:p>
    <w:p w14:paraId="46B057BA" w14:textId="767E0100" w:rsidR="00E83532" w:rsidRPr="00933EA2" w:rsidRDefault="001D2F2A" w:rsidP="00933EA2">
      <w:pPr>
        <w:jc w:val="both"/>
      </w:pPr>
      <w:r>
        <w:t>1. konečné výsledky sportovních soutěží nebo akcí;</w:t>
      </w:r>
    </w:p>
    <w:p w14:paraId="76225C59" w14:textId="499CFFB9" w:rsidR="00E83532" w:rsidRPr="00933EA2" w:rsidRDefault="001D2F2A" w:rsidP="00933EA2">
      <w:pPr>
        <w:jc w:val="both"/>
      </w:pPr>
      <w:r>
        <w:t>2. průběžné výsledky jednotlivých fází sportovních soutěží nebo akcí;</w:t>
      </w:r>
    </w:p>
    <w:p w14:paraId="1F3DC41C" w14:textId="4063A425" w:rsidR="00E83532" w:rsidRPr="00933EA2" w:rsidRDefault="001D2F2A" w:rsidP="00933EA2">
      <w:pPr>
        <w:jc w:val="both"/>
      </w:pPr>
      <w:r>
        <w:lastRenderedPageBreak/>
        <w:t>3. jakákoli sportovní událost, která má nějaký sportovní aspekt a která nastane během sportovní soutěže, akce nebo fáze hry.</w:t>
      </w:r>
    </w:p>
    <w:p w14:paraId="1F9930BA" w14:textId="77777777" w:rsidR="00E83532" w:rsidRPr="00933EA2" w:rsidRDefault="00E83532" w:rsidP="00933EA2">
      <w:pPr>
        <w:jc w:val="both"/>
      </w:pPr>
    </w:p>
    <w:p w14:paraId="52EF1F25" w14:textId="77777777" w:rsidR="00E83532" w:rsidRPr="00933EA2" w:rsidRDefault="00E83532" w:rsidP="00933EA2">
      <w:pPr>
        <w:jc w:val="both"/>
      </w:pPr>
      <w:r>
        <w:t xml:space="preserve">V těchto výsledcích se musí promítat objektivní a kvantifikovatelné sportovní výkony účastníků sportovní soutěže nebo akce. </w:t>
      </w:r>
    </w:p>
    <w:p w14:paraId="3A8AA489" w14:textId="77777777" w:rsidR="00E83532" w:rsidRPr="00933EA2" w:rsidRDefault="00E83532" w:rsidP="00933EA2">
      <w:pPr>
        <w:jc w:val="both"/>
      </w:pPr>
    </w:p>
    <w:p w14:paraId="73D6EA4B" w14:textId="77777777" w:rsidR="00E83532" w:rsidRPr="00933EA2" w:rsidRDefault="00E83532" w:rsidP="00933EA2">
      <w:pPr>
        <w:jc w:val="both"/>
      </w:pPr>
      <w:r>
        <w:t>Národní úřad pro hazardní hry je oprávněn rozhodnout, že určitý výsledek lze použít jako podklad pro sázky pouze v případě části sportovní soutěže nebo sportovní akce s ohledem na rizika manipulace, která tento výsledek představuje.</w:t>
      </w:r>
    </w:p>
    <w:p w14:paraId="16E726E0" w14:textId="19901B18" w:rsidR="00E83532" w:rsidRDefault="00E83532" w:rsidP="00933EA2">
      <w:pPr>
        <w:jc w:val="both"/>
      </w:pPr>
    </w:p>
    <w:p w14:paraId="486C3665" w14:textId="77777777" w:rsidR="00933EA2" w:rsidRPr="00933EA2" w:rsidRDefault="00933EA2" w:rsidP="00933EA2">
      <w:pPr>
        <w:jc w:val="both"/>
      </w:pPr>
    </w:p>
    <w:p w14:paraId="3CCB1AF2" w14:textId="77777777" w:rsidR="00E83532" w:rsidRPr="00933EA2" w:rsidRDefault="00E83532" w:rsidP="00933EA2">
      <w:pPr>
        <w:jc w:val="both"/>
      </w:pPr>
      <w:r>
        <w:t>III. ― Sázky jsou vypořádány na základě výsledků sportovní soutěže nebo akce oznámených pořadatelem sportovní soutěže.</w:t>
      </w:r>
    </w:p>
    <w:p w14:paraId="24EFF772" w14:textId="77777777" w:rsidR="00933EA2" w:rsidRDefault="00933EA2" w:rsidP="00933EA2">
      <w:pPr>
        <w:jc w:val="both"/>
      </w:pPr>
    </w:p>
    <w:p w14:paraId="56D578E6" w14:textId="7A6F8FE3" w:rsidR="00E83532" w:rsidRPr="00933EA2" w:rsidRDefault="00E83532" w:rsidP="00933EA2">
      <w:pPr>
        <w:jc w:val="both"/>
      </w:pPr>
      <w:r>
        <w:t>Vypořádání sázek je konečné od prvotního vyhlášení výsledků pořadatelem sportovní soutěže nebo akce, a to i pokud v nich následně budou provedeny změny v souladu s předpisy platnými pro tuto soutěž.</w:t>
      </w:r>
    </w:p>
    <w:p w14:paraId="52BEBFC2" w14:textId="77777777" w:rsidR="00E83532" w:rsidRPr="00933EA2" w:rsidRDefault="00E83532" w:rsidP="00933EA2">
      <w:pPr>
        <w:jc w:val="both"/>
      </w:pPr>
    </w:p>
    <w:p w14:paraId="7ACF4486" w14:textId="1EF68EDE" w:rsidR="00E83532" w:rsidRPr="00933EA2" w:rsidRDefault="000546D5" w:rsidP="00933EA2">
      <w:pPr>
        <w:pStyle w:val="BodyText"/>
        <w:keepNext/>
        <w:keepLines/>
        <w:jc w:val="center"/>
        <w:rPr>
          <w:b/>
        </w:rPr>
      </w:pPr>
      <w:r>
        <w:rPr>
          <w:b/>
        </w:rPr>
        <w:t>Článek 42</w:t>
      </w:r>
    </w:p>
    <w:p w14:paraId="7C84BAB8" w14:textId="77777777" w:rsidR="00E83532" w:rsidRPr="00933EA2" w:rsidRDefault="00E83532" w:rsidP="00933EA2">
      <w:pPr>
        <w:keepNext/>
        <w:keepLines/>
        <w:rPr>
          <w:b/>
        </w:rPr>
      </w:pPr>
    </w:p>
    <w:p w14:paraId="030CB2CE" w14:textId="5AF94B71" w:rsidR="00E83532" w:rsidRPr="00933EA2" w:rsidRDefault="00E83532" w:rsidP="00933EA2">
      <w:pPr>
        <w:jc w:val="both"/>
      </w:pPr>
      <w:r>
        <w:t>I. ― Všichni provozovatelé sportovních sázek, kteří jsou držiteli schválení podle článku 21 výše uvedeného zákona ze dne 12. května 2010, a všechny společnosti, které jsou nositeli výhradních práv uvedených v článku 137 výše uvedeného zákona ze dne 22. května 2019, jsou oprávněni požádat Národní úřad pro hazardní hry o:</w:t>
      </w:r>
    </w:p>
    <w:p w14:paraId="19343559" w14:textId="35AB4324" w:rsidR="00E83532" w:rsidRPr="00933EA2" w:rsidRDefault="001D2F2A" w:rsidP="00933EA2">
      <w:pPr>
        <w:jc w:val="both"/>
      </w:pPr>
      <w:r>
        <w:t>1. zápis sportovní soutěže nebo akce na seznam soutěží, na které lze podávat sportovní sázky;</w:t>
      </w:r>
    </w:p>
    <w:p w14:paraId="02EF46C5" w14:textId="143E50B7" w:rsidR="00E83532" w:rsidRPr="00933EA2" w:rsidRDefault="001D2F2A" w:rsidP="00933EA2">
      <w:pPr>
        <w:jc w:val="both"/>
      </w:pPr>
      <w:r>
        <w:t>2. zápis typu výsledku na seznam typů výsledků, na které lze podávat sportovní sázky.</w:t>
      </w:r>
    </w:p>
    <w:p w14:paraId="307A96DC" w14:textId="130F35FA" w:rsidR="00E83532" w:rsidRPr="00933EA2" w:rsidRDefault="001D2F2A" w:rsidP="00933EA2">
      <w:pPr>
        <w:jc w:val="both"/>
      </w:pPr>
      <w:r>
        <w:t>II. ― Tato žádost musí být odůvodněna a doplněna o dokumentaci s popisem sportovní soutěže nebo akce a typů výsledků, které jsou předmětem této žádosti, zaslanou Národnímu úřadu pro hazardní hry.</w:t>
      </w:r>
    </w:p>
    <w:p w14:paraId="69FA3E9A" w14:textId="217460B5" w:rsidR="00E83532" w:rsidRPr="00933EA2" w:rsidRDefault="001D2F2A" w:rsidP="00933EA2">
      <w:pPr>
        <w:jc w:val="both"/>
      </w:pPr>
      <w:r>
        <w:t>III. ― O žádosti uvedené v odstavci I rozhodne Národní pro hazardní hry do tří měsíců od obdržení dokumentů uvedených v odstavci II.</w:t>
      </w:r>
    </w:p>
    <w:p w14:paraId="40409221" w14:textId="77777777" w:rsidR="00E83532" w:rsidRPr="00933EA2" w:rsidRDefault="00E83532" w:rsidP="00933EA2">
      <w:pPr>
        <w:jc w:val="both"/>
      </w:pPr>
      <w:r>
        <w:t>Národní úřad pro hazardní hry kontaktuje příslušnou zmocněnou federaci, která bude mít jeden měsíc na vypracování stanoviska k žádosti uvedené v bodě I. Kopie stanoviska se zasílá ministrovi sportu.</w:t>
      </w:r>
    </w:p>
    <w:p w14:paraId="0832E351" w14:textId="77777777" w:rsidR="00E83532" w:rsidRPr="00933EA2" w:rsidRDefault="00E83532" w:rsidP="00933EA2">
      <w:pPr>
        <w:jc w:val="both"/>
      </w:pPr>
      <w:r>
        <w:t>Pokud federace nepodá své stanovisko, vyžádá si úřad stanovisko ministra sportu, který rozhodne do jednoho měsíce.</w:t>
      </w:r>
    </w:p>
    <w:p w14:paraId="23476069" w14:textId="77777777" w:rsidR="00E83532" w:rsidRPr="00933EA2" w:rsidRDefault="00E83532" w:rsidP="00933EA2">
      <w:pPr>
        <w:jc w:val="both"/>
      </w:pPr>
    </w:p>
    <w:p w14:paraId="044A68A6" w14:textId="73D3928B" w:rsidR="00E83532" w:rsidRPr="00933EA2" w:rsidRDefault="000546D5" w:rsidP="00933EA2">
      <w:pPr>
        <w:pStyle w:val="BodyText"/>
        <w:keepNext/>
        <w:keepLines/>
        <w:jc w:val="center"/>
        <w:rPr>
          <w:b/>
        </w:rPr>
      </w:pPr>
      <w:r>
        <w:rPr>
          <w:b/>
        </w:rPr>
        <w:t>Článek 43</w:t>
      </w:r>
    </w:p>
    <w:p w14:paraId="359D6D3D" w14:textId="77777777" w:rsidR="00E83532" w:rsidRPr="00933EA2" w:rsidRDefault="00E83532" w:rsidP="00933EA2">
      <w:pPr>
        <w:keepNext/>
        <w:keepLines/>
        <w:rPr>
          <w:b/>
        </w:rPr>
      </w:pPr>
    </w:p>
    <w:p w14:paraId="73749B31" w14:textId="538D2E7B" w:rsidR="00E83532" w:rsidRPr="00933EA2" w:rsidRDefault="00E83532" w:rsidP="00933EA2">
      <w:pPr>
        <w:jc w:val="both"/>
      </w:pPr>
      <w:r>
        <w:t>I. ― Zmocněná federace je oprávněna v součinnosti s profesionální ligou, pokud byla zřízena, požádat Národní úřad pro hazardní hry o:</w:t>
      </w:r>
    </w:p>
    <w:p w14:paraId="5B72A56E" w14:textId="77777777" w:rsidR="00E83532" w:rsidRPr="00933EA2" w:rsidRDefault="00E83532" w:rsidP="00933EA2">
      <w:pPr>
        <w:jc w:val="both"/>
      </w:pPr>
    </w:p>
    <w:p w14:paraId="584145E6" w14:textId="77777777" w:rsidR="00E83532" w:rsidRPr="00933EA2" w:rsidRDefault="00E83532" w:rsidP="00933EA2">
      <w:pPr>
        <w:jc w:val="both"/>
      </w:pPr>
      <w:r>
        <w:t>1. zápis sportovní soutěže nebo akce, které pořádá, na seznam soutěží, na které lze podávat sportovní sázky, nebo o její výmaz z tohoto seznamu;</w:t>
      </w:r>
    </w:p>
    <w:p w14:paraId="5B2379B2" w14:textId="77777777" w:rsidR="00E83532" w:rsidRPr="00933EA2" w:rsidRDefault="00E83532" w:rsidP="00933EA2">
      <w:pPr>
        <w:jc w:val="both"/>
      </w:pPr>
      <w:r>
        <w:t>2. zápis typů výsledků sportovních soutěží nebo akcí, které pořádá, nebo části těchto soutěží, na seznam, nebo jejich výmaz z tohoto seznamu.</w:t>
      </w:r>
    </w:p>
    <w:p w14:paraId="7B008624" w14:textId="77777777" w:rsidR="00E83532" w:rsidRPr="00933EA2" w:rsidRDefault="00E83532" w:rsidP="00933EA2">
      <w:pPr>
        <w:jc w:val="both"/>
      </w:pPr>
    </w:p>
    <w:p w14:paraId="5E27032B" w14:textId="6C334152" w:rsidR="00E83532" w:rsidRPr="00933EA2" w:rsidRDefault="00E83532" w:rsidP="00933EA2">
      <w:pPr>
        <w:jc w:val="both"/>
      </w:pPr>
      <w:r>
        <w:t>II. ― Tato žádost musí být odůvodněna a musí ji doplňovat zaslání dokumentace s popisem povahy soutěže nebo typů výsledků, které jsou předmětem této žádosti, Národnímu úřadu pro hazardní hry.</w:t>
      </w:r>
    </w:p>
    <w:p w14:paraId="19B17EA3" w14:textId="77777777" w:rsidR="00E83532" w:rsidRPr="00933EA2" w:rsidRDefault="00E83532" w:rsidP="00933EA2">
      <w:pPr>
        <w:jc w:val="both"/>
      </w:pPr>
    </w:p>
    <w:p w14:paraId="4953E9EA" w14:textId="734C9153" w:rsidR="00E83532" w:rsidRPr="00933EA2" w:rsidRDefault="00E83532" w:rsidP="00933EA2">
      <w:pPr>
        <w:jc w:val="both"/>
      </w:pPr>
      <w:r>
        <w:t>III. ― O žádosti uvedené v bodě I rozhodne Národní pro hazardní hry do jednoho měsíce od obdržení dokumentů uvedených v bodě II.</w:t>
      </w:r>
    </w:p>
    <w:p w14:paraId="3341806A" w14:textId="77777777" w:rsidR="00834E0B" w:rsidRPr="00933EA2" w:rsidRDefault="00834E0B" w:rsidP="00933EA2">
      <w:pPr>
        <w:jc w:val="both"/>
      </w:pPr>
    </w:p>
    <w:p w14:paraId="72E82424" w14:textId="16A9CBAB" w:rsidR="00834E0B" w:rsidRPr="00933EA2" w:rsidRDefault="000546D5" w:rsidP="00933EA2">
      <w:pPr>
        <w:pStyle w:val="BodyText"/>
        <w:keepNext/>
        <w:keepLines/>
        <w:jc w:val="center"/>
        <w:rPr>
          <w:b/>
        </w:rPr>
      </w:pPr>
      <w:r>
        <w:rPr>
          <w:b/>
        </w:rPr>
        <w:t>Článek 44</w:t>
      </w:r>
    </w:p>
    <w:p w14:paraId="4EBF7DC7" w14:textId="77777777" w:rsidR="00834E0B" w:rsidRPr="00933EA2" w:rsidRDefault="00834E0B" w:rsidP="00933EA2">
      <w:pPr>
        <w:keepNext/>
        <w:keepLines/>
        <w:rPr>
          <w:b/>
        </w:rPr>
      </w:pPr>
    </w:p>
    <w:p w14:paraId="23490925" w14:textId="3CD7655A" w:rsidR="00834E0B" w:rsidRPr="00933EA2" w:rsidRDefault="00834E0B" w:rsidP="00933EA2">
      <w:r>
        <w:t xml:space="preserve">1. V čl. D. 561-53 odst. 2 peněžního a finančního zákoníku se slova „generální ředitel Úřadu pro regulaci her on-line nebo jeho zástupce“ nahrazují slovy „generální ředitel Národního úřadu pro hazardní hry“. </w:t>
      </w:r>
    </w:p>
    <w:p w14:paraId="43F09FB7" w14:textId="77777777" w:rsidR="00E83532" w:rsidRPr="00933EA2" w:rsidRDefault="00E83532" w:rsidP="00933EA2">
      <w:pPr>
        <w:jc w:val="both"/>
        <w:rPr>
          <w:b/>
        </w:rPr>
      </w:pPr>
    </w:p>
    <w:p w14:paraId="012C1011" w14:textId="0AF72BA0" w:rsidR="00BD5FA1" w:rsidRPr="00933EA2" w:rsidRDefault="000546D5" w:rsidP="00933EA2">
      <w:pPr>
        <w:pStyle w:val="BodyText"/>
        <w:keepNext/>
        <w:keepLines/>
        <w:jc w:val="center"/>
        <w:rPr>
          <w:b/>
        </w:rPr>
      </w:pPr>
      <w:r>
        <w:rPr>
          <w:b/>
        </w:rPr>
        <w:t>Článek 45</w:t>
      </w:r>
    </w:p>
    <w:p w14:paraId="1738A26C" w14:textId="77777777" w:rsidR="008701C9" w:rsidRPr="00933EA2" w:rsidRDefault="008701C9" w:rsidP="00933EA2">
      <w:pPr>
        <w:keepNext/>
        <w:keepLines/>
        <w:rPr>
          <w:b/>
        </w:rPr>
      </w:pPr>
    </w:p>
    <w:p w14:paraId="72BBB7F3" w14:textId="02F1FBE2" w:rsidR="008701C9" w:rsidRPr="00933EA2" w:rsidRDefault="00BC35EB" w:rsidP="00933EA2">
      <w:pPr>
        <w:pStyle w:val="BodyText"/>
        <w:jc w:val="both"/>
      </w:pPr>
      <w:r>
        <w:t>1. V posledním pododstavci článku 8 výše uvedeného dekretu č. 2019-1061 ze dne 17. října 2019 se slova „výše uvedený dekret ze dne 12. května 2010“ nahrazují slovy „dekret č. XXXX-XXXX ze dne XXXXX o způsobech regulace ze strany Národního úřadu pro hazardní hry (CPAB1930945D)“.</w:t>
      </w:r>
    </w:p>
    <w:p w14:paraId="3D08313E" w14:textId="77777777" w:rsidR="00C342AB" w:rsidRPr="00933EA2" w:rsidRDefault="00C342AB" w:rsidP="00933EA2">
      <w:pPr>
        <w:pStyle w:val="BodyText"/>
        <w:jc w:val="both"/>
      </w:pPr>
    </w:p>
    <w:p w14:paraId="7E55EF43" w14:textId="77777777" w:rsidR="00142531" w:rsidRPr="00933EA2" w:rsidRDefault="00834E0B" w:rsidP="00933EA2">
      <w:pPr>
        <w:keepNext/>
        <w:keepLines/>
        <w:spacing w:after="200" w:line="276" w:lineRule="auto"/>
        <w:jc w:val="center"/>
        <w:rPr>
          <w:rFonts w:eastAsiaTheme="minorHAnsi"/>
          <w:b/>
        </w:rPr>
      </w:pPr>
      <w:r>
        <w:rPr>
          <w:b/>
        </w:rPr>
        <w:t>HLAVA VII: PRÁVNÍ ÚPRAVA OBCHODNÍCH SDĚLENÍ PROPAGUJÍCÍCH PROVOZOVATELE HAZARDNÍCH HER A POSKYTOVÁNÍ INFORMACÍ HRÁČŮM O RIZICÍCH SOUVISEJÍCÍCH S HRANÍM HAZARDNÍCH HER</w:t>
      </w:r>
    </w:p>
    <w:p w14:paraId="41C8D214" w14:textId="47515E0F" w:rsidR="00142531" w:rsidRDefault="00C342AB" w:rsidP="00933EA2">
      <w:pPr>
        <w:pStyle w:val="BodyText"/>
        <w:keepNext/>
        <w:keepLines/>
        <w:jc w:val="center"/>
        <w:rPr>
          <w:b/>
        </w:rPr>
      </w:pPr>
      <w:r>
        <w:rPr>
          <w:b/>
        </w:rPr>
        <w:t>Článek 46</w:t>
      </w:r>
    </w:p>
    <w:p w14:paraId="4DE26176" w14:textId="77777777" w:rsidR="00933EA2" w:rsidRPr="00933EA2" w:rsidRDefault="00933EA2" w:rsidP="00933EA2">
      <w:pPr>
        <w:keepNext/>
        <w:keepLines/>
        <w:rPr>
          <w:b/>
        </w:rPr>
      </w:pPr>
    </w:p>
    <w:p w14:paraId="5030231B" w14:textId="20E653AC" w:rsidR="00142531" w:rsidRPr="00933EA2" w:rsidRDefault="00142531" w:rsidP="00933EA2">
      <w:pPr>
        <w:pStyle w:val="BodyText"/>
        <w:jc w:val="both"/>
      </w:pPr>
      <w:r>
        <w:t xml:space="preserve">Na začátek hlavy II knihy III zákoníku vnitřní bezpečnosti se vkládá úvodní kapitola, která zní: </w:t>
      </w:r>
    </w:p>
    <w:p w14:paraId="61BF947B" w14:textId="7FEB993C" w:rsidR="00142531" w:rsidRPr="00933EA2" w:rsidRDefault="00142531" w:rsidP="00933EA2">
      <w:pPr>
        <w:pStyle w:val="BodyText"/>
      </w:pPr>
      <w:r>
        <w:t>„</w:t>
      </w:r>
      <w:r>
        <w:rPr>
          <w:i/>
        </w:rPr>
        <w:t xml:space="preserve">Úvodní kapitola </w:t>
      </w:r>
    </w:p>
    <w:p w14:paraId="0DB00C14" w14:textId="3E68E4D5" w:rsidR="00142531" w:rsidRPr="00933EA2" w:rsidRDefault="00142531" w:rsidP="00933EA2">
      <w:pPr>
        <w:pStyle w:val="BodyText"/>
      </w:pPr>
      <w:r>
        <w:rPr>
          <w:i/>
        </w:rPr>
        <w:t>„Společná ustanovení</w:t>
      </w:r>
      <w:r>
        <w:t xml:space="preserve"> </w:t>
      </w:r>
    </w:p>
    <w:p w14:paraId="35CC0321" w14:textId="2A20C3B8" w:rsidR="00142531" w:rsidRPr="00933EA2" w:rsidRDefault="00142531" w:rsidP="00933EA2">
      <w:pPr>
        <w:pStyle w:val="BodyText"/>
        <w:tabs>
          <w:tab w:val="left" w:pos="1659"/>
        </w:tabs>
      </w:pPr>
      <w:r>
        <w:rPr>
          <w:i/>
        </w:rPr>
        <w:t>„Oddíl 1</w:t>
      </w:r>
      <w:r>
        <w:rPr>
          <w:i/>
        </w:rPr>
        <w:tab/>
      </w:r>
    </w:p>
    <w:p w14:paraId="6EA0D4BD" w14:textId="36B722F7" w:rsidR="00142531" w:rsidRPr="00933EA2" w:rsidRDefault="00142531" w:rsidP="00933EA2">
      <w:pPr>
        <w:pStyle w:val="BodyText"/>
      </w:pPr>
      <w:r>
        <w:rPr>
          <w:i/>
        </w:rPr>
        <w:t>„Zákaz prodeje hazardních her nezletilým</w:t>
      </w:r>
    </w:p>
    <w:p w14:paraId="2B0E4901" w14:textId="6BE602B7" w:rsidR="00142531" w:rsidRPr="00933EA2" w:rsidRDefault="00142531" w:rsidP="00933EA2">
      <w:pPr>
        <w:pStyle w:val="BodyText"/>
        <w:jc w:val="both"/>
      </w:pPr>
      <w:r>
        <w:t>„</w:t>
      </w:r>
      <w:r>
        <w:rPr>
          <w:i/>
        </w:rPr>
        <w:t xml:space="preserve">Čl. D. 320-1. - </w:t>
      </w:r>
      <w:r>
        <w:t>U odbavovacích přepážek pro loterijní hry, sázkové hry na sportovní události nebo dostihové sázky musí být na dobře viditelném místě vystaven plakát poukazující na ustanovení článků L. 320-8 a L. 320-9. Vzory těchto plakátů a místa, na kterých je nutné je vystavit, stanoví vyhláška ministra zdravotnictví.</w:t>
      </w:r>
    </w:p>
    <w:p w14:paraId="5E136608" w14:textId="7D1E02AF" w:rsidR="00142531" w:rsidRPr="00933EA2" w:rsidRDefault="00142531" w:rsidP="00933EA2">
      <w:pPr>
        <w:pStyle w:val="BodyText"/>
        <w:spacing w:before="120"/>
      </w:pPr>
      <w:r>
        <w:rPr>
          <w:i/>
        </w:rPr>
        <w:t xml:space="preserve">„Oddíl 2 </w:t>
      </w:r>
    </w:p>
    <w:p w14:paraId="293E235D" w14:textId="2BF2B62A" w:rsidR="00142531" w:rsidRPr="00933EA2" w:rsidRDefault="00142531" w:rsidP="00933EA2">
      <w:pPr>
        <w:pStyle w:val="BodyText"/>
        <w:spacing w:before="120"/>
      </w:pPr>
      <w:r>
        <w:rPr>
          <w:i/>
        </w:rPr>
        <w:t>„Obchodní sdělení propagující provozovatele hazardních her</w:t>
      </w:r>
    </w:p>
    <w:p w14:paraId="4FDF742F" w14:textId="733125A6" w:rsidR="00142531" w:rsidRPr="00933EA2" w:rsidRDefault="00142531" w:rsidP="00933EA2">
      <w:pPr>
        <w:spacing w:before="120" w:after="120"/>
        <w:jc w:val="both"/>
      </w:pPr>
      <w:r>
        <w:t>„</w:t>
      </w:r>
      <w:r>
        <w:rPr>
          <w:i/>
        </w:rPr>
        <w:t>Čl. D. 320-2.</w:t>
      </w:r>
      <w:r>
        <w:t xml:space="preserve"> - Každé obchodní sdělení, které propaguje provozovatele hazardních her, musí být doplněno o výstrahu týkající se rizik souvisejících s hraním hazardních her. „Tato zpráva, kterou musí obsahovat každý reklamní nebo propagační nosič, musí obsahovat zejména číslo služby komunikace on-line s veřejností v rámci veřejného subjektu pomoci hráčům, který byl zřízen v gesci Národní agentury pro veřejné zdraví. </w:t>
      </w:r>
    </w:p>
    <w:p w14:paraId="4A792144" w14:textId="68DC3E7F" w:rsidR="00142531" w:rsidRPr="00933EA2" w:rsidRDefault="00142531" w:rsidP="00933EA2">
      <w:pPr>
        <w:spacing w:before="120" w:after="120"/>
        <w:jc w:val="both"/>
      </w:pPr>
      <w:r>
        <w:t>„Zpráva musí být formulována přístupným a snadno čitelným způsobem, v souladu s účelem, který plní v oblasti veřejného zdraví, a musí být jasně rozlišitelná od reklamy nebo propagačního sdělení, které doplňuje.</w:t>
      </w:r>
    </w:p>
    <w:p w14:paraId="23FE00A7" w14:textId="641BB9C1" w:rsidR="00142531" w:rsidRPr="00933EA2" w:rsidRDefault="00142531" w:rsidP="00933EA2">
      <w:pPr>
        <w:spacing w:before="120" w:after="120"/>
        <w:jc w:val="both"/>
      </w:pPr>
      <w:r>
        <w:t>„Obsah, způsob vystavení a šíření této zprávy stanoví vyhláška ministra zdravotnictví.</w:t>
      </w:r>
    </w:p>
    <w:p w14:paraId="626BBD10" w14:textId="4878EBD5" w:rsidR="00142531" w:rsidRPr="00933EA2" w:rsidRDefault="00142531" w:rsidP="00933EA2">
      <w:pPr>
        <w:spacing w:before="120" w:after="120"/>
        <w:jc w:val="both"/>
      </w:pPr>
      <w:r>
        <w:lastRenderedPageBreak/>
        <w:t>„</w:t>
      </w:r>
      <w:r>
        <w:rPr>
          <w:i/>
        </w:rPr>
        <w:t>Čl. D. 320-3.</w:t>
      </w:r>
      <w:r>
        <w:t xml:space="preserve"> - Pokud jsou reklamní, sponzorská nebo propagační sdělení vysílána v kinech nebo prostřednictvím služeb audiovizuální komunikace, výstrahy uvedené v článku D. 320-2 musí být:</w:t>
      </w:r>
    </w:p>
    <w:p w14:paraId="5A410A11" w14:textId="231FD1D5" w:rsidR="00142531" w:rsidRPr="00933EA2" w:rsidRDefault="001D2F2A" w:rsidP="00933EA2">
      <w:pPr>
        <w:spacing w:before="120" w:after="120"/>
        <w:jc w:val="both"/>
      </w:pPr>
      <w:r>
        <w:t>„1. buďto součástí pevného nebo rozbalovacího informačního pásu, který bude zobrazen po celou dobu vysílání reklamního sdělení; tento pás musí pokrývat nejméně 7 % výšky obrazovky;</w:t>
      </w:r>
    </w:p>
    <w:p w14:paraId="0C2C26AA" w14:textId="1F4C469D" w:rsidR="00142531" w:rsidRPr="00933EA2" w:rsidRDefault="001D2F2A" w:rsidP="00933EA2">
      <w:pPr>
        <w:spacing w:before="120" w:after="120"/>
        <w:jc w:val="both"/>
      </w:pPr>
      <w:r>
        <w:t>„2. nebo odvysílány v rámci záběru bezprostředně navazujícího na reklamní sdělení.</w:t>
      </w:r>
    </w:p>
    <w:p w14:paraId="14D3FE3C" w14:textId="77257C5A" w:rsidR="00142531" w:rsidRPr="00933EA2" w:rsidRDefault="00142531" w:rsidP="00933EA2">
      <w:pPr>
        <w:spacing w:before="120" w:after="120"/>
        <w:jc w:val="both"/>
      </w:pPr>
      <w:r>
        <w:t>„</w:t>
      </w:r>
      <w:r>
        <w:rPr>
          <w:i/>
        </w:rPr>
        <w:t>Čl. D. 320-4.</w:t>
      </w:r>
      <w:r>
        <w:t xml:space="preserve"> - Pokud jsou reklamní nebo propagační sdělení vysílána v rádiu, odvysílá se výstraha uvedená v článku D. 320-2 bezprostředně po tomto reklamním sdělení.</w:t>
      </w:r>
    </w:p>
    <w:p w14:paraId="23CCF94C" w14:textId="1B3FBE9F" w:rsidR="00142531" w:rsidRPr="00933EA2" w:rsidRDefault="00142531" w:rsidP="00933EA2">
      <w:pPr>
        <w:spacing w:before="120" w:after="120"/>
        <w:jc w:val="both"/>
      </w:pPr>
      <w:r>
        <w:t>„</w:t>
      </w:r>
      <w:r>
        <w:rPr>
          <w:i/>
        </w:rPr>
        <w:t>Čl. D. 320-5.</w:t>
      </w:r>
      <w:r>
        <w:t xml:space="preserve"> - Při zobrazování výstrahy podle článku D. 320-2 je nutné dodržet zásady stanovené v článcích D. 320-8 a D. 320-9 a osvědčené postupy stanovené příslušným oborem a Nejvyšší audiovizuální radou.</w:t>
      </w:r>
    </w:p>
    <w:p w14:paraId="0984A69D" w14:textId="1DB680CB" w:rsidR="00142531" w:rsidRPr="00933EA2" w:rsidRDefault="00142531" w:rsidP="00933EA2">
      <w:pPr>
        <w:spacing w:before="120" w:after="120"/>
        <w:jc w:val="both"/>
      </w:pPr>
      <w:r>
        <w:t>„</w:t>
      </w:r>
      <w:r>
        <w:rPr>
          <w:i/>
        </w:rPr>
        <w:t>Čl. D. 320-6.</w:t>
      </w:r>
      <w:r>
        <w:t xml:space="preserve"> - Pokud jsou reklamní nebo propagační sdělení šířena v tištěném médiu, musí být výstraha podle článku D. 320-2 vepsána do horizontálním prostoru vyhrazeného pro text a musí pokrývat alespoň 7 % plochy reklamního sdělení. </w:t>
      </w:r>
    </w:p>
    <w:p w14:paraId="40F88BE2" w14:textId="11C28D40" w:rsidR="00142531" w:rsidRPr="00933EA2" w:rsidRDefault="00142531" w:rsidP="00933EA2">
      <w:pPr>
        <w:spacing w:before="120" w:after="120"/>
        <w:jc w:val="both"/>
      </w:pPr>
      <w:r>
        <w:t xml:space="preserve">„V případě, že se na stejném nosiči objeví několik reklamních nebo propagačních sdělení týkajících se jednoho a téhož provozovatele, může být výstraha podle článku D. 320-2 uvedena pouze jednou v informačním pásu pokrývajícím, alespoň 7 % plochy tohoto nosiče. </w:t>
      </w:r>
    </w:p>
    <w:p w14:paraId="1A1B3572" w14:textId="77777777" w:rsidR="00142531" w:rsidRPr="00933EA2" w:rsidRDefault="00142531" w:rsidP="00933EA2">
      <w:pPr>
        <w:spacing w:before="120" w:after="120"/>
        <w:jc w:val="both"/>
      </w:pPr>
      <w:r>
        <w:t xml:space="preserve"> „</w:t>
      </w:r>
      <w:r>
        <w:rPr>
          <w:i/>
        </w:rPr>
        <w:t>Čl. D. 320-7.</w:t>
      </w:r>
      <w:r>
        <w:t xml:space="preserve"> – Ustanovení článku D. 320-6 se nevztahují na sportovní zboží uváděné nebo dodávané na trh sportovními federacemi, pořadateli sportovních akcí uvedenými v prvním pododstavci článku L. 331-5 sportovního zákoníku nebo sportovními sdruženími a společnostmi uvedenými v článcích L. 122-1 a L. 122-2 téhož zákoníku.</w:t>
      </w:r>
    </w:p>
    <w:p w14:paraId="20DE0FD0" w14:textId="06A478EE" w:rsidR="00142531" w:rsidRPr="00933EA2" w:rsidRDefault="00142531" w:rsidP="00933EA2">
      <w:pPr>
        <w:spacing w:before="120" w:after="120"/>
        <w:jc w:val="both"/>
      </w:pPr>
      <w:r>
        <w:t>„</w:t>
      </w:r>
      <w:r>
        <w:rPr>
          <w:i/>
        </w:rPr>
        <w:t>Čl.</w:t>
      </w:r>
      <w:r>
        <w:t xml:space="preserve"> </w:t>
      </w:r>
      <w:r>
        <w:rPr>
          <w:i/>
        </w:rPr>
        <w:t>D. 320-8. –</w:t>
      </w:r>
      <w:r>
        <w:t xml:space="preserve"> Pokud jsou reklamní, sponzorská nebo propagační sdělení šířena prostřednictvím veřejné komunikace on-line, objeví se výstraha podle článku D. 320-2 současně s příslušným reklamním nebo propagačním sdělením. Tato výstraha se připojuje takovým způsobem, aby odkázala hráče, který na ní klikne, na službu komunikace on-line s veřejností subjektu pomoci hráčům, který byl zřízen v gesci Národní agentury pro veřejné zdraví.</w:t>
      </w:r>
    </w:p>
    <w:p w14:paraId="0211574A" w14:textId="6BA01978" w:rsidR="00142531" w:rsidRPr="00933EA2" w:rsidRDefault="00142531" w:rsidP="00933EA2">
      <w:pPr>
        <w:spacing w:before="120" w:after="120"/>
        <w:jc w:val="both"/>
      </w:pPr>
      <w:r>
        <w:t>„Tato výstraha musí být formulována přístupným a snadno čitelným způsobem, v souladu s účelem, který plní v oblasti veřejného zdraví, a musí být jasně rozlišitelná od reklamního sdělení, které doplňuje.</w:t>
      </w:r>
    </w:p>
    <w:p w14:paraId="20AB5999" w14:textId="77777777" w:rsidR="001D2F2A" w:rsidRPr="00933EA2" w:rsidRDefault="001D2F2A" w:rsidP="00933EA2">
      <w:pPr>
        <w:spacing w:before="120" w:after="120"/>
        <w:jc w:val="both"/>
        <w:rPr>
          <w:i/>
        </w:rPr>
      </w:pPr>
    </w:p>
    <w:p w14:paraId="6E4E5240" w14:textId="67A68190" w:rsidR="00142531" w:rsidRPr="00933EA2" w:rsidRDefault="00142531" w:rsidP="00933EA2">
      <w:pPr>
        <w:spacing w:before="120" w:after="120"/>
        <w:jc w:val="both"/>
      </w:pPr>
      <w:r>
        <w:rPr>
          <w:i/>
        </w:rPr>
        <w:t>„Oddíl 3</w:t>
      </w:r>
    </w:p>
    <w:p w14:paraId="4DB64D13" w14:textId="241703DB" w:rsidR="00142531" w:rsidRPr="00933EA2" w:rsidRDefault="00142531" w:rsidP="00933EA2">
      <w:pPr>
        <w:spacing w:before="120" w:after="120"/>
        <w:jc w:val="both"/>
      </w:pPr>
      <w:r>
        <w:rPr>
          <w:i/>
        </w:rPr>
        <w:t>„Zákaz obchodních sdělení propagujících provozovatele hazardních her na některých nosičích</w:t>
      </w:r>
    </w:p>
    <w:p w14:paraId="65B7AAFD" w14:textId="4E24C55A" w:rsidR="00142531" w:rsidRPr="00933EA2" w:rsidRDefault="00142531" w:rsidP="00933EA2">
      <w:pPr>
        <w:spacing w:before="120" w:after="120"/>
        <w:jc w:val="both"/>
      </w:pPr>
      <w:r>
        <w:rPr>
          <w:i/>
        </w:rPr>
        <w:t xml:space="preserve">„Čl. D. 320-9. </w:t>
      </w:r>
      <w:r>
        <w:t>- Obchodní sdělení propagující provozovatele hazardní hry jsou zakázána:</w:t>
      </w:r>
    </w:p>
    <w:p w14:paraId="5227AAFD" w14:textId="59F3EB5A" w:rsidR="00142531" w:rsidRPr="00933EA2" w:rsidRDefault="001D2F2A" w:rsidP="00933EA2">
      <w:pPr>
        <w:spacing w:before="120" w:after="120"/>
        <w:jc w:val="both"/>
      </w:pPr>
      <w:r>
        <w:t>„1. pokud podněcují k nadměrnému hraní hazardní hry, nebo jej trivializují nebo vyzdvihují tento typ chování;</w:t>
      </w:r>
    </w:p>
    <w:p w14:paraId="56D78825" w14:textId="6753909C" w:rsidR="00142531" w:rsidRPr="00933EA2" w:rsidRDefault="001D2F2A" w:rsidP="00933EA2">
      <w:pPr>
        <w:spacing w:before="120" w:after="120"/>
        <w:jc w:val="both"/>
      </w:pPr>
      <w:r>
        <w:t>„2. pokud naznačují, že hraní přispívá k dosažení společenského úspěchu;</w:t>
      </w:r>
    </w:p>
    <w:p w14:paraId="258EE449" w14:textId="1E8E9EB0" w:rsidR="00142531" w:rsidRPr="00933EA2" w:rsidRDefault="001D2F2A" w:rsidP="00933EA2">
      <w:pPr>
        <w:spacing w:before="120" w:after="120"/>
        <w:jc w:val="both"/>
      </w:pPr>
      <w:r>
        <w:t xml:space="preserve">„3. pokud obsahují nepodložená tvrzení ohledně šance hráče na výhru nebo ohledně toho, co může hráč očekávat, že vyhraje; </w:t>
      </w:r>
    </w:p>
    <w:p w14:paraId="75D88D1F" w14:textId="45A3AEE0" w:rsidR="00142531" w:rsidRPr="00933EA2" w:rsidRDefault="001D2F2A" w:rsidP="00933EA2">
      <w:pPr>
        <w:spacing w:before="120" w:after="120"/>
        <w:jc w:val="both"/>
      </w:pPr>
      <w:r>
        <w:t>„4. pokud naznačují, že hazardní hra může přinést řešení osobních, pracovních, sociálních nebo psychických obtíží;</w:t>
      </w:r>
    </w:p>
    <w:p w14:paraId="0FAADED8" w14:textId="35A26E98" w:rsidR="0096792E" w:rsidRPr="00933EA2" w:rsidRDefault="001D2F2A" w:rsidP="00933EA2">
      <w:pPr>
        <w:spacing w:before="120" w:after="120"/>
        <w:jc w:val="both"/>
      </w:pPr>
      <w:r>
        <w:t xml:space="preserve">„5. pokud vykreslují hazard jako způsob obživy nebo jako alternativu k placené práci. </w:t>
      </w:r>
    </w:p>
    <w:p w14:paraId="2933AC42" w14:textId="5857A6A2" w:rsidR="00142531" w:rsidRPr="00933EA2" w:rsidRDefault="00142531" w:rsidP="00933EA2">
      <w:pPr>
        <w:spacing w:before="120" w:after="120"/>
        <w:jc w:val="both"/>
      </w:pPr>
      <w:r>
        <w:t>„</w:t>
      </w:r>
      <w:r>
        <w:rPr>
          <w:i/>
        </w:rPr>
        <w:t>Čl. D. 320-10.</w:t>
      </w:r>
      <w:r>
        <w:t>- V obchodních sděleních propagujících hazardní hry je zakázáno:</w:t>
      </w:r>
    </w:p>
    <w:p w14:paraId="3E6424C3" w14:textId="1E87439B" w:rsidR="00142531" w:rsidRPr="00933EA2" w:rsidRDefault="001D2F2A" w:rsidP="00933EA2">
      <w:pPr>
        <w:spacing w:before="120" w:after="120"/>
        <w:jc w:val="both"/>
      </w:pPr>
      <w:r>
        <w:lastRenderedPageBreak/>
        <w:t>1. jakkoli zobrazovat nezletilé osoby nebo je jakkoli ztvárňovat v situacích, kdy zakupují danou službu;</w:t>
      </w:r>
    </w:p>
    <w:p w14:paraId="22E31CF1" w14:textId="21F617D1" w:rsidR="00142531" w:rsidRPr="00933EA2" w:rsidRDefault="001D2F2A" w:rsidP="00933EA2">
      <w:pPr>
        <w:spacing w:before="120" w:after="120"/>
        <w:jc w:val="both"/>
      </w:pPr>
      <w:r>
        <w:t>2. jakkoli vést nezletilé osoby k tomu, aby považovali hazardní hru za přirozenou součást svého volného času;</w:t>
      </w:r>
    </w:p>
    <w:p w14:paraId="7DDA03B1" w14:textId="092451E4" w:rsidR="00142531" w:rsidRPr="00933EA2" w:rsidRDefault="001D2F2A" w:rsidP="00933EA2">
      <w:pPr>
        <w:spacing w:before="120" w:after="120"/>
        <w:jc w:val="both"/>
      </w:pPr>
      <w:r>
        <w:t>3. jakkoli ztvárňovat osoby nebo osobnosti, které jsou spjaty se světem nezletilých osob;</w:t>
      </w:r>
    </w:p>
    <w:p w14:paraId="2FCC9BB5" w14:textId="66D1AD53" w:rsidR="00142531" w:rsidRPr="00933EA2" w:rsidRDefault="001D2F2A" w:rsidP="00933EA2">
      <w:pPr>
        <w:spacing w:before="120" w:after="120"/>
        <w:jc w:val="both"/>
      </w:pPr>
      <w:r>
        <w:t xml:space="preserve">4. jakkoli se zaměřovat na děti nebo dospívající, nebo zobrazovat pro ně zvláště přitažlivé motivy, a to zejména na základě vizuálních, zvukových, verbálních nebo psaných prvků. </w:t>
      </w:r>
    </w:p>
    <w:p w14:paraId="577E32B6" w14:textId="77777777" w:rsidR="00142531" w:rsidRPr="00933EA2" w:rsidRDefault="00142531" w:rsidP="00933EA2">
      <w:pPr>
        <w:spacing w:after="200" w:line="276" w:lineRule="auto"/>
        <w:jc w:val="both"/>
        <w:rPr>
          <w:rFonts w:eastAsiaTheme="minorHAnsi"/>
          <w:b/>
          <w:lang w:eastAsia="en-US"/>
        </w:rPr>
      </w:pPr>
    </w:p>
    <w:p w14:paraId="1F6C66A8" w14:textId="512A3E12" w:rsidR="00142531" w:rsidRPr="00933EA2" w:rsidRDefault="00142531" w:rsidP="00933EA2">
      <w:pPr>
        <w:keepNext/>
        <w:keepLines/>
        <w:spacing w:after="200" w:line="276" w:lineRule="auto"/>
        <w:jc w:val="center"/>
        <w:rPr>
          <w:rFonts w:eastAsiaTheme="minorHAnsi"/>
          <w:b/>
        </w:rPr>
      </w:pPr>
      <w:r>
        <w:rPr>
          <w:b/>
        </w:rPr>
        <w:t>HLAVA VIII: USTANOVENÍ TÝKAJÍCÍ SE RÁMCE NABÍZENÍ LOTERIJNÍCH HER A SPORTOVNÍCH SÁZEK V RÁMCI FYZICKÉ DISTRIBUČNÍ SÍTĚ</w:t>
      </w:r>
    </w:p>
    <w:p w14:paraId="1CAAFC25" w14:textId="1792437D" w:rsidR="00142531" w:rsidRDefault="00C342AB" w:rsidP="00933EA2">
      <w:pPr>
        <w:pStyle w:val="BodyText"/>
        <w:keepNext/>
        <w:keepLines/>
        <w:jc w:val="center"/>
        <w:rPr>
          <w:b/>
        </w:rPr>
      </w:pPr>
      <w:r>
        <w:rPr>
          <w:b/>
        </w:rPr>
        <w:t>Článek 47</w:t>
      </w:r>
    </w:p>
    <w:p w14:paraId="3659547E" w14:textId="77777777" w:rsidR="00933EA2" w:rsidRPr="00933EA2" w:rsidRDefault="00933EA2" w:rsidP="00933EA2">
      <w:pPr>
        <w:keepNext/>
        <w:keepLines/>
        <w:rPr>
          <w:b/>
        </w:rPr>
      </w:pPr>
    </w:p>
    <w:p w14:paraId="6697EB5C" w14:textId="77777777" w:rsidR="00142531" w:rsidRPr="00933EA2" w:rsidRDefault="00142531" w:rsidP="00933EA2">
      <w:pPr>
        <w:spacing w:after="200" w:line="276" w:lineRule="auto"/>
        <w:jc w:val="both"/>
        <w:rPr>
          <w:rFonts w:eastAsiaTheme="minorHAnsi"/>
        </w:rPr>
      </w:pPr>
      <w:r>
        <w:t xml:space="preserve">Za kapitolu II hlavy II knihy III téhož zákoníku se vkládají kapitoly </w:t>
      </w:r>
      <w:proofErr w:type="spellStart"/>
      <w:r>
        <w:t>II</w:t>
      </w:r>
      <w:r>
        <w:rPr>
          <w:i/>
        </w:rPr>
        <w:t>b</w:t>
      </w:r>
      <w:proofErr w:type="spellEnd"/>
      <w:r>
        <w:t xml:space="preserve"> a </w:t>
      </w:r>
      <w:proofErr w:type="spellStart"/>
      <w:r>
        <w:t>II</w:t>
      </w:r>
      <w:r>
        <w:rPr>
          <w:i/>
        </w:rPr>
        <w:t>c</w:t>
      </w:r>
      <w:proofErr w:type="spellEnd"/>
      <w:r>
        <w:t xml:space="preserve"> v tomto znění: </w:t>
      </w:r>
    </w:p>
    <w:p w14:paraId="6D2D130B" w14:textId="77777777" w:rsidR="00142531" w:rsidRPr="00933EA2" w:rsidRDefault="00142531" w:rsidP="00933EA2">
      <w:pPr>
        <w:spacing w:after="200" w:line="276" w:lineRule="auto"/>
        <w:jc w:val="both"/>
        <w:rPr>
          <w:rFonts w:eastAsiaTheme="minorHAnsi"/>
        </w:rPr>
      </w:pPr>
      <w:r>
        <w:t>„</w:t>
      </w:r>
      <w:r>
        <w:rPr>
          <w:i/>
        </w:rPr>
        <w:t xml:space="preserve">Kapitola </w:t>
      </w:r>
      <w:proofErr w:type="spellStart"/>
      <w:r>
        <w:rPr>
          <w:i/>
        </w:rPr>
        <w:t>II</w:t>
      </w:r>
      <w:r>
        <w:t>b</w:t>
      </w:r>
      <w:proofErr w:type="spellEnd"/>
      <w:r>
        <w:t xml:space="preserve"> </w:t>
      </w:r>
    </w:p>
    <w:p w14:paraId="7540790A" w14:textId="77777777" w:rsidR="00142531" w:rsidRPr="00933EA2" w:rsidRDefault="00142531" w:rsidP="00933EA2">
      <w:pPr>
        <w:spacing w:after="200" w:line="276" w:lineRule="auto"/>
        <w:jc w:val="both"/>
        <w:rPr>
          <w:rFonts w:eastAsiaTheme="minorHAnsi"/>
        </w:rPr>
      </w:pPr>
      <w:r>
        <w:t>„</w:t>
      </w:r>
      <w:r>
        <w:rPr>
          <w:i/>
        </w:rPr>
        <w:t>Loterijní hry v režimu výhradních práv</w:t>
      </w:r>
      <w:r>
        <w:t xml:space="preserve"> </w:t>
      </w:r>
    </w:p>
    <w:p w14:paraId="45707223" w14:textId="77777777" w:rsidR="00142531" w:rsidRPr="00933EA2" w:rsidRDefault="00142531" w:rsidP="00933EA2">
      <w:pPr>
        <w:spacing w:after="200" w:line="276" w:lineRule="auto"/>
        <w:jc w:val="both"/>
        <w:rPr>
          <w:rFonts w:eastAsiaTheme="minorHAnsi"/>
        </w:rPr>
      </w:pPr>
      <w:r>
        <w:t>„</w:t>
      </w:r>
      <w:r>
        <w:rPr>
          <w:i/>
        </w:rPr>
        <w:t>Čl. D. 322-9.</w:t>
      </w:r>
      <w:r>
        <w:t xml:space="preserve"> – Vklady představují částky zaplacené hráči společnosti La </w:t>
      </w:r>
      <w:proofErr w:type="spellStart"/>
      <w:r>
        <w:t>Française</w:t>
      </w:r>
      <w:proofErr w:type="spellEnd"/>
      <w:r>
        <w:t xml:space="preserve"> des </w:t>
      </w:r>
      <w:proofErr w:type="spellStart"/>
      <w:r>
        <w:t>jeux</w:t>
      </w:r>
      <w:proofErr w:type="spellEnd"/>
      <w:r>
        <w:t xml:space="preserve"> a podané přímo do hry.</w:t>
      </w:r>
    </w:p>
    <w:p w14:paraId="05D78C26" w14:textId="77777777" w:rsidR="00142531" w:rsidRPr="00933EA2" w:rsidRDefault="00142531" w:rsidP="00933EA2">
      <w:pPr>
        <w:spacing w:after="200" w:line="276" w:lineRule="auto"/>
        <w:jc w:val="both"/>
        <w:rPr>
          <w:rFonts w:eastAsiaTheme="minorHAnsi"/>
        </w:rPr>
      </w:pPr>
      <w:r>
        <w:t>„</w:t>
      </w:r>
      <w:r>
        <w:rPr>
          <w:i/>
        </w:rPr>
        <w:t>Čl. D. 322-10.</w:t>
      </w:r>
      <w:r>
        <w:t xml:space="preserve"> – V průměru za všechny loterijní hry a každou jednu z nich musí být matematická pravděpodobnost výhry pro hráče na úrovni v rozmezí od 45 % do 75 % celkových vkladů.</w:t>
      </w:r>
    </w:p>
    <w:p w14:paraId="392842B4" w14:textId="77777777" w:rsidR="00142531" w:rsidRPr="00933EA2" w:rsidRDefault="00142531" w:rsidP="00933EA2">
      <w:pPr>
        <w:spacing w:after="200" w:line="276" w:lineRule="auto"/>
        <w:jc w:val="both"/>
        <w:rPr>
          <w:rFonts w:eastAsiaTheme="minorHAnsi"/>
        </w:rPr>
      </w:pPr>
      <w:r>
        <w:t>„Podíly částek vložených do loterijní hry, které připadnou na výhry, musí být následující:</w:t>
      </w:r>
    </w:p>
    <w:p w14:paraId="5893D65F" w14:textId="1FE88D6B" w:rsidR="00142531" w:rsidRPr="00933EA2" w:rsidRDefault="001D2F2A" w:rsidP="00933EA2">
      <w:pPr>
        <w:spacing w:after="200" w:line="276" w:lineRule="auto"/>
        <w:jc w:val="both"/>
        <w:rPr>
          <w:rFonts w:eastAsiaTheme="minorHAnsi"/>
        </w:rPr>
      </w:pPr>
      <w:r>
        <w:t>„1. u slosovacích her je podíl připadající výhercům v rozmezí od 50 % do 60 % v případě každé tradiční slosovací hry, od 59 % do 70 % v případě každé jiné slosovací hry a od 65 % do 72 % v případě každé hry s postupným losováním;</w:t>
      </w:r>
    </w:p>
    <w:p w14:paraId="3A93D254" w14:textId="28A3AEB2" w:rsidR="00142531" w:rsidRPr="00933EA2" w:rsidRDefault="001D2F2A" w:rsidP="00933EA2">
      <w:pPr>
        <w:spacing w:after="200" w:line="276" w:lineRule="auto"/>
        <w:jc w:val="both"/>
        <w:rPr>
          <w:rFonts w:eastAsiaTheme="minorHAnsi"/>
        </w:rPr>
      </w:pPr>
      <w:r>
        <w:t>„2. u her s okamžitou výhrou je podíl připadající výhercům v rozmezí od 62 % do 75 % v případě každé hry se stíracími losy, od 65 % do 75 % v případě každé hry s okamžitou výhrou založené na náhodě a od 60 % do 70 % v případě každé jiné hry s okamžitou výhrou;</w:t>
      </w:r>
    </w:p>
    <w:p w14:paraId="53F8B5DC" w14:textId="66B5C56A" w:rsidR="00142531" w:rsidRPr="00933EA2" w:rsidRDefault="001D2F2A" w:rsidP="00933EA2">
      <w:pPr>
        <w:spacing w:after="200" w:line="276" w:lineRule="auto"/>
        <w:jc w:val="both"/>
        <w:rPr>
          <w:rFonts w:eastAsiaTheme="minorHAnsi"/>
        </w:rPr>
      </w:pPr>
      <w:r>
        <w:t>„3. u všech her se stíracími lisy, her on-line a her hraných v rámci fyzické distribuční sítě a u významného počtu emisí musí být průměrný podíl připadající výhercům minimálně na úrovni 50 % a maximálně na úrovni 70,5 % hodnoty nominální emise.</w:t>
      </w:r>
    </w:p>
    <w:p w14:paraId="07658E7E" w14:textId="77777777" w:rsidR="00142531" w:rsidRPr="00933EA2" w:rsidRDefault="00142531" w:rsidP="00933EA2">
      <w:pPr>
        <w:spacing w:after="200" w:line="276" w:lineRule="auto"/>
        <w:jc w:val="both"/>
        <w:rPr>
          <w:rFonts w:eastAsiaTheme="minorHAnsi"/>
        </w:rPr>
      </w:pPr>
      <w:r>
        <w:t>„</w:t>
      </w:r>
      <w:r>
        <w:rPr>
          <w:i/>
        </w:rPr>
        <w:t xml:space="preserve">Čl. D. 322-11. </w:t>
      </w:r>
      <w:r>
        <w:t>– Hry s okamžitou výhrou založené na náhodě podle čl. L. 322-9-2 odst. 2, nesmí být nabízeny na bezobslužných terminálech dostupných hráčům na odbavovacích přepážkách pro loterijní hry podle druhého pododstavce článku L. 320-5.</w:t>
      </w:r>
    </w:p>
    <w:p w14:paraId="5E183BE2" w14:textId="77777777" w:rsidR="00142531" w:rsidRPr="00933EA2" w:rsidRDefault="00142531" w:rsidP="00933EA2">
      <w:pPr>
        <w:spacing w:after="200" w:line="276" w:lineRule="auto"/>
        <w:jc w:val="both"/>
        <w:rPr>
          <w:rFonts w:eastAsiaTheme="minorHAnsi"/>
        </w:rPr>
      </w:pPr>
      <w:r>
        <w:t>„</w:t>
      </w:r>
      <w:r>
        <w:rPr>
          <w:i/>
        </w:rPr>
        <w:t>Čl. D. 322-12.</w:t>
      </w:r>
      <w:r>
        <w:t xml:space="preserve"> – Loterijní hry, které je oprávněna provozovat společnost La </w:t>
      </w:r>
      <w:proofErr w:type="spellStart"/>
      <w:r>
        <w:t>Française</w:t>
      </w:r>
      <w:proofErr w:type="spellEnd"/>
      <w:r>
        <w:t xml:space="preserve"> des </w:t>
      </w:r>
      <w:proofErr w:type="spellStart"/>
      <w:r>
        <w:t>jeux</w:t>
      </w:r>
      <w:proofErr w:type="spellEnd"/>
      <w:r>
        <w:t xml:space="preserve">, jsou založeny na událostech, výsledcích nahodilých spárování nebo losování, které se mohou vztahovat zejména k číslům, písmenům, barvám, znakům nebo symbolům nebo k posloupnostem </w:t>
      </w:r>
      <w:r>
        <w:lastRenderedPageBreak/>
        <w:t>čísel, písmen, barev, znaků nebo symbolů. Jejich funkční mechanismus může umožnit účast jednoho hráče nebo skupiny několika hráčů. Jejich mechanika může hráči umožnit provádět úkony nebo volby, které ovlivní parametry hry, jako je četnost nebo výše výhry, nebo podíl vkladů, který připadá na výhry.</w:t>
      </w:r>
    </w:p>
    <w:p w14:paraId="62BE2B36" w14:textId="77777777" w:rsidR="00142531" w:rsidRPr="00933EA2" w:rsidRDefault="00142531" w:rsidP="00933EA2">
      <w:pPr>
        <w:spacing w:after="200" w:line="276" w:lineRule="auto"/>
        <w:jc w:val="both"/>
        <w:rPr>
          <w:rFonts w:eastAsiaTheme="minorHAnsi"/>
        </w:rPr>
      </w:pPr>
      <w:r>
        <w:t>„Tyto hry mohou být nabízeny ve formátu pro více hráčů, který umožní účast několika hráčů nebo skupin či společenství hráčů v závislosti na mechanismu střetávání těchto hráčů nebo spolupráce mezi nimi nebo kombinace obou možností.</w:t>
      </w:r>
    </w:p>
    <w:p w14:paraId="348C95DA" w14:textId="77777777" w:rsidR="00142531" w:rsidRPr="00933EA2" w:rsidRDefault="00142531" w:rsidP="00933EA2">
      <w:pPr>
        <w:spacing w:after="200" w:line="276" w:lineRule="auto"/>
        <w:jc w:val="both"/>
        <w:rPr>
          <w:rFonts w:eastAsiaTheme="minorHAnsi"/>
        </w:rPr>
      </w:pPr>
      <w:r>
        <w:t>„</w:t>
      </w:r>
      <w:r>
        <w:rPr>
          <w:i/>
        </w:rPr>
        <w:t>Čl. D. 322-13.</w:t>
      </w:r>
      <w:r>
        <w:t xml:space="preserve"> – Hry uvedené v článku D. 322-12 se aktivují prostřednictvím fyzické distribuční sítě společnosti La </w:t>
      </w:r>
      <w:proofErr w:type="spellStart"/>
      <w:r>
        <w:t>Française</w:t>
      </w:r>
      <w:proofErr w:type="spellEnd"/>
      <w:r>
        <w:t xml:space="preserve"> des </w:t>
      </w:r>
      <w:proofErr w:type="spellStart"/>
      <w:r>
        <w:t>jeux</w:t>
      </w:r>
      <w:proofErr w:type="spellEnd"/>
      <w:r>
        <w:t xml:space="preserve"> a jí pověřených osob za podmínek stanovených v článku R. 322-18-1, nebo prostřednictvím služby komunikace s veřejností on-line.</w:t>
      </w:r>
    </w:p>
    <w:p w14:paraId="105DA0DE" w14:textId="45720C17" w:rsidR="00142531" w:rsidRPr="00933EA2" w:rsidRDefault="00142531" w:rsidP="00933EA2">
      <w:pPr>
        <w:spacing w:after="200" w:line="276" w:lineRule="auto"/>
        <w:jc w:val="both"/>
        <w:rPr>
          <w:rFonts w:eastAsiaTheme="minorHAnsi"/>
        </w:rPr>
      </w:pPr>
      <w:r>
        <w:t>„</w:t>
      </w:r>
      <w:r>
        <w:rPr>
          <w:i/>
        </w:rPr>
        <w:t>Čl. D. 322-14.</w:t>
      </w:r>
      <w:r>
        <w:t xml:space="preserve"> – Rámec nabídky loterijních her společnosti La </w:t>
      </w:r>
      <w:proofErr w:type="spellStart"/>
      <w:r>
        <w:t>Française</w:t>
      </w:r>
      <w:proofErr w:type="spellEnd"/>
      <w:r>
        <w:t xml:space="preserve"> des </w:t>
      </w:r>
      <w:proofErr w:type="spellStart"/>
      <w:r>
        <w:t>jeux</w:t>
      </w:r>
      <w:proofErr w:type="spellEnd"/>
      <w:r>
        <w:t xml:space="preserve"> tvoří tato pravidla:</w:t>
      </w:r>
    </w:p>
    <w:p w14:paraId="72F121DD" w14:textId="08FFD438" w:rsidR="00142531" w:rsidRPr="00933EA2" w:rsidRDefault="001D2F2A" w:rsidP="00933EA2">
      <w:pPr>
        <w:spacing w:after="200" w:line="276" w:lineRule="auto"/>
        <w:jc w:val="both"/>
        <w:rPr>
          <w:rFonts w:eastAsiaTheme="minorHAnsi"/>
        </w:rPr>
      </w:pPr>
      <w:r>
        <w:t>„1. maximální počet loterijních her v celém rozsahu nabízeného sortimentu, které jsou provozovány současně v rámci fyzické distribuční sítě, je omezen na maximálně 40 her;</w:t>
      </w:r>
    </w:p>
    <w:p w14:paraId="27AD047C" w14:textId="2F845A41" w:rsidR="00142531" w:rsidRPr="00933EA2" w:rsidRDefault="001D2F2A" w:rsidP="00933EA2">
      <w:pPr>
        <w:spacing w:after="200" w:line="276" w:lineRule="auto"/>
        <w:jc w:val="both"/>
        <w:rPr>
          <w:rFonts w:eastAsiaTheme="minorHAnsi"/>
        </w:rPr>
      </w:pPr>
      <w:r>
        <w:t>„2. maximální počet loterijních her všech kategorií, které jsou provozovány současně on-line, je omezen na maximálně 100 her;</w:t>
      </w:r>
    </w:p>
    <w:p w14:paraId="3391E3C9" w14:textId="7875B4AC" w:rsidR="00142531" w:rsidRPr="00933EA2" w:rsidRDefault="001D2F2A" w:rsidP="00933EA2">
      <w:pPr>
        <w:spacing w:after="200" w:line="276" w:lineRule="auto"/>
        <w:jc w:val="both"/>
        <w:rPr>
          <w:rFonts w:eastAsiaTheme="minorHAnsi"/>
        </w:rPr>
      </w:pPr>
      <w:r>
        <w:t>„3. pravidla hry omezují celkovou výši výhry skutečně vyplacené výhercům v případě každého zásahu náhody na dvě stě padesát milionů eur v případě výhry v prvním pořadí u každé loterijní hry a sto milionů eur v případě loterijních her založených na zásadě protistrany.</w:t>
      </w:r>
    </w:p>
    <w:p w14:paraId="7EDC6E95" w14:textId="77777777" w:rsidR="00142531" w:rsidRPr="00933EA2" w:rsidRDefault="00142531" w:rsidP="00933EA2">
      <w:pPr>
        <w:spacing w:after="200" w:line="276" w:lineRule="auto"/>
        <w:jc w:val="both"/>
        <w:rPr>
          <w:rFonts w:eastAsiaTheme="minorHAnsi"/>
        </w:rPr>
      </w:pPr>
      <w:r>
        <w:t>„</w:t>
      </w:r>
      <w:r>
        <w:rPr>
          <w:i/>
        </w:rPr>
        <w:t>Čl. D. 322-15.</w:t>
      </w:r>
      <w:r>
        <w:t xml:space="preserve"> – Rozdělení výher nebo cen mezi výherce určuje náhoda nebo určitá událost, jako je například úkon hráče. V rámci jedné loterijní hry lze kombinovat několik způsobů stanovení výher nebo cen a jejich rozdělení mezi výherce.</w:t>
      </w:r>
    </w:p>
    <w:p w14:paraId="698B3ECA" w14:textId="77777777" w:rsidR="00142531" w:rsidRPr="00933EA2" w:rsidRDefault="00142531" w:rsidP="00933EA2">
      <w:pPr>
        <w:spacing w:after="200" w:line="276" w:lineRule="auto"/>
        <w:jc w:val="both"/>
        <w:rPr>
          <w:rFonts w:eastAsiaTheme="minorHAnsi"/>
        </w:rPr>
      </w:pPr>
      <w:r>
        <w:t>„</w:t>
      </w:r>
      <w:r>
        <w:rPr>
          <w:i/>
        </w:rPr>
        <w:t>Čl. D. 322-16.</w:t>
      </w:r>
      <w:r>
        <w:t xml:space="preserve"> – O předcházející zásah náhody se jedná v případech, kdy o tom, který nosič je výherní, rozhoduje náhoda v okamžiku zápisu na tento nosič, ke kterému došlo ještě před tím, než byl nosič dán k dispozici veřejnosti.</w:t>
      </w:r>
    </w:p>
    <w:p w14:paraId="1DF4C48B" w14:textId="77777777" w:rsidR="00142531" w:rsidRPr="00933EA2" w:rsidRDefault="00142531" w:rsidP="00933EA2">
      <w:pPr>
        <w:spacing w:after="200" w:line="276" w:lineRule="auto"/>
        <w:jc w:val="both"/>
        <w:rPr>
          <w:rFonts w:eastAsiaTheme="minorHAnsi"/>
        </w:rPr>
      </w:pPr>
      <w:r>
        <w:t>„O souběžný zásah náhody se jedná, pokud jej spustí nějaká událost, kterou může být úkon hráče na nosiči, který je opatřen nějakým mechanismem nebo příslušným postupem.</w:t>
      </w:r>
    </w:p>
    <w:p w14:paraId="5224D752" w14:textId="77777777" w:rsidR="00142531" w:rsidRPr="00933EA2" w:rsidRDefault="00142531" w:rsidP="00933EA2">
      <w:pPr>
        <w:spacing w:after="200" w:line="276" w:lineRule="auto"/>
        <w:jc w:val="both"/>
        <w:rPr>
          <w:rFonts w:eastAsiaTheme="minorHAnsi"/>
        </w:rPr>
      </w:pPr>
      <w:r>
        <w:t>„O následný zásah náhody se jedná, pokud je založen na výsledcích jednoho nebo několika losování nebo nahodilých spárování, která se mohou týkat čísel, písmen, barev, znaků nebo symbolů nebo posloupnosti čísel, písmen, barev, znaků nebo symbolů.</w:t>
      </w:r>
    </w:p>
    <w:p w14:paraId="6A6541EC" w14:textId="77777777" w:rsidR="00142531" w:rsidRPr="00933EA2" w:rsidRDefault="00142531" w:rsidP="00933EA2">
      <w:pPr>
        <w:spacing w:after="200" w:line="276" w:lineRule="auto"/>
        <w:jc w:val="both"/>
        <w:rPr>
          <w:rFonts w:eastAsiaTheme="minorHAnsi"/>
        </w:rPr>
      </w:pPr>
      <w:r>
        <w:t xml:space="preserve"> „</w:t>
      </w:r>
      <w:r>
        <w:rPr>
          <w:i/>
        </w:rPr>
        <w:t>Čl. D. 322-17.</w:t>
      </w:r>
      <w:r>
        <w:t xml:space="preserve"> – Výhry nebo ceny rozdělené mezi výherce mohou být v hotovosti, nebo se může jednat o věcné výhry. Věcné výhry se zúčtovávají v jejich tržní hodnotě.</w:t>
      </w:r>
    </w:p>
    <w:p w14:paraId="499EF278" w14:textId="77777777" w:rsidR="00142531" w:rsidRPr="00933EA2" w:rsidRDefault="00142531" w:rsidP="00933EA2">
      <w:pPr>
        <w:spacing w:after="200" w:line="276" w:lineRule="auto"/>
        <w:jc w:val="both"/>
        <w:rPr>
          <w:rFonts w:eastAsiaTheme="minorHAnsi"/>
        </w:rPr>
      </w:pPr>
      <w:r>
        <w:t>„</w:t>
      </w:r>
      <w:r>
        <w:rPr>
          <w:i/>
        </w:rPr>
        <w:t>Čl. D. 322-18.</w:t>
      </w:r>
      <w:r>
        <w:t xml:space="preserve"> – Pokud se v rámci jedné loterijní hry uplatňuje zásada rozdělení i zásada protistrany, znamená to, že každá část hry podléhá odpovídající zásadě.</w:t>
      </w:r>
    </w:p>
    <w:p w14:paraId="71C8C978" w14:textId="77777777" w:rsidR="00142531" w:rsidRPr="00933EA2" w:rsidRDefault="00142531" w:rsidP="00933EA2">
      <w:pPr>
        <w:spacing w:after="200" w:line="276" w:lineRule="auto"/>
        <w:jc w:val="both"/>
        <w:rPr>
          <w:rFonts w:eastAsiaTheme="minorHAnsi"/>
        </w:rPr>
      </w:pPr>
      <w:r>
        <w:t>„</w:t>
      </w:r>
      <w:r>
        <w:rPr>
          <w:i/>
        </w:rPr>
        <w:t xml:space="preserve">Kapitola </w:t>
      </w:r>
      <w:proofErr w:type="spellStart"/>
      <w:r>
        <w:rPr>
          <w:i/>
        </w:rPr>
        <w:t>II</w:t>
      </w:r>
      <w:r>
        <w:t>c</w:t>
      </w:r>
      <w:proofErr w:type="spellEnd"/>
    </w:p>
    <w:p w14:paraId="3EE605AB" w14:textId="77777777" w:rsidR="00142531" w:rsidRPr="00933EA2" w:rsidRDefault="00142531" w:rsidP="00933EA2">
      <w:pPr>
        <w:spacing w:after="200" w:line="276" w:lineRule="auto"/>
        <w:jc w:val="both"/>
        <w:rPr>
          <w:rFonts w:eastAsiaTheme="minorHAnsi"/>
        </w:rPr>
      </w:pPr>
      <w:r>
        <w:t>„</w:t>
      </w:r>
      <w:r>
        <w:rPr>
          <w:i/>
        </w:rPr>
        <w:t>Sázky na sportovní události a dostihové sázky</w:t>
      </w:r>
    </w:p>
    <w:p w14:paraId="19743B61" w14:textId="77777777" w:rsidR="00142531" w:rsidRPr="00933EA2" w:rsidRDefault="00142531" w:rsidP="00933EA2">
      <w:pPr>
        <w:spacing w:after="200" w:line="276" w:lineRule="auto"/>
        <w:jc w:val="both"/>
        <w:rPr>
          <w:rFonts w:eastAsiaTheme="minorHAnsi"/>
        </w:rPr>
      </w:pPr>
      <w:r>
        <w:lastRenderedPageBreak/>
        <w:t>„</w:t>
      </w:r>
      <w:r>
        <w:rPr>
          <w:i/>
        </w:rPr>
        <w:t>Čl. D. 322-19.</w:t>
      </w:r>
      <w:r>
        <w:t xml:space="preserve"> – U všech sázek na sportovní události uvedené v článku L. 322-13, které jsou poskytovány prostřednictvím fyzické distribuční sítě společnosti La </w:t>
      </w:r>
      <w:proofErr w:type="spellStart"/>
      <w:r>
        <w:t>Française</w:t>
      </w:r>
      <w:proofErr w:type="spellEnd"/>
      <w:r>
        <w:t xml:space="preserve"> des </w:t>
      </w:r>
      <w:proofErr w:type="spellStart"/>
      <w:r>
        <w:t>Jeux</w:t>
      </w:r>
      <w:proofErr w:type="spellEnd"/>
      <w:r>
        <w:t>, je podíl vkladů připadajících na výhry nejvýše na úrovni 76,5 % v průměru za kalendářní rok.</w:t>
      </w:r>
    </w:p>
    <w:p w14:paraId="1B16ABF1" w14:textId="77777777" w:rsidR="00142531" w:rsidRPr="00933EA2" w:rsidRDefault="00142531" w:rsidP="00933EA2">
      <w:pPr>
        <w:spacing w:after="200" w:line="276" w:lineRule="auto"/>
        <w:jc w:val="both"/>
        <w:rPr>
          <w:rFonts w:eastAsiaTheme="minorHAnsi"/>
        </w:rPr>
      </w:pPr>
      <w:r>
        <w:t>„</w:t>
      </w:r>
      <w:r>
        <w:rPr>
          <w:i/>
        </w:rPr>
        <w:t>Čl. D. 322-20.</w:t>
      </w:r>
      <w:r>
        <w:t xml:space="preserve"> – Rozdělení výher nebo cen mezi výherce se určuje podle výsledků sportovních akcí. V rámci jedné sportovní sázkové hry lze kombinovat několik způsobů stanovení výher nebo cen a jejich rozdělení mezi výherce.</w:t>
      </w:r>
    </w:p>
    <w:p w14:paraId="4FCEFCC4" w14:textId="77777777" w:rsidR="00142531" w:rsidRPr="00933EA2" w:rsidRDefault="00142531" w:rsidP="00933EA2">
      <w:pPr>
        <w:spacing w:after="200" w:line="276" w:lineRule="auto"/>
        <w:jc w:val="both"/>
        <w:rPr>
          <w:rFonts w:eastAsiaTheme="minorHAnsi"/>
        </w:rPr>
      </w:pPr>
      <w:r>
        <w:t>„</w:t>
      </w:r>
      <w:r>
        <w:rPr>
          <w:i/>
        </w:rPr>
        <w:t>Čl. D. 322-21.</w:t>
      </w:r>
      <w:r>
        <w:t xml:space="preserve"> – Výhry nebo ceny rozdělené mezi výherce mohou být v hotovosti, nebo se může jednat o věcné výhry. Věcné výhry se zúčtovávají v jejich tržní hodnotě.</w:t>
      </w:r>
    </w:p>
    <w:p w14:paraId="52C3B83B" w14:textId="77777777" w:rsidR="00142531" w:rsidRPr="00933EA2" w:rsidRDefault="00142531" w:rsidP="00933EA2">
      <w:pPr>
        <w:spacing w:after="200" w:line="276" w:lineRule="auto"/>
        <w:jc w:val="both"/>
        <w:rPr>
          <w:rFonts w:eastAsiaTheme="minorHAnsi"/>
        </w:rPr>
      </w:pPr>
      <w:r>
        <w:t>„</w:t>
      </w:r>
      <w:r>
        <w:rPr>
          <w:i/>
        </w:rPr>
        <w:t>Čl. D. 322-22.</w:t>
      </w:r>
      <w:r>
        <w:t xml:space="preserve"> – Pokud se v rámci jedné sportovní sázkové hry uplatňuje zásada rozdělení i zásada protistrany, znamená to, že každá část hry podléhá odpovídající zásadě.</w:t>
      </w:r>
    </w:p>
    <w:p w14:paraId="397F7EC9" w14:textId="6B79B966" w:rsidR="00142531" w:rsidRPr="00933EA2" w:rsidRDefault="00142531" w:rsidP="00933EA2">
      <w:pPr>
        <w:keepNext/>
        <w:keepLines/>
        <w:spacing w:after="200" w:line="276" w:lineRule="auto"/>
        <w:jc w:val="center"/>
        <w:rPr>
          <w:rFonts w:eastAsiaTheme="minorHAnsi"/>
          <w:b/>
        </w:rPr>
      </w:pPr>
      <w:r>
        <w:rPr>
          <w:b/>
        </w:rPr>
        <w:t>HLAVA IX: RŮZNÁ USTANOVENÍ</w:t>
      </w:r>
    </w:p>
    <w:p w14:paraId="6B2FA634" w14:textId="6133C450" w:rsidR="00142531" w:rsidRPr="00933EA2" w:rsidRDefault="00142531" w:rsidP="00933EA2">
      <w:pPr>
        <w:pStyle w:val="BodyText"/>
        <w:keepNext/>
        <w:keepLines/>
        <w:jc w:val="center"/>
        <w:rPr>
          <w:b/>
        </w:rPr>
      </w:pPr>
      <w:r>
        <w:rPr>
          <w:b/>
        </w:rPr>
        <w:t>Článek 48</w:t>
      </w:r>
    </w:p>
    <w:p w14:paraId="1E081A25" w14:textId="77777777" w:rsidR="00142531" w:rsidRPr="00933EA2" w:rsidRDefault="00142531" w:rsidP="00933EA2">
      <w:pPr>
        <w:keepNext/>
        <w:keepLines/>
        <w:rPr>
          <w:b/>
        </w:rPr>
      </w:pPr>
    </w:p>
    <w:p w14:paraId="37DFBDA8" w14:textId="6B10418A" w:rsidR="00142531" w:rsidRPr="00933EA2" w:rsidRDefault="00142531" w:rsidP="00933EA2">
      <w:pPr>
        <w:pStyle w:val="BodyText"/>
        <w:jc w:val="both"/>
      </w:pPr>
      <w:r>
        <w:t>Dekret č. 2019-1061 ze dne 17. října 2019 se mění takto:</w:t>
      </w:r>
    </w:p>
    <w:p w14:paraId="1D7BA30F" w14:textId="01D3777C" w:rsidR="00142531" w:rsidRPr="00933EA2" w:rsidRDefault="00B84182" w:rsidP="00933EA2">
      <w:pPr>
        <w:pStyle w:val="BodyText"/>
        <w:jc w:val="both"/>
        <w:rPr>
          <w:rFonts w:eastAsia="Calibri"/>
        </w:rPr>
      </w:pPr>
      <w:r>
        <w:t xml:space="preserve">1. článek 8 se mění takto: </w:t>
      </w:r>
    </w:p>
    <w:p w14:paraId="2B2B45CD" w14:textId="6E5CBC85" w:rsidR="00142531" w:rsidRPr="00933EA2" w:rsidRDefault="00F77C81" w:rsidP="00933EA2">
      <w:pPr>
        <w:pStyle w:val="BodyText"/>
        <w:jc w:val="both"/>
      </w:pPr>
      <w:r>
        <w:t>a) první, třetí až sedmý pododstavec, devátý až šestnáctý pododstavec a první pododstavec odstavce II se zrušují;</w:t>
      </w:r>
    </w:p>
    <w:p w14:paraId="36218AA9" w14:textId="7EC300FB" w:rsidR="00142531" w:rsidRPr="00933EA2" w:rsidRDefault="00F77C81" w:rsidP="00933EA2">
      <w:pPr>
        <w:pStyle w:val="BodyText"/>
        <w:jc w:val="both"/>
      </w:pPr>
      <w:r>
        <w:t>b) do druhého pododstavce se doplňují tato slova: „podle článků L. 322-9-1 a L. 322-9-2 zákoníku veřejného zdraví“;</w:t>
      </w:r>
    </w:p>
    <w:p w14:paraId="3FD15048" w14:textId="5FCE4042" w:rsidR="00142531" w:rsidRPr="00933EA2" w:rsidRDefault="00F77C81" w:rsidP="00933EA2">
      <w:pPr>
        <w:pStyle w:val="BodyText"/>
        <w:jc w:val="both"/>
      </w:pPr>
      <w:r>
        <w:t xml:space="preserve">c) v osmém pododstavci se slova: „v tomto článku“ nahrazují slovy: „v článcích D. 322-10 až D. 322-19 zákoníku vnitřní bezpečnosti“; </w:t>
      </w:r>
    </w:p>
    <w:p w14:paraId="5C01C0A8" w14:textId="1D2778E4" w:rsidR="00142531" w:rsidRPr="00933EA2" w:rsidRDefault="00CB7745" w:rsidP="00933EA2">
      <w:pPr>
        <w:pStyle w:val="BodyText"/>
        <w:jc w:val="both"/>
      </w:pPr>
      <w:r>
        <w:t>d</w:t>
      </w:r>
      <w:bookmarkStart w:id="0" w:name="_GoBack"/>
      <w:bookmarkEnd w:id="0"/>
      <w:r w:rsidR="00F77C81">
        <w:t>) v sedmnáctém pododstavci se slova: „v odstavci 2 tohoto odstavce I“ nahrazují slovy: „v článku D. 322-14“;</w:t>
      </w:r>
    </w:p>
    <w:p w14:paraId="4A48D974" w14:textId="6354E1D2" w:rsidR="00142531" w:rsidRPr="00933EA2" w:rsidRDefault="003A7FAA" w:rsidP="00933EA2">
      <w:pPr>
        <w:pStyle w:val="BodyText"/>
        <w:jc w:val="both"/>
      </w:pPr>
      <w:r>
        <w:t xml:space="preserve">2. článek 9 se mění takto: </w:t>
      </w:r>
    </w:p>
    <w:p w14:paraId="67CB0A9C" w14:textId="0B61CF64" w:rsidR="00142531" w:rsidRPr="00933EA2" w:rsidRDefault="00F77C81" w:rsidP="00933EA2">
      <w:pPr>
        <w:pStyle w:val="BodyText"/>
        <w:jc w:val="both"/>
      </w:pPr>
      <w:r>
        <w:t>a) v prvním pododstavci se zrušuje odkaz: „I. –“;</w:t>
      </w:r>
    </w:p>
    <w:p w14:paraId="7362E9D8" w14:textId="26A4CC94" w:rsidR="00142531" w:rsidRPr="00933EA2" w:rsidRDefault="00F77C81" w:rsidP="00933EA2">
      <w:pPr>
        <w:pStyle w:val="BodyText"/>
        <w:jc w:val="both"/>
      </w:pPr>
      <w:r>
        <w:t>b) odstavec II se zrušuje;</w:t>
      </w:r>
    </w:p>
    <w:p w14:paraId="34B2083E" w14:textId="5E389661" w:rsidR="00142531" w:rsidRPr="00933EA2" w:rsidRDefault="003A7FAA" w:rsidP="00933EA2">
      <w:pPr>
        <w:pStyle w:val="BodyText"/>
        <w:jc w:val="both"/>
      </w:pPr>
      <w:r>
        <w:t>3. poslední pododstavec článku 11 se zrušuje;</w:t>
      </w:r>
    </w:p>
    <w:p w14:paraId="2CF30745" w14:textId="77777777" w:rsidR="00142531" w:rsidRPr="00933EA2" w:rsidRDefault="003A7FAA" w:rsidP="00933EA2">
      <w:pPr>
        <w:pStyle w:val="BodyText"/>
        <w:jc w:val="both"/>
      </w:pPr>
      <w:r>
        <w:t>4. články 10 a 13 se zrušují.</w:t>
      </w:r>
    </w:p>
    <w:p w14:paraId="026AA641" w14:textId="19FF09DB" w:rsidR="00142531" w:rsidRDefault="00C342AB" w:rsidP="00933EA2">
      <w:pPr>
        <w:pStyle w:val="BodyText"/>
        <w:jc w:val="center"/>
        <w:rPr>
          <w:b/>
        </w:rPr>
      </w:pPr>
      <w:r>
        <w:rPr>
          <w:b/>
        </w:rPr>
        <w:t>Článek 49</w:t>
      </w:r>
    </w:p>
    <w:p w14:paraId="20CC2A42" w14:textId="77777777" w:rsidR="00933EA2" w:rsidRPr="00933EA2" w:rsidRDefault="00933EA2" w:rsidP="00933EA2">
      <w:pPr>
        <w:keepNext/>
        <w:keepLines/>
        <w:rPr>
          <w:b/>
        </w:rPr>
      </w:pPr>
    </w:p>
    <w:p w14:paraId="5078CA54" w14:textId="77777777" w:rsidR="003A46B9" w:rsidRPr="00933EA2" w:rsidRDefault="00142531" w:rsidP="00933EA2">
      <w:pPr>
        <w:pStyle w:val="BodyText"/>
        <w:jc w:val="both"/>
      </w:pPr>
      <w:r>
        <w:t>Dekret č. 2010-624 ze dne 8. června 2010 o právní úpravě obchodních sdělení propagujících provozovatele hazardních her a poskytování informací hráčům o rizicích souvisejících s hraním hazardních her se zrušuje s výjimkou článku 1.</w:t>
      </w:r>
    </w:p>
    <w:p w14:paraId="44F6D3A1" w14:textId="77777777" w:rsidR="003A46B9" w:rsidRPr="00933EA2" w:rsidRDefault="003A46B9" w:rsidP="00933EA2">
      <w:pPr>
        <w:pStyle w:val="BodyText"/>
        <w:jc w:val="both"/>
      </w:pPr>
      <w:r>
        <w:t>Článek 1 výše uvedeného dekretu ze dne 8. června 2010 se zrušuje dnem vstupu v platnost dekretu uvedeného v článku D. 320-2 zákoníku vnitřní bezpečnosti.</w:t>
      </w:r>
    </w:p>
    <w:p w14:paraId="43F165C3" w14:textId="77777777" w:rsidR="00142531" w:rsidRPr="00933EA2" w:rsidRDefault="00142531" w:rsidP="00933EA2">
      <w:pPr>
        <w:pStyle w:val="BodyText"/>
        <w:jc w:val="both"/>
      </w:pPr>
    </w:p>
    <w:p w14:paraId="1ED9BF43" w14:textId="30760737" w:rsidR="00142531" w:rsidRPr="00933EA2" w:rsidRDefault="00142531" w:rsidP="00933EA2">
      <w:pPr>
        <w:keepNext/>
        <w:keepLines/>
        <w:pageBreakBefore/>
        <w:spacing w:after="200" w:line="276" w:lineRule="auto"/>
        <w:jc w:val="center"/>
        <w:rPr>
          <w:rFonts w:eastAsiaTheme="minorHAnsi"/>
          <w:b/>
        </w:rPr>
      </w:pPr>
      <w:r>
        <w:rPr>
          <w:b/>
        </w:rPr>
        <w:lastRenderedPageBreak/>
        <w:t>HLAVA X: USTANOVENÍ TÝKAJÍCÍ ZÁMOŘSKÝCH ÚZEMÍ</w:t>
      </w:r>
    </w:p>
    <w:p w14:paraId="228B2384" w14:textId="6829D366" w:rsidR="00142531" w:rsidRDefault="00C342AB" w:rsidP="00933EA2">
      <w:pPr>
        <w:pStyle w:val="BodyText"/>
        <w:keepNext/>
        <w:keepLines/>
        <w:jc w:val="center"/>
        <w:rPr>
          <w:b/>
        </w:rPr>
      </w:pPr>
      <w:r>
        <w:rPr>
          <w:b/>
        </w:rPr>
        <w:t>Článek 50</w:t>
      </w:r>
    </w:p>
    <w:p w14:paraId="64A668A0" w14:textId="77777777" w:rsidR="00933EA2" w:rsidRPr="00933EA2" w:rsidRDefault="00933EA2" w:rsidP="00933EA2">
      <w:pPr>
        <w:pStyle w:val="BodyText"/>
        <w:keepNext/>
        <w:keepLines/>
        <w:jc w:val="center"/>
        <w:rPr>
          <w:b/>
        </w:rPr>
      </w:pPr>
    </w:p>
    <w:p w14:paraId="4EDE3EF1" w14:textId="78A68B88" w:rsidR="00142531" w:rsidRPr="00933EA2" w:rsidRDefault="00142531" w:rsidP="00933EA2">
      <w:pPr>
        <w:spacing w:before="120" w:after="120"/>
        <w:jc w:val="both"/>
      </w:pPr>
      <w:r>
        <w:t xml:space="preserve">Hlava VI knihy III zákoníku vnitřní bezpečnosti se mění takto: </w:t>
      </w:r>
    </w:p>
    <w:p w14:paraId="3F218209" w14:textId="4E3D9BBB" w:rsidR="00142531" w:rsidRPr="00933EA2" w:rsidRDefault="00142531" w:rsidP="00933EA2">
      <w:pPr>
        <w:spacing w:before="120" w:after="120"/>
        <w:jc w:val="both"/>
      </w:pPr>
      <w:r>
        <w:t xml:space="preserve">1. za článek R. 344-1 se vkládá článek D. 344-1-1, který zní: </w:t>
      </w:r>
    </w:p>
    <w:p w14:paraId="03866EFC" w14:textId="4280BBD7" w:rsidR="00142531" w:rsidRPr="00933EA2" w:rsidRDefault="00142531" w:rsidP="00933EA2">
      <w:pPr>
        <w:spacing w:before="120" w:after="120"/>
        <w:jc w:val="both"/>
      </w:pPr>
      <w:r>
        <w:t>„</w:t>
      </w:r>
      <w:r>
        <w:rPr>
          <w:bCs/>
          <w:i/>
          <w:iCs/>
        </w:rPr>
        <w:t>Čl. D. 344-1-1.</w:t>
      </w:r>
      <w:r>
        <w:t xml:space="preserve"> – Ve Francouzské Polynésii platí ustanovení této knihy uvedená v levém sloupci níže uvedené tabulky ve znění uvedeném v pravém sloupci téže tabulky: </w:t>
      </w:r>
    </w:p>
    <w:p w14:paraId="575C799C" w14:textId="77777777" w:rsidR="00142531" w:rsidRPr="00933EA2" w:rsidRDefault="00142531" w:rsidP="00933EA2">
      <w:pPr>
        <w:spacing w:before="120" w:after="120"/>
      </w:pPr>
      <w:r>
        <w:t>„</w:t>
      </w:r>
    </w:p>
    <w:tbl>
      <w:tblPr>
        <w:tblW w:w="0" w:type="auto"/>
        <w:tblInd w:w="-15" w:type="dxa"/>
        <w:tblLayout w:type="fixed"/>
        <w:tblLook w:val="0000" w:firstRow="0" w:lastRow="0" w:firstColumn="0" w:lastColumn="0" w:noHBand="0" w:noVBand="0"/>
      </w:tblPr>
      <w:tblGrid>
        <w:gridCol w:w="4747"/>
        <w:gridCol w:w="4777"/>
      </w:tblGrid>
      <w:tr w:rsidR="00142531" w:rsidRPr="00933EA2" w14:paraId="0E2EAEC9"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1B23B21" w14:textId="77777777" w:rsidR="00142531" w:rsidRPr="00933EA2" w:rsidRDefault="00142531" w:rsidP="00933EA2">
            <w:pPr>
              <w:spacing w:before="120" w:after="120"/>
              <w:jc w:val="center"/>
            </w:pPr>
            <w:r>
              <w:t>PLATNÁ USTANOVENÍ</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7D931236" w14:textId="77777777" w:rsidR="00142531" w:rsidRPr="00933EA2" w:rsidRDefault="00142531" w:rsidP="00933EA2">
            <w:pPr>
              <w:spacing w:before="120" w:after="120"/>
              <w:jc w:val="center"/>
            </w:pPr>
            <w:r>
              <w:t>V JEJICH ZNĚNÍ</w:t>
            </w:r>
          </w:p>
        </w:tc>
      </w:tr>
      <w:tr w:rsidR="00142531" w:rsidRPr="00933EA2" w14:paraId="412D33D7"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2FF41097" w14:textId="77777777" w:rsidR="00142531" w:rsidRPr="00933EA2" w:rsidRDefault="00142531" w:rsidP="00933EA2">
            <w:pPr>
              <w:spacing w:before="120" w:after="120"/>
              <w:jc w:val="both"/>
            </w:pPr>
            <w:r>
              <w:t>V hlavě II</w:t>
            </w:r>
          </w:p>
        </w:tc>
      </w:tr>
      <w:tr w:rsidR="00142531" w:rsidRPr="00933EA2" w14:paraId="7935333B"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7E2AA7C7" w14:textId="77777777" w:rsidR="00142531" w:rsidRPr="00933EA2" w:rsidRDefault="00142531" w:rsidP="00933EA2">
            <w:pPr>
              <w:spacing w:before="120" w:after="120"/>
              <w:jc w:val="both"/>
            </w:pPr>
            <w:r>
              <w:t>D. 320-1 až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57373FB" w14:textId="77777777" w:rsidR="00142531" w:rsidRPr="00933EA2" w:rsidRDefault="00142531" w:rsidP="00933EA2">
            <w:pPr>
              <w:spacing w:before="120" w:after="120"/>
              <w:jc w:val="both"/>
            </w:pPr>
            <w:r>
              <w:t>vyplývajícím z dekretu č. XXX ze dne XXX</w:t>
            </w:r>
          </w:p>
        </w:tc>
      </w:tr>
      <w:tr w:rsidR="00142531" w:rsidRPr="00933EA2" w14:paraId="58B6C442"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08FB507A" w14:textId="77777777" w:rsidR="00142531" w:rsidRPr="00933EA2" w:rsidRDefault="00142531" w:rsidP="00933EA2">
            <w:pPr>
              <w:spacing w:before="120" w:after="120"/>
              <w:jc w:val="both"/>
              <w:rPr>
                <w:bCs/>
                <w:iCs/>
              </w:rPr>
            </w:pPr>
            <w:r>
              <w:t>D. 322-9 až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2C4B1D7B" w14:textId="77777777" w:rsidR="00142531" w:rsidRPr="00933EA2" w:rsidRDefault="00142531" w:rsidP="00933EA2">
            <w:pPr>
              <w:spacing w:before="120" w:after="120"/>
              <w:jc w:val="both"/>
            </w:pPr>
            <w:r>
              <w:t>vyplývajícím z dekretu č. XXX ze dne XXX</w:t>
            </w:r>
          </w:p>
        </w:tc>
      </w:tr>
    </w:tbl>
    <w:p w14:paraId="76940A3D" w14:textId="70749E61" w:rsidR="00142531" w:rsidRPr="00933EA2" w:rsidRDefault="00142531" w:rsidP="00933EA2">
      <w:pPr>
        <w:spacing w:before="120" w:after="120"/>
        <w:jc w:val="right"/>
      </w:pPr>
      <w:r>
        <w:t>";</w:t>
      </w:r>
    </w:p>
    <w:p w14:paraId="2859C670" w14:textId="4C9A029D" w:rsidR="00142531" w:rsidRPr="00933EA2" w:rsidRDefault="00F77C81" w:rsidP="00933EA2">
      <w:pPr>
        <w:spacing w:before="120" w:after="120"/>
        <w:jc w:val="both"/>
      </w:pPr>
      <w:r>
        <w:t xml:space="preserve">2. Článek D. 345-2 se mění takto: </w:t>
      </w:r>
    </w:p>
    <w:p w14:paraId="171E8F55" w14:textId="345E314C" w:rsidR="00142531" w:rsidRPr="00933EA2" w:rsidRDefault="00142531" w:rsidP="00933EA2">
      <w:pPr>
        <w:spacing w:before="120" w:after="120"/>
        <w:jc w:val="both"/>
      </w:pPr>
      <w:r>
        <w:t xml:space="preserve">a) za řádek: </w:t>
      </w:r>
    </w:p>
    <w:p w14:paraId="0A6D5ECA" w14:textId="4260D7DB"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9524"/>
      </w:tblGrid>
      <w:tr w:rsidR="00142531" w:rsidRPr="00933EA2" w14:paraId="692F82FE" w14:textId="77777777" w:rsidTr="00933EA2">
        <w:trPr>
          <w:cantSplit/>
        </w:trPr>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20DA139F" w14:textId="77777777" w:rsidR="00142531" w:rsidRPr="00933EA2" w:rsidRDefault="00142531" w:rsidP="00933EA2">
            <w:pPr>
              <w:spacing w:before="120" w:after="120"/>
              <w:jc w:val="both"/>
            </w:pPr>
            <w:r>
              <w:t>V hlavě II</w:t>
            </w:r>
          </w:p>
        </w:tc>
      </w:tr>
    </w:tbl>
    <w:p w14:paraId="5EC12802" w14:textId="77777777" w:rsidR="00142531" w:rsidRPr="00933EA2" w:rsidRDefault="00142531" w:rsidP="00933EA2">
      <w:pPr>
        <w:spacing w:before="120" w:after="120"/>
        <w:jc w:val="right"/>
      </w:pPr>
      <w:r>
        <w:t>“</w:t>
      </w:r>
    </w:p>
    <w:p w14:paraId="3328B77C" w14:textId="47ADEAAB" w:rsidR="00142531" w:rsidRPr="00933EA2" w:rsidRDefault="00142531" w:rsidP="00933EA2">
      <w:pPr>
        <w:spacing w:before="120" w:after="120"/>
        <w:jc w:val="both"/>
      </w:pPr>
      <w:r>
        <w:t xml:space="preserve">se vkládá tento řádek: </w:t>
      </w:r>
    </w:p>
    <w:p w14:paraId="3C13D2F5" w14:textId="6F23188C"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0A2B46FE"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5F90E2B5" w14:textId="77777777" w:rsidR="00142531" w:rsidRPr="00933EA2" w:rsidRDefault="00142531" w:rsidP="00933EA2">
            <w:pPr>
              <w:spacing w:before="120" w:after="120"/>
              <w:jc w:val="both"/>
            </w:pPr>
            <w:r>
              <w:t>D. 320-1 až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5456348F" w14:textId="77777777" w:rsidR="00142531" w:rsidRPr="00933EA2" w:rsidRDefault="00142531" w:rsidP="00933EA2">
            <w:pPr>
              <w:spacing w:before="120" w:after="120"/>
              <w:jc w:val="both"/>
            </w:pPr>
            <w:r>
              <w:t>vyplývajícím z dekretu č. XXX ze dne XXX</w:t>
            </w:r>
          </w:p>
        </w:tc>
      </w:tr>
    </w:tbl>
    <w:p w14:paraId="394F271C" w14:textId="15007DC9" w:rsidR="00142531" w:rsidRPr="00933EA2" w:rsidRDefault="00142531" w:rsidP="00933EA2">
      <w:pPr>
        <w:spacing w:before="120" w:after="120"/>
        <w:jc w:val="right"/>
      </w:pPr>
      <w:r>
        <w:t>";</w:t>
      </w:r>
    </w:p>
    <w:p w14:paraId="2C9C36CA" w14:textId="748A8604" w:rsidR="00142531" w:rsidRPr="00933EA2" w:rsidRDefault="00142531" w:rsidP="00933EA2">
      <w:pPr>
        <w:spacing w:before="120" w:after="120"/>
        <w:jc w:val="both"/>
      </w:pPr>
      <w:r>
        <w:t xml:space="preserve">b) za řádek: </w:t>
      </w:r>
    </w:p>
    <w:p w14:paraId="7FEEA025" w14:textId="3404E3A0"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7C02A6C7"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0082B790" w14:textId="77777777" w:rsidR="00142531" w:rsidRPr="00933EA2" w:rsidRDefault="00142531" w:rsidP="00933EA2">
            <w:pPr>
              <w:spacing w:before="120" w:after="120"/>
              <w:jc w:val="both"/>
            </w:pPr>
            <w:r>
              <w:t>D. 322-4</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31C8B634" w14:textId="77777777" w:rsidR="00142531" w:rsidRPr="00933EA2" w:rsidRDefault="00142531" w:rsidP="00933EA2">
            <w:pPr>
              <w:spacing w:before="120" w:after="120"/>
              <w:jc w:val="both"/>
            </w:pPr>
            <w:r>
              <w:t>vyplývajícím z dekretu č. 2014-1253 ze dne 27. října 2014 o ustanoveních knih III, VI a VII normativní části zákoníku vnitřní bezpečnosti (dekrety Státní rady a prosté dekrety)</w:t>
            </w:r>
          </w:p>
        </w:tc>
      </w:tr>
    </w:tbl>
    <w:p w14:paraId="0CC52D59" w14:textId="77777777" w:rsidR="00142531" w:rsidRPr="00933EA2" w:rsidRDefault="00142531" w:rsidP="00933EA2">
      <w:pPr>
        <w:spacing w:before="120" w:after="120"/>
        <w:jc w:val="right"/>
      </w:pPr>
      <w:r>
        <w:t>“</w:t>
      </w:r>
    </w:p>
    <w:p w14:paraId="036973BF" w14:textId="3EF8A6EA" w:rsidR="00142531" w:rsidRPr="00933EA2" w:rsidRDefault="00142531" w:rsidP="00933EA2">
      <w:pPr>
        <w:spacing w:before="120" w:after="120"/>
        <w:jc w:val="both"/>
      </w:pPr>
      <w:r>
        <w:t xml:space="preserve">se vkládá tento řádek: </w:t>
      </w:r>
    </w:p>
    <w:p w14:paraId="7F8A13A4" w14:textId="7461E24A"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53804408"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6F206FB0" w14:textId="77777777" w:rsidR="00142531" w:rsidRPr="00933EA2" w:rsidRDefault="00142531" w:rsidP="00933EA2">
            <w:pPr>
              <w:spacing w:before="120" w:after="120"/>
              <w:jc w:val="both"/>
            </w:pPr>
            <w:r>
              <w:t>D. 322-9 až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A69AF8B" w14:textId="77777777" w:rsidR="00142531" w:rsidRPr="00933EA2" w:rsidRDefault="00142531" w:rsidP="00933EA2">
            <w:pPr>
              <w:spacing w:before="120" w:after="120"/>
              <w:jc w:val="both"/>
            </w:pPr>
            <w:r>
              <w:t>vyplývajícím z dekretu č. XXX ze dne XXX</w:t>
            </w:r>
          </w:p>
        </w:tc>
      </w:tr>
    </w:tbl>
    <w:p w14:paraId="7ABECD41" w14:textId="459EF0D1" w:rsidR="00142531" w:rsidRPr="00933EA2" w:rsidRDefault="00142531" w:rsidP="00933EA2">
      <w:pPr>
        <w:spacing w:before="120" w:after="120"/>
        <w:jc w:val="right"/>
      </w:pPr>
      <w:r>
        <w:lastRenderedPageBreak/>
        <w:t>";</w:t>
      </w:r>
    </w:p>
    <w:p w14:paraId="04D53B77" w14:textId="17B7F537" w:rsidR="00142531" w:rsidRPr="00933EA2" w:rsidRDefault="00142531" w:rsidP="00933EA2">
      <w:pPr>
        <w:spacing w:before="120" w:after="120"/>
        <w:jc w:val="both"/>
      </w:pPr>
      <w:r>
        <w:t xml:space="preserve">3. za článek R. 346-1-1 se vkládá článek R. 346-1-2, který zní: </w:t>
      </w:r>
    </w:p>
    <w:p w14:paraId="0356F9A9" w14:textId="36D1FF27" w:rsidR="00142531" w:rsidRPr="00933EA2" w:rsidRDefault="00142531" w:rsidP="00933EA2">
      <w:pPr>
        <w:spacing w:before="120" w:after="120"/>
        <w:jc w:val="both"/>
      </w:pPr>
      <w:r>
        <w:t>„</w:t>
      </w:r>
      <w:r>
        <w:rPr>
          <w:bCs/>
          <w:i/>
          <w:iCs/>
        </w:rPr>
        <w:t>Čl. D. 346-1-2.</w:t>
      </w:r>
      <w:r>
        <w:t xml:space="preserve"> – Na ostrovech </w:t>
      </w:r>
      <w:proofErr w:type="spellStart"/>
      <w:r>
        <w:t>Wallis</w:t>
      </w:r>
      <w:proofErr w:type="spellEnd"/>
      <w:r>
        <w:t xml:space="preserve"> a </w:t>
      </w:r>
      <w:proofErr w:type="spellStart"/>
      <w:r>
        <w:t>Futuna</w:t>
      </w:r>
      <w:proofErr w:type="spellEnd"/>
      <w:r>
        <w:t xml:space="preserve"> platí ustanovení této knihy uvedená v levém sloupci níže uvedené tabulky ve znění uvedeném v pravém sloupci téže tabulky: </w:t>
      </w:r>
    </w:p>
    <w:p w14:paraId="3AB46910" w14:textId="77777777" w:rsidR="00142531" w:rsidRPr="00933EA2" w:rsidRDefault="00142531" w:rsidP="00933EA2">
      <w:pPr>
        <w:spacing w:before="120" w:after="120"/>
      </w:pPr>
      <w:r>
        <w:t>„</w:t>
      </w:r>
    </w:p>
    <w:tbl>
      <w:tblPr>
        <w:tblW w:w="0" w:type="auto"/>
        <w:tblInd w:w="-15" w:type="dxa"/>
        <w:tblLayout w:type="fixed"/>
        <w:tblLook w:val="0000" w:firstRow="0" w:lastRow="0" w:firstColumn="0" w:lastColumn="0" w:noHBand="0" w:noVBand="0"/>
      </w:tblPr>
      <w:tblGrid>
        <w:gridCol w:w="4747"/>
        <w:gridCol w:w="4777"/>
      </w:tblGrid>
      <w:tr w:rsidR="00142531" w:rsidRPr="00933EA2" w14:paraId="4D743C10"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362F6C25" w14:textId="77777777" w:rsidR="00142531" w:rsidRPr="00933EA2" w:rsidRDefault="00142531" w:rsidP="00933EA2">
            <w:pPr>
              <w:spacing w:before="120" w:after="120"/>
              <w:jc w:val="center"/>
            </w:pPr>
            <w:r>
              <w:t>PLATNÁ USTANOVENÍ</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54549F68" w14:textId="77777777" w:rsidR="00142531" w:rsidRPr="00933EA2" w:rsidRDefault="00142531" w:rsidP="00933EA2">
            <w:pPr>
              <w:spacing w:before="120" w:after="120"/>
              <w:jc w:val="center"/>
            </w:pPr>
            <w:r>
              <w:t>V JEJICH ZNĚNÍ</w:t>
            </w:r>
          </w:p>
        </w:tc>
      </w:tr>
      <w:tr w:rsidR="00142531" w:rsidRPr="00933EA2" w14:paraId="15B8CCF1"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7F30FF23" w14:textId="77777777" w:rsidR="00142531" w:rsidRPr="00933EA2" w:rsidRDefault="00142531" w:rsidP="00933EA2">
            <w:pPr>
              <w:spacing w:before="120" w:after="120"/>
              <w:jc w:val="both"/>
            </w:pPr>
            <w:r>
              <w:t>V hlavě II</w:t>
            </w:r>
          </w:p>
        </w:tc>
      </w:tr>
      <w:tr w:rsidR="00142531" w:rsidRPr="00933EA2" w14:paraId="3EC8EE75"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6D9AEA54" w14:textId="77777777" w:rsidR="00142531" w:rsidRPr="00933EA2" w:rsidRDefault="00142531" w:rsidP="00933EA2">
            <w:pPr>
              <w:spacing w:before="120" w:after="120"/>
              <w:jc w:val="both"/>
            </w:pPr>
            <w:r>
              <w:t>D. 320-1 až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6B1C7BDE" w14:textId="77777777" w:rsidR="00142531" w:rsidRPr="00933EA2" w:rsidRDefault="00142531" w:rsidP="00933EA2">
            <w:pPr>
              <w:spacing w:before="120" w:after="120"/>
              <w:jc w:val="both"/>
            </w:pPr>
            <w:r>
              <w:t>vyplývajícím z dekretu č. XXX ze dne XXX</w:t>
            </w:r>
          </w:p>
        </w:tc>
      </w:tr>
      <w:tr w:rsidR="00142531" w:rsidRPr="00933EA2" w14:paraId="441A2A26"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3D70CD41" w14:textId="77777777" w:rsidR="00142531" w:rsidRPr="00933EA2" w:rsidRDefault="00142531" w:rsidP="00933EA2">
            <w:pPr>
              <w:spacing w:before="120" w:after="120"/>
              <w:jc w:val="both"/>
            </w:pPr>
            <w:r>
              <w:t>D. 322-9 až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2B7F0CC8" w14:textId="77777777" w:rsidR="00142531" w:rsidRPr="00933EA2" w:rsidRDefault="00142531" w:rsidP="00933EA2">
            <w:pPr>
              <w:spacing w:before="120" w:after="120"/>
              <w:jc w:val="both"/>
            </w:pPr>
            <w:r>
              <w:t>vyplývajícím z dekretu č. XXX ze dne XXX</w:t>
            </w:r>
          </w:p>
        </w:tc>
      </w:tr>
    </w:tbl>
    <w:p w14:paraId="3ACFD74F" w14:textId="0DC3CFC1" w:rsidR="00142531" w:rsidRPr="00933EA2" w:rsidRDefault="00142531" w:rsidP="00933EA2">
      <w:pPr>
        <w:spacing w:before="120" w:after="120"/>
        <w:jc w:val="right"/>
      </w:pPr>
      <w:r>
        <w:t>";</w:t>
      </w:r>
    </w:p>
    <w:p w14:paraId="5283D3EE" w14:textId="765E5D2C" w:rsidR="00142531" w:rsidRPr="00933EA2" w:rsidRDefault="00142531" w:rsidP="00933EA2">
      <w:pPr>
        <w:spacing w:before="120" w:after="120"/>
        <w:jc w:val="both"/>
      </w:pPr>
      <w:r>
        <w:t xml:space="preserve">4. Kapitola VII se doplňuje o článek D. 347-1, který zní: </w:t>
      </w:r>
    </w:p>
    <w:p w14:paraId="26663052" w14:textId="4598AC2D" w:rsidR="00142531" w:rsidRPr="00933EA2" w:rsidRDefault="00142531" w:rsidP="00933EA2">
      <w:pPr>
        <w:spacing w:before="120" w:after="120"/>
        <w:jc w:val="both"/>
      </w:pPr>
      <w:r>
        <w:t>„</w:t>
      </w:r>
      <w:r>
        <w:rPr>
          <w:bCs/>
          <w:i/>
          <w:iCs/>
        </w:rPr>
        <w:t>Čl. D. 347-1.</w:t>
      </w:r>
      <w:r>
        <w:t xml:space="preserve"> – Na Francouzských jižních a antarktických územích platí ustanovení této knihy uvedená v levém sloupci níže uvedené tabulky ve znění uvedeném v pravém sloupci téže tabulky: </w:t>
      </w:r>
    </w:p>
    <w:p w14:paraId="395891FB" w14:textId="77777777" w:rsidR="00142531" w:rsidRPr="00933EA2" w:rsidRDefault="00142531" w:rsidP="00933EA2">
      <w:pPr>
        <w:spacing w:before="120" w:after="120"/>
      </w:pPr>
      <w:r>
        <w:t>„</w:t>
      </w:r>
    </w:p>
    <w:tbl>
      <w:tblPr>
        <w:tblW w:w="0" w:type="auto"/>
        <w:tblInd w:w="-15" w:type="dxa"/>
        <w:tblLayout w:type="fixed"/>
        <w:tblLook w:val="0000" w:firstRow="0" w:lastRow="0" w:firstColumn="0" w:lastColumn="0" w:noHBand="0" w:noVBand="0"/>
      </w:tblPr>
      <w:tblGrid>
        <w:gridCol w:w="4747"/>
        <w:gridCol w:w="4777"/>
      </w:tblGrid>
      <w:tr w:rsidR="00142531" w:rsidRPr="00933EA2" w14:paraId="19620149"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5E51C02" w14:textId="77777777" w:rsidR="00142531" w:rsidRPr="00933EA2" w:rsidRDefault="00142531" w:rsidP="00933EA2">
            <w:pPr>
              <w:spacing w:before="120" w:after="120"/>
              <w:jc w:val="center"/>
            </w:pPr>
            <w:r>
              <w:t>PLATNÁ USTANOVENÍ</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117039B1" w14:textId="77777777" w:rsidR="00142531" w:rsidRPr="00933EA2" w:rsidRDefault="00142531" w:rsidP="00933EA2">
            <w:pPr>
              <w:spacing w:before="120" w:after="120"/>
              <w:jc w:val="center"/>
            </w:pPr>
            <w:r>
              <w:t>V JEJICH ZNĚNÍ</w:t>
            </w:r>
          </w:p>
        </w:tc>
      </w:tr>
      <w:tr w:rsidR="00142531" w:rsidRPr="00933EA2" w14:paraId="006B1D1E"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5FD81A05" w14:textId="77777777" w:rsidR="00142531" w:rsidRPr="00933EA2" w:rsidRDefault="00142531" w:rsidP="00933EA2">
            <w:pPr>
              <w:spacing w:before="120" w:after="120"/>
              <w:jc w:val="both"/>
            </w:pPr>
            <w:r>
              <w:t>V hlavě II</w:t>
            </w:r>
          </w:p>
        </w:tc>
      </w:tr>
      <w:tr w:rsidR="00142531" w:rsidRPr="00933EA2" w14:paraId="754CC0A0"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2848BF92" w14:textId="77777777" w:rsidR="00142531" w:rsidRPr="00933EA2" w:rsidRDefault="00142531" w:rsidP="00933EA2">
            <w:pPr>
              <w:spacing w:before="120" w:after="120"/>
              <w:jc w:val="both"/>
            </w:pPr>
            <w:r>
              <w:t>D. 320-1 až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09EA1C4F" w14:textId="77777777" w:rsidR="00142531" w:rsidRPr="00933EA2" w:rsidRDefault="00142531" w:rsidP="00933EA2">
            <w:pPr>
              <w:spacing w:before="120" w:after="120"/>
              <w:jc w:val="both"/>
            </w:pPr>
            <w:r>
              <w:t>vyplývajícím z dekretu č. XXX ze dne XXX</w:t>
            </w:r>
          </w:p>
        </w:tc>
      </w:tr>
      <w:tr w:rsidR="00142531" w:rsidRPr="00933EA2" w14:paraId="5E2E16B3"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C86ABFB" w14:textId="77777777" w:rsidR="00142531" w:rsidRPr="00933EA2" w:rsidRDefault="00142531" w:rsidP="00933EA2">
            <w:pPr>
              <w:spacing w:before="120" w:after="120"/>
              <w:jc w:val="both"/>
            </w:pPr>
            <w:r>
              <w:t>D. 322-9 až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758082FD" w14:textId="77777777" w:rsidR="00142531" w:rsidRPr="00933EA2" w:rsidRDefault="00142531" w:rsidP="00933EA2">
            <w:pPr>
              <w:spacing w:before="120" w:after="120"/>
              <w:jc w:val="both"/>
            </w:pPr>
            <w:r>
              <w:t>vyplývajícím z dekretu č. XXX ze dne XXX</w:t>
            </w:r>
          </w:p>
        </w:tc>
      </w:tr>
    </w:tbl>
    <w:p w14:paraId="2929B55C" w14:textId="77777777" w:rsidR="00142531" w:rsidRPr="00933EA2" w:rsidRDefault="00142531" w:rsidP="00933EA2">
      <w:pPr>
        <w:spacing w:after="200" w:line="276" w:lineRule="auto"/>
        <w:jc w:val="both"/>
        <w:rPr>
          <w:rFonts w:eastAsiaTheme="minorHAnsi"/>
          <w:b/>
          <w:lang w:eastAsia="en-US"/>
        </w:rPr>
      </w:pPr>
    </w:p>
    <w:p w14:paraId="401F4637" w14:textId="0B71D208" w:rsidR="00834E0B" w:rsidRPr="00933EA2" w:rsidRDefault="00142531" w:rsidP="00933EA2">
      <w:pPr>
        <w:keepNext/>
        <w:keepLines/>
        <w:spacing w:after="200" w:line="276" w:lineRule="auto"/>
        <w:jc w:val="center"/>
        <w:rPr>
          <w:rFonts w:eastAsiaTheme="minorHAnsi"/>
          <w:b/>
        </w:rPr>
      </w:pPr>
      <w:r>
        <w:rPr>
          <w:b/>
        </w:rPr>
        <w:t>HLAVA XI: PŘECHODNÁ A ZÁVĚREČNÁ USTANOVENÍ</w:t>
      </w:r>
    </w:p>
    <w:p w14:paraId="0AD583E0" w14:textId="279FDCC7" w:rsidR="00834E0B" w:rsidRDefault="00C342AB" w:rsidP="00933EA2">
      <w:pPr>
        <w:pStyle w:val="BodyText"/>
        <w:keepNext/>
        <w:keepLines/>
        <w:jc w:val="center"/>
        <w:rPr>
          <w:b/>
        </w:rPr>
      </w:pPr>
      <w:r>
        <w:rPr>
          <w:b/>
        </w:rPr>
        <w:t>Článek 51</w:t>
      </w:r>
    </w:p>
    <w:p w14:paraId="537DEBBC" w14:textId="77777777" w:rsidR="00933EA2" w:rsidRPr="00933EA2" w:rsidRDefault="00933EA2" w:rsidP="00933EA2">
      <w:pPr>
        <w:keepNext/>
        <w:keepLines/>
        <w:rPr>
          <w:b/>
        </w:rPr>
      </w:pPr>
    </w:p>
    <w:p w14:paraId="3C30DE53" w14:textId="77777777" w:rsidR="00834E0B" w:rsidRPr="00933EA2" w:rsidRDefault="00834E0B" w:rsidP="00933EA2">
      <w:pPr>
        <w:spacing w:after="200" w:line="276" w:lineRule="auto"/>
        <w:jc w:val="both"/>
        <w:rPr>
          <w:rFonts w:eastAsiaTheme="minorHAnsi"/>
        </w:rPr>
      </w:pPr>
      <w:r>
        <w:t>Zrušují se:</w:t>
      </w:r>
    </w:p>
    <w:p w14:paraId="39CDE79A" w14:textId="34743197" w:rsidR="00834E0B" w:rsidRPr="00933EA2" w:rsidRDefault="00834E0B" w:rsidP="00933EA2">
      <w:pPr>
        <w:spacing w:after="200" w:line="276" w:lineRule="auto"/>
        <w:jc w:val="both"/>
        <w:rPr>
          <w:rFonts w:eastAsiaTheme="minorHAnsi"/>
        </w:rPr>
      </w:pPr>
      <w:r>
        <w:t>- dekret č. 2010-605 ze dne 4. června 2010 o maximálním poměru částek průměrně vyplácených hráčům schválenými provozovateli dostihových a sportovních sázek on-line,</w:t>
      </w:r>
    </w:p>
    <w:p w14:paraId="2B3AC36E" w14:textId="3FA87F31" w:rsidR="00834E0B" w:rsidRPr="00933EA2" w:rsidRDefault="00834E0B" w:rsidP="00933EA2">
      <w:pPr>
        <w:spacing w:after="200" w:line="276" w:lineRule="auto"/>
        <w:jc w:val="both"/>
        <w:rPr>
          <w:rFonts w:eastAsiaTheme="minorHAnsi"/>
        </w:rPr>
      </w:pPr>
      <w:r>
        <w:t xml:space="preserve">- dekret č. 2010-614 ze dne 7. června 2010 o podmínkách uvádění práv na pořádání sázek na sportovní akce nebo soutěže na trh, </w:t>
      </w:r>
    </w:p>
    <w:p w14:paraId="08682D8E" w14:textId="77777777" w:rsidR="00834E0B" w:rsidRPr="00933EA2" w:rsidRDefault="00834E0B" w:rsidP="00933EA2">
      <w:pPr>
        <w:spacing w:after="200" w:line="276" w:lineRule="auto"/>
        <w:jc w:val="both"/>
        <w:rPr>
          <w:rFonts w:eastAsiaTheme="minorHAnsi"/>
        </w:rPr>
      </w:pPr>
      <w:r>
        <w:t xml:space="preserve">- dekret č. 2010-483 ze dne 12. května 2010, kterým se stanoví sportovní soutěže a typy sportovních výsledků stanovené Úřadem pro regulaci hazardních her on-line. </w:t>
      </w:r>
    </w:p>
    <w:p w14:paraId="1FA844DB" w14:textId="77777777" w:rsidR="004A5445" w:rsidRPr="00933EA2" w:rsidRDefault="004A5445" w:rsidP="00933EA2">
      <w:pPr>
        <w:pStyle w:val="BodyText"/>
      </w:pPr>
    </w:p>
    <w:p w14:paraId="156635BE" w14:textId="3AE58746" w:rsidR="00045126" w:rsidRPr="00933EA2" w:rsidRDefault="004A5445" w:rsidP="00933EA2">
      <w:pPr>
        <w:pStyle w:val="BodyText"/>
        <w:keepNext/>
        <w:keepLines/>
        <w:jc w:val="center"/>
        <w:rPr>
          <w:b/>
        </w:rPr>
      </w:pPr>
      <w:r>
        <w:rPr>
          <w:b/>
        </w:rPr>
        <w:lastRenderedPageBreak/>
        <w:t>Článek 52</w:t>
      </w:r>
    </w:p>
    <w:p w14:paraId="0D2865A3" w14:textId="77777777" w:rsidR="004A5445" w:rsidRPr="00933EA2" w:rsidRDefault="004A5445" w:rsidP="00933EA2">
      <w:pPr>
        <w:keepNext/>
        <w:keepLines/>
        <w:rPr>
          <w:b/>
        </w:rPr>
      </w:pPr>
    </w:p>
    <w:p w14:paraId="61CFC6C0" w14:textId="7C347B30" w:rsidR="00F77C81" w:rsidRPr="00933EA2" w:rsidRDefault="00F77C81" w:rsidP="00933EA2">
      <w:pPr>
        <w:spacing w:after="200" w:line="276" w:lineRule="auto"/>
        <w:jc w:val="both"/>
        <w:rPr>
          <w:rFonts w:eastAsiaTheme="minorHAnsi"/>
        </w:rPr>
      </w:pPr>
      <w:r>
        <w:t xml:space="preserve">Tento dekret vstupuje v platnost dne 15. března 2020, s výjimkou článků 45 a 46, které vstupují v platnost s prvním zasedáním kolegia Národního úřadu pro hazardní hry, a článků D. 320-10 a D. 320-12 zákoníku vnitřní bezpečnosti ve znění vyplývajícím z tohoto výnosu, které vstupují v platnost dne 1. dubna 2020. </w:t>
      </w:r>
    </w:p>
    <w:p w14:paraId="7B0897DA" w14:textId="12835F20" w:rsidR="00F77C81" w:rsidRDefault="00C342AB" w:rsidP="00933EA2">
      <w:pPr>
        <w:pStyle w:val="BodyText"/>
        <w:keepNext/>
        <w:keepLines/>
        <w:jc w:val="center"/>
        <w:rPr>
          <w:b/>
        </w:rPr>
      </w:pPr>
      <w:r>
        <w:rPr>
          <w:b/>
        </w:rPr>
        <w:t>Článek 53</w:t>
      </w:r>
    </w:p>
    <w:p w14:paraId="1C294652" w14:textId="77777777" w:rsidR="00933EA2" w:rsidRPr="00933EA2" w:rsidRDefault="00933EA2" w:rsidP="00933EA2">
      <w:pPr>
        <w:keepNext/>
        <w:keepLines/>
        <w:rPr>
          <w:b/>
        </w:rPr>
      </w:pPr>
    </w:p>
    <w:p w14:paraId="13B679D0" w14:textId="77777777" w:rsidR="00045126" w:rsidRPr="00933EA2" w:rsidRDefault="00E47B2C" w:rsidP="00933EA2">
      <w:pPr>
        <w:spacing w:after="200" w:line="276" w:lineRule="auto"/>
        <w:jc w:val="both"/>
        <w:rPr>
          <w:rFonts w:eastAsiaTheme="minorHAnsi"/>
        </w:rPr>
      </w:pPr>
      <w:r>
        <w:t>Prováděním tohoto dekretu, který bude vyhlášen v </w:t>
      </w:r>
      <w:r>
        <w:rPr>
          <w:i/>
        </w:rPr>
        <w:t>Úředním věstníku</w:t>
      </w:r>
      <w:r>
        <w:t xml:space="preserve"> Francouzské republiky, jsou pověřeni, každý ve své oblasti působnosti, ministryně sociálních věcí a zdravotnictví, ministr hospodářství a financí, ministr pro akci a veřejné účty a ministryně sportu.</w:t>
      </w:r>
    </w:p>
    <w:p w14:paraId="5A6BDE87" w14:textId="77777777" w:rsidR="00045126" w:rsidRPr="00933EA2" w:rsidRDefault="00045126" w:rsidP="00933EA2">
      <w:pPr>
        <w:jc w:val="both"/>
      </w:pPr>
    </w:p>
    <w:p w14:paraId="7744C332" w14:textId="77777777" w:rsidR="00045126" w:rsidRPr="00933EA2" w:rsidRDefault="00045126" w:rsidP="00933EA2">
      <w:pPr>
        <w:pStyle w:val="SNDate"/>
      </w:pPr>
      <w:r>
        <w:t>Dne .</w:t>
      </w:r>
    </w:p>
    <w:p w14:paraId="2401536C" w14:textId="13A1BFD0" w:rsidR="00045126" w:rsidRPr="00933EA2" w:rsidRDefault="00045126" w:rsidP="00933EA2">
      <w:pPr>
        <w:pStyle w:val="SNContreseing"/>
      </w:pPr>
      <w:r>
        <w:t>Za ministerského předsedu:</w:t>
      </w:r>
    </w:p>
    <w:p w14:paraId="61EA0C42" w14:textId="77777777" w:rsidR="002639F9" w:rsidRPr="00933EA2" w:rsidRDefault="002639F9" w:rsidP="00933EA2">
      <w:pPr>
        <w:pStyle w:val="SNSignatureGauche"/>
      </w:pPr>
    </w:p>
    <w:p w14:paraId="6AE51864" w14:textId="77777777" w:rsidR="002639F9" w:rsidRPr="00933EA2" w:rsidRDefault="002639F9" w:rsidP="00933EA2">
      <w:pPr>
        <w:pStyle w:val="SNSignatureGauche"/>
      </w:pPr>
      <w:r>
        <w:t>ministryně zdravotnictví,</w:t>
      </w:r>
    </w:p>
    <w:p w14:paraId="71E59B0D" w14:textId="77777777" w:rsidR="002639F9" w:rsidRPr="00933EA2" w:rsidRDefault="002639F9" w:rsidP="00933EA2">
      <w:pPr>
        <w:pStyle w:val="SNSignatureGauche"/>
      </w:pPr>
      <w:r>
        <w:t>ministr hospodářství a financí,</w:t>
      </w:r>
    </w:p>
    <w:p w14:paraId="107A4321" w14:textId="77777777" w:rsidR="0084714D" w:rsidRPr="00933EA2" w:rsidRDefault="00045126" w:rsidP="00933EA2">
      <w:pPr>
        <w:pStyle w:val="SNSignatureGauche"/>
      </w:pPr>
      <w:r>
        <w:lastRenderedPageBreak/>
        <w:t>ministr pro akci a veřejné účty,</w:t>
      </w:r>
    </w:p>
    <w:p w14:paraId="3D6DF0C7" w14:textId="77777777" w:rsidR="002639F9" w:rsidRPr="00933EA2" w:rsidRDefault="002639F9" w:rsidP="00933EA2">
      <w:r>
        <w:tab/>
        <w:t>ministr vnitra,</w:t>
      </w:r>
    </w:p>
    <w:p w14:paraId="3DBAC714" w14:textId="77777777" w:rsidR="0084714D" w:rsidRPr="00933EA2" w:rsidRDefault="0084714D" w:rsidP="00933EA2">
      <w:r>
        <w:tab/>
      </w:r>
    </w:p>
    <w:p w14:paraId="41741A5D" w14:textId="77777777" w:rsidR="0084714D" w:rsidRPr="00933EA2" w:rsidRDefault="0084714D" w:rsidP="00933EA2"/>
    <w:p w14:paraId="1E24424C" w14:textId="77777777" w:rsidR="0084714D" w:rsidRPr="00933EA2" w:rsidRDefault="0084714D" w:rsidP="00933EA2">
      <w:r>
        <w:tab/>
      </w:r>
    </w:p>
    <w:p w14:paraId="70100F49" w14:textId="77777777" w:rsidR="0084714D" w:rsidRPr="00933EA2" w:rsidRDefault="0084714D" w:rsidP="00933EA2"/>
    <w:p w14:paraId="33274DC5" w14:textId="77777777" w:rsidR="0084714D" w:rsidRPr="00933EA2" w:rsidRDefault="0084714D" w:rsidP="00933EA2"/>
    <w:p w14:paraId="05DF47ED" w14:textId="77777777" w:rsidR="0084714D" w:rsidRPr="00933EA2" w:rsidRDefault="0084714D" w:rsidP="00933EA2">
      <w:r>
        <w:tab/>
      </w:r>
    </w:p>
    <w:p w14:paraId="61D6FBE7" w14:textId="77777777" w:rsidR="0084714D" w:rsidRPr="00933EA2" w:rsidRDefault="0084714D" w:rsidP="00933EA2"/>
    <w:p w14:paraId="0F8ABE96" w14:textId="77777777" w:rsidR="0084714D" w:rsidRPr="00933EA2" w:rsidRDefault="0084714D" w:rsidP="00933EA2"/>
    <w:p w14:paraId="58BE4906" w14:textId="77777777" w:rsidR="0084714D" w:rsidRPr="00933EA2" w:rsidRDefault="0084714D" w:rsidP="00933EA2"/>
    <w:p w14:paraId="17043E6E" w14:textId="77777777" w:rsidR="0084714D" w:rsidRPr="00933EA2" w:rsidRDefault="0084714D" w:rsidP="00933EA2">
      <w:r>
        <w:tab/>
        <w:t>ministryně sportu,</w:t>
      </w:r>
    </w:p>
    <w:p w14:paraId="18DBADDF" w14:textId="77777777" w:rsidR="00045126" w:rsidRPr="00933EA2" w:rsidRDefault="00045126" w:rsidP="00933EA2">
      <w:pPr>
        <w:pStyle w:val="SNSignatureprnomnomDroite"/>
      </w:pPr>
    </w:p>
    <w:p w14:paraId="3EAA086C" w14:textId="77777777" w:rsidR="00FA6DCF" w:rsidRPr="00933EA2" w:rsidRDefault="00FA6DCF" w:rsidP="00933EA2"/>
    <w:sectPr w:rsidR="00FA6DCF" w:rsidRPr="00933EA2">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3AB"/>
    <w:multiLevelType w:val="hybridMultilevel"/>
    <w:tmpl w:val="9D22A510"/>
    <w:lvl w:ilvl="0" w:tplc="7352B29C">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105388"/>
    <w:multiLevelType w:val="hybridMultilevel"/>
    <w:tmpl w:val="51688AC2"/>
    <w:lvl w:ilvl="0" w:tplc="A358F4A0">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0705FC"/>
    <w:multiLevelType w:val="hybridMultilevel"/>
    <w:tmpl w:val="62164F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DE4FB9"/>
    <w:multiLevelType w:val="hybridMultilevel"/>
    <w:tmpl w:val="5B147600"/>
    <w:lvl w:ilvl="0" w:tplc="FB9E8B52">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26"/>
    <w:rsid w:val="00045126"/>
    <w:rsid w:val="000546D5"/>
    <w:rsid w:val="000B249A"/>
    <w:rsid w:val="00116832"/>
    <w:rsid w:val="00142531"/>
    <w:rsid w:val="001441BB"/>
    <w:rsid w:val="001A3887"/>
    <w:rsid w:val="001A748C"/>
    <w:rsid w:val="001C08C5"/>
    <w:rsid w:val="001D2F2A"/>
    <w:rsid w:val="001D5634"/>
    <w:rsid w:val="00236A47"/>
    <w:rsid w:val="00240CB2"/>
    <w:rsid w:val="002639F9"/>
    <w:rsid w:val="00274506"/>
    <w:rsid w:val="0030487E"/>
    <w:rsid w:val="00342260"/>
    <w:rsid w:val="00361A86"/>
    <w:rsid w:val="003640D7"/>
    <w:rsid w:val="003A46B9"/>
    <w:rsid w:val="003A7FAA"/>
    <w:rsid w:val="003E77DA"/>
    <w:rsid w:val="00452EF3"/>
    <w:rsid w:val="004A5445"/>
    <w:rsid w:val="004A5492"/>
    <w:rsid w:val="0053784D"/>
    <w:rsid w:val="005460E9"/>
    <w:rsid w:val="00591BC1"/>
    <w:rsid w:val="00605C60"/>
    <w:rsid w:val="006E57E4"/>
    <w:rsid w:val="00757561"/>
    <w:rsid w:val="00794988"/>
    <w:rsid w:val="007A780D"/>
    <w:rsid w:val="007C0916"/>
    <w:rsid w:val="007E61D1"/>
    <w:rsid w:val="00805098"/>
    <w:rsid w:val="00813F86"/>
    <w:rsid w:val="008332C7"/>
    <w:rsid w:val="00834E0B"/>
    <w:rsid w:val="0084714D"/>
    <w:rsid w:val="008701C9"/>
    <w:rsid w:val="0087707C"/>
    <w:rsid w:val="00897E35"/>
    <w:rsid w:val="008B0867"/>
    <w:rsid w:val="0091270F"/>
    <w:rsid w:val="00933EA2"/>
    <w:rsid w:val="0096792E"/>
    <w:rsid w:val="00B148A7"/>
    <w:rsid w:val="00B267A3"/>
    <w:rsid w:val="00B705CF"/>
    <w:rsid w:val="00B84182"/>
    <w:rsid w:val="00B8530E"/>
    <w:rsid w:val="00B86A8C"/>
    <w:rsid w:val="00BC35EB"/>
    <w:rsid w:val="00BD5FA1"/>
    <w:rsid w:val="00C342AB"/>
    <w:rsid w:val="00CB7745"/>
    <w:rsid w:val="00CD4953"/>
    <w:rsid w:val="00CE7325"/>
    <w:rsid w:val="00D13FBA"/>
    <w:rsid w:val="00D546FF"/>
    <w:rsid w:val="00DC5B05"/>
    <w:rsid w:val="00DD75EA"/>
    <w:rsid w:val="00E47B2C"/>
    <w:rsid w:val="00E60B45"/>
    <w:rsid w:val="00E83532"/>
    <w:rsid w:val="00E93956"/>
    <w:rsid w:val="00EB04CB"/>
    <w:rsid w:val="00F25772"/>
    <w:rsid w:val="00F52FE4"/>
    <w:rsid w:val="00F77C81"/>
    <w:rsid w:val="00FA6DC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DC74"/>
  <w15:docId w15:val="{B6A03A6F-9B86-4E08-BD4A-8834B87E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126"/>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REPUBLIQUE">
    <w:name w:val="SNREPUBLIQUE"/>
    <w:basedOn w:val="Normal"/>
    <w:rsid w:val="00045126"/>
    <w:pPr>
      <w:jc w:val="center"/>
    </w:pPr>
    <w:rPr>
      <w:b/>
      <w:bCs/>
      <w:szCs w:val="20"/>
    </w:rPr>
  </w:style>
  <w:style w:type="paragraph" w:customStyle="1" w:styleId="SNNature">
    <w:name w:val="SNNature"/>
    <w:basedOn w:val="Normal"/>
    <w:next w:val="Normal"/>
    <w:autoRedefine/>
    <w:rsid w:val="00045126"/>
    <w:pPr>
      <w:widowControl w:val="0"/>
      <w:suppressLineNumbers/>
      <w:suppressAutoHyphens/>
      <w:spacing w:before="720" w:after="120"/>
      <w:jc w:val="center"/>
    </w:pPr>
    <w:rPr>
      <w:rFonts w:eastAsia="Lucida Sans Unicode"/>
      <w:b/>
      <w:bCs/>
    </w:rPr>
  </w:style>
  <w:style w:type="paragraph" w:customStyle="1" w:styleId="SNNORCentr">
    <w:name w:val="SNNOR+Centré"/>
    <w:next w:val="SNAutorit"/>
    <w:rsid w:val="00045126"/>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045126"/>
    <w:pPr>
      <w:spacing w:before="720" w:after="240"/>
      <w:ind w:firstLine="720"/>
    </w:pPr>
    <w:rPr>
      <w:b/>
    </w:rPr>
  </w:style>
  <w:style w:type="paragraph" w:customStyle="1" w:styleId="SNSignatureprnomnomDroite">
    <w:name w:val="SNSignature prénom+nom Droite"/>
    <w:basedOn w:val="Normal"/>
    <w:next w:val="SNSignatureGauche"/>
    <w:rsid w:val="00045126"/>
    <w:pPr>
      <w:spacing w:before="120" w:after="120"/>
      <w:ind w:left="5041"/>
      <w:jc w:val="right"/>
    </w:pPr>
    <w:rPr>
      <w:color w:val="000000"/>
    </w:rPr>
  </w:style>
  <w:style w:type="paragraph" w:customStyle="1" w:styleId="SNSignatureGauche">
    <w:name w:val="SNSignatureGauche"/>
    <w:basedOn w:val="Normal"/>
    <w:next w:val="Normal"/>
    <w:autoRedefine/>
    <w:rsid w:val="002639F9"/>
    <w:pPr>
      <w:spacing w:before="120" w:after="1680"/>
      <w:ind w:left="720" w:right="4494"/>
      <w:jc w:val="both"/>
    </w:pPr>
  </w:style>
  <w:style w:type="paragraph" w:customStyle="1" w:styleId="SNTimbre">
    <w:name w:val="SNTimbre"/>
    <w:basedOn w:val="Normal"/>
    <w:link w:val="SNTimbreCar"/>
    <w:autoRedefine/>
    <w:rsid w:val="00045126"/>
    <w:pPr>
      <w:widowControl w:val="0"/>
      <w:suppressAutoHyphens/>
      <w:snapToGrid w:val="0"/>
      <w:spacing w:before="120"/>
      <w:jc w:val="center"/>
    </w:pPr>
    <w:rPr>
      <w:rFonts w:eastAsia="Lucida Sans Unicode"/>
    </w:rPr>
  </w:style>
  <w:style w:type="character" w:customStyle="1" w:styleId="SNTimbreCar">
    <w:name w:val="SNTimbre Car"/>
    <w:basedOn w:val="DefaultParagraphFont"/>
    <w:link w:val="SNTimbre"/>
    <w:rsid w:val="00045126"/>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D13FBA"/>
    <w:pPr>
      <w:spacing w:before="240" w:after="120"/>
      <w:ind w:firstLine="720"/>
      <w:jc w:val="both"/>
    </w:pPr>
  </w:style>
  <w:style w:type="paragraph" w:customStyle="1" w:styleId="SNDate">
    <w:name w:val="SNDate"/>
    <w:basedOn w:val="Normal"/>
    <w:next w:val="SNContreseing"/>
    <w:link w:val="SNDateCar"/>
    <w:autoRedefine/>
    <w:rsid w:val="00045126"/>
    <w:pPr>
      <w:spacing w:before="480" w:after="2760"/>
      <w:ind w:firstLine="720"/>
    </w:pPr>
  </w:style>
  <w:style w:type="paragraph" w:customStyle="1" w:styleId="SNContreseing">
    <w:name w:val="SNContreseing"/>
    <w:basedOn w:val="Normal"/>
    <w:next w:val="SNSignatureGauche"/>
    <w:autoRedefine/>
    <w:rsid w:val="00045126"/>
    <w:pPr>
      <w:spacing w:before="480"/>
      <w:ind w:firstLine="720"/>
    </w:pPr>
  </w:style>
  <w:style w:type="character" w:customStyle="1" w:styleId="SNDateCar">
    <w:name w:val="SNDate Car"/>
    <w:basedOn w:val="DefaultParagraphFont"/>
    <w:link w:val="SNDate"/>
    <w:rsid w:val="00045126"/>
    <w:rPr>
      <w:rFonts w:ascii="Times New Roman" w:eastAsia="Times New Roman" w:hAnsi="Times New Roman" w:cs="Times New Roman"/>
      <w:sz w:val="24"/>
      <w:szCs w:val="24"/>
      <w:lang w:eastAsia="fr-FR"/>
    </w:rPr>
  </w:style>
  <w:style w:type="paragraph" w:customStyle="1" w:styleId="SNActe">
    <w:name w:val="SNActe"/>
    <w:basedOn w:val="Normal"/>
    <w:autoRedefine/>
    <w:rsid w:val="00045126"/>
    <w:pPr>
      <w:spacing w:before="480" w:after="360"/>
      <w:jc w:val="center"/>
    </w:pPr>
    <w:rPr>
      <w:b/>
    </w:rPr>
  </w:style>
  <w:style w:type="paragraph" w:customStyle="1" w:styleId="SNArticle">
    <w:name w:val="SNArticle"/>
    <w:basedOn w:val="Normal"/>
    <w:next w:val="BodyText"/>
    <w:link w:val="SNArticleCar"/>
    <w:autoRedefine/>
    <w:rsid w:val="00045126"/>
    <w:pPr>
      <w:spacing w:before="240" w:after="240"/>
      <w:jc w:val="center"/>
    </w:pPr>
    <w:rPr>
      <w:b/>
    </w:rPr>
  </w:style>
  <w:style w:type="character" w:customStyle="1" w:styleId="SNArticleCar">
    <w:name w:val="SNArticle Car"/>
    <w:basedOn w:val="DefaultParagraphFont"/>
    <w:link w:val="SNArticle"/>
    <w:rsid w:val="00045126"/>
    <w:rPr>
      <w:rFonts w:ascii="Times New Roman" w:eastAsia="Times New Roman" w:hAnsi="Times New Roman" w:cs="Times New Roman"/>
      <w:b/>
      <w:sz w:val="24"/>
      <w:szCs w:val="24"/>
      <w:lang w:eastAsia="fr-FR"/>
    </w:rPr>
  </w:style>
  <w:style w:type="paragraph" w:styleId="ListParagraph">
    <w:name w:val="List Paragraph"/>
    <w:basedOn w:val="Normal"/>
    <w:uiPriority w:val="34"/>
    <w:qFormat/>
    <w:rsid w:val="00045126"/>
    <w:pPr>
      <w:ind w:left="720"/>
      <w:contextualSpacing/>
    </w:pPr>
  </w:style>
  <w:style w:type="paragraph" w:styleId="BodyText">
    <w:name w:val="Body Text"/>
    <w:basedOn w:val="Normal"/>
    <w:link w:val="BodyTextChar"/>
    <w:uiPriority w:val="99"/>
    <w:semiHidden/>
    <w:unhideWhenUsed/>
    <w:rsid w:val="00045126"/>
    <w:pPr>
      <w:spacing w:after="120"/>
    </w:pPr>
  </w:style>
  <w:style w:type="character" w:customStyle="1" w:styleId="BodyTextChar">
    <w:name w:val="Body Text Char"/>
    <w:basedOn w:val="DefaultParagraphFont"/>
    <w:link w:val="BodyText"/>
    <w:uiPriority w:val="99"/>
    <w:semiHidden/>
    <w:rsid w:val="00045126"/>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7E61D1"/>
    <w:rPr>
      <w:sz w:val="16"/>
      <w:szCs w:val="16"/>
    </w:rPr>
  </w:style>
  <w:style w:type="paragraph" w:styleId="CommentText">
    <w:name w:val="annotation text"/>
    <w:basedOn w:val="Normal"/>
    <w:link w:val="CommentTextChar"/>
    <w:uiPriority w:val="99"/>
    <w:semiHidden/>
    <w:unhideWhenUsed/>
    <w:rsid w:val="007E61D1"/>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E61D1"/>
    <w:rPr>
      <w:sz w:val="20"/>
      <w:szCs w:val="20"/>
    </w:rPr>
  </w:style>
  <w:style w:type="paragraph" w:styleId="BalloonText">
    <w:name w:val="Balloon Text"/>
    <w:basedOn w:val="Normal"/>
    <w:link w:val="BalloonTextChar"/>
    <w:uiPriority w:val="99"/>
    <w:semiHidden/>
    <w:unhideWhenUsed/>
    <w:rsid w:val="007E6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D1"/>
    <w:rPr>
      <w:rFonts w:ascii="Segoe UI" w:eastAsia="Times New Roman" w:hAnsi="Segoe UI" w:cs="Segoe UI"/>
      <w:sz w:val="18"/>
      <w:szCs w:val="18"/>
      <w:lang w:eastAsia="fr-FR"/>
    </w:rPr>
  </w:style>
  <w:style w:type="character" w:styleId="Hyperlink">
    <w:name w:val="Hyperlink"/>
    <w:basedOn w:val="DefaultParagraphFont"/>
    <w:uiPriority w:val="99"/>
    <w:unhideWhenUsed/>
    <w:rsid w:val="0084714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36A47"/>
    <w:pPr>
      <w:spacing w:after="0"/>
    </w:pPr>
    <w:rPr>
      <w:rFonts w:ascii="Times New Roman" w:eastAsia="Times New Roman" w:hAnsi="Times New Roman" w:cs="Times New Roman"/>
      <w:b/>
      <w:bCs/>
      <w:lang w:eastAsia="fr-FR"/>
    </w:rPr>
  </w:style>
  <w:style w:type="character" w:customStyle="1" w:styleId="CommentSubjectChar">
    <w:name w:val="Comment Subject Char"/>
    <w:basedOn w:val="CommentTextChar"/>
    <w:link w:val="CommentSubject"/>
    <w:uiPriority w:val="99"/>
    <w:semiHidden/>
    <w:rsid w:val="00236A47"/>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22204510&amp;idArticle=JORFARTI000022204556&amp;categorieLien=cid" TargetMode="External"/><Relationship Id="rId3" Type="http://schemas.openxmlformats.org/officeDocument/2006/relationships/settings" Target="settings.xml"/><Relationship Id="rId7" Type="http://schemas.openxmlformats.org/officeDocument/2006/relationships/hyperlink" Target="http://www.legifrance.gouv.fr/jopdf/common/jo_pdf.jsp?numJO=0&amp;dateJO=20151021&amp;numTexte=6&amp;pageDebut=19518&amp;pageFin=19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Article.do?cidTexte=JORFTEXT000022204510&amp;idArticle=JORFARTI000022204556&amp;categorieLien=cid" TargetMode="External"/><Relationship Id="rId5" Type="http://schemas.openxmlformats.org/officeDocument/2006/relationships/hyperlink" Target="http://www.legifrance.gouv.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22</Pages>
  <Words>7163</Words>
  <Characters>40831</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LAPERDRIX Erwann</dc:creator>
  <cp:keywords/>
  <dc:description/>
  <cp:lastModifiedBy>Liu, Lei</cp:lastModifiedBy>
  <cp:revision>3</cp:revision>
  <cp:lastPrinted>2019-12-10T18:02:00Z</cp:lastPrinted>
  <dcterms:created xsi:type="dcterms:W3CDTF">2019-12-11T10:40:00Z</dcterms:created>
  <dcterms:modified xsi:type="dcterms:W3CDTF">2019-12-30T06:22:00Z</dcterms:modified>
</cp:coreProperties>
</file>