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/>
        </w:rPr>
      </w:pPr>
      <w:bookmarkStart w:id="0" w:name="_GoBack"/>
      <w:bookmarkEnd w:id="0"/>
    </w:p>
    <w:p w:rsidR="00D55707" w:rsidRDefault="00D55707" w:rsidP="00D55707">
      <w:pPr>
        <w:pStyle w:val="PlainText"/>
        <w:ind w:firstLine="708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 xml:space="preserve">------IND- 2019 0600 D MT- ------ 20191209 --- --- PROJET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Regolament tal-Land li jemenda r-Regolament tal-Land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>għall-Prevenzjoni ta’ Mard li jittieħed (HygieneVO)</w:t>
      </w:r>
      <w:r>
        <w:rPr>
          <w:rStyle w:val="FootnoteReference"/>
          <w:rFonts w:ascii="Arial" w:hAnsi="Arial"/>
          <w:color w:val="000000"/>
        </w:rPr>
        <w:footnoteReference w:id="1"/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Ta’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Abbażi ta’ § 17(4) tal-Att dwar il-Protezzjoni kontra l-Infezzjonijiet tal-20 ta’ Lulju 2000 (Gazzetta tal-Liġi Federali </w:t>
      </w:r>
      <w:r>
        <w:rPr>
          <w:rFonts w:ascii="Arial" w:hAnsi="Arial"/>
          <w:color w:val="000000"/>
        </w:rPr>
        <w:t xml:space="preserve">I p. 1045), emendat l-aħħar permezz tal-Artikolu 18a tar-Regolament tad-9 ta’ Awwissu 2019 (Gazzetta tal-Liġi Federali </w:t>
      </w:r>
      <w:r>
        <w:rPr>
          <w:rFonts w:ascii="Arial" w:hAnsi="Arial"/>
          <w:color w:val="000000"/>
        </w:rPr>
        <w:t xml:space="preserve">I p. 1202), moqri flimkien ma’ § 1(1) tar-Regolament dwar l-Għoti ta’ Awtorizzazzjonijiet skont l-Att dwar il-Protezzjoni kontra l-Infezzjonijiet tat-22 ta’ Frar 2001 (GVOBl Schl.H. p. 35), ismijiet tad-Dipartiment emendat l-aħħar bl-Artikolu 21 tar-Regolament tas-16 ta’ Jannar 2019 (GVOBl. </w:t>
      </w:r>
      <w:r>
        <w:rPr>
          <w:rFonts w:ascii="Arial" w:hAnsi="Arial"/>
          <w:color w:val="000000"/>
        </w:rPr>
        <w:t xml:space="preserve">Schl.-H. p. 30) il-Ministeru għall-Affarijiet Soċjali, is-Saħħa, iż-Żgħażagħ, il-Familja u l-Anzjani qed jordna: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 </w:t>
      </w:r>
      <w:r>
        <w:rPr>
          <w:rFonts w:ascii="Arial" w:hAnsi="Arial"/>
          <w:color w:val="000000"/>
        </w:rPr>
        <w:t>1.</w:t>
      </w:r>
      <w:r>
        <w:tab/>
      </w:r>
      <w:r>
        <w:rPr>
          <w:rFonts w:ascii="Arial" w:hAnsi="Arial"/>
          <w:color w:val="000000"/>
        </w:rPr>
        <w:t xml:space="preserve">§ 3(1) għandu jaqra kif ġej: </w:t>
      </w:r>
    </w:p>
    <w:p w:rsidR="000A4C53" w:rsidRDefault="0016494F" w:rsidP="00502122">
      <w:pPr>
        <w:spacing w:before="100" w:beforeAutospacing="1" w:after="100" w:afterAutospacing="1"/>
        <w:ind w:left="567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“(1) L-inventarju fil-kmamar kollha maħsuba għad-dijanjostika u t-terapija, fejn tkun mistennija kontaminazzjoni ta’ fluwidi tal-ġisem u materjali oħra li fihom il-patoġeni, irid jitnaddaf b'mod umdu u jiġi diżinfettat. </w:t>
      </w:r>
      <w:r>
        <w:rPr>
          <w:rFonts w:ascii="Arial" w:hAnsi="Arial"/>
          <w:color w:val="000000"/>
        </w:rPr>
        <w:t xml:space="preserve">Id-diżinfettanti kollha użati għandhom ikunu, u jkun ġie pruvat li jkunu, adattati għall-prevenzjoni ta’ infezzjonijiet f’faċilitajiet mediċi. </w:t>
      </w:r>
      <w:r>
        <w:rPr>
          <w:rFonts w:ascii="Arial" w:hAnsi="Arial"/>
          <w:color w:val="000000"/>
        </w:rPr>
        <w:t xml:space="preserve">L-effikaċja għall-firxa effettiva rispettiva meħtieġa għandha tkun tal-inqas batteriċida, effettiva kontra l-fungi u b’mod limitat, viruċida, possibbilment ukoll funġiċida, tuberkuloċida, mikobatteriċida u effettiva kontra spori batteriċi. </w:t>
      </w:r>
      <w:r>
        <w:rPr>
          <w:rFonts w:ascii="Arial" w:hAnsi="Arial"/>
          <w:color w:val="000000"/>
        </w:rPr>
        <w:t xml:space="preserve">Għandha tiġi ppruvata b’mill-inqas żewġ valutazzjonijiet indipendenti mir-rapporti tat-test assoċjati. </w:t>
      </w:r>
      <w:r>
        <w:rPr>
          <w:rFonts w:ascii="Arial" w:hAnsi="Arial"/>
          <w:color w:val="000000"/>
        </w:rPr>
        <w:t xml:space="preserve">L-effikaċja għandha titqies bħala validata jekk it-testijiet ikunu saru minn laboratorji tal-ittestjar indipendenti mill-manifattur u r-rapporti tat-test jiġu kkonfermati minn esperti indipendenti f’valutazzjoni validata xjentifikament. </w:t>
      </w:r>
      <w:r>
        <w:rPr>
          <w:rFonts w:ascii="Arial" w:hAnsi="Arial"/>
          <w:color w:val="000000"/>
        </w:rPr>
        <w:t xml:space="preserve">Il-laboratorji tat-test għandu jkollhom il-kompetenza meħtieġa, li, eż. tista’ tiġi ppruvata permezz tal-akkreditazzjoni skont DIN ISO EN 17025: 2018-03 ta’ Marzu 2018. </w:t>
      </w:r>
      <w:r>
        <w:rPr>
          <w:rFonts w:ascii="Arial" w:hAnsi="Arial"/>
          <w:color w:val="000000"/>
        </w:rPr>
        <w:t xml:space="preserve">Il-metodu tat-test rispettiv għandu eż. jiġi validat permezz ta’ studji interlaboratorji, biex tkun tista’ titqies il-varjabbiltà statistika, li tinkludi għadd ta' mill-inqas żewġ ripetizzjonijiet tat-test meħtieġa. </w:t>
      </w:r>
      <w:r>
        <w:rPr>
          <w:rFonts w:ascii="Arial" w:hAnsi="Arial"/>
          <w:color w:val="000000"/>
        </w:rPr>
        <w:t>Testijiet imwettqa skont l-ispeċifikazzjonijiet tekniċi ta’ Stat Membru ieħor tal-Unjoni Ewropea jew tat-Turkija jew ta’ Stat ieħor firmatarju tal-Ftehim dwar iż-Żona Ekonomika Ewropea, għandhom jitqiesu ekwivalenti jekk l-ispeċifikazzjonijiet tekniċi skont is-sentenza 2 jiksbu l-istess livell ta’ protezzjoni b’mod permanenti.”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2.</w:t>
      </w:r>
      <w:r>
        <w:tab/>
      </w:r>
      <w:r>
        <w:rPr>
          <w:rFonts w:ascii="Arial" w:hAnsi="Arial"/>
          <w:color w:val="000000"/>
        </w:rPr>
        <w:t>§ 5 għandu jaqra kif ġej: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bookmarkStart w:id="1" w:name="6"/>
      <w:r>
        <w:rPr>
          <w:rFonts w:ascii="Arial" w:hAnsi="Arial"/>
          <w:color w:val="000000"/>
        </w:rPr>
        <w:t xml:space="preserve">“ </w:t>
      </w:r>
      <w:bookmarkStart w:id="2" w:name="7"/>
      <w:bookmarkEnd w:id="1"/>
      <w:r>
        <w:rPr>
          <w:rFonts w:ascii="Arial" w:hAnsi="Arial"/>
          <w:color w:val="000000"/>
        </w:rPr>
        <w:t xml:space="preserve">§ 5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Reati amministrattivi </w:t>
      </w:r>
    </w:p>
    <w:p w:rsidR="000A4C53" w:rsidRPr="009B287C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(1) Jikkommetti reat amministrattiv fis-sens ta’ § 73(1a) punt 6 tal-Att dwar il-Protezzjoni kontra l-Infezzjonijiet, min, intenzjonalment jew bi traskuraġni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bi ksur ta’ § 3 ma jwettaqx, jew ma jwettaqx b'mod suffiċjenti, it-tindif, id-diżinfezzjoni jew l-isterilizzazzjoni jew ma jipproteġix it-tagħmir mill-kontaminazzjoni,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juża diżinfettanti u proċeduri differenti minn dawk imsemmija fi § 3,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bi ksur ta’ § 4 ma jarmix tagħmir u oġġetti oħra speċifikati hemmhekk f’kontenituri xierqa,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jaġixxi bi ksur tal-obbligu ta’ kunsens jew l-obbligu li jagħti informazzjoni skont § 73(1a) punti 3 u 4 tal-Att dwar il-Protezzjoni kontra l-Infezzjonijiet jew l-obbligu li jissottometti dokumenti, b’mod partikolari pjani ta’ iġjene, bi ksur ta' § 73(1a) punt 5 tal-Att dwar il-Protezzjoni kontra l-Infezzjonijiet</w:t>
      </w:r>
    </w:p>
    <w:p w:rsidR="00E02ECA" w:rsidRPr="00A327F3" w:rsidRDefault="00E02ECA" w:rsidP="00E02E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jew intenzjonalment jew bi traskuraġni, jaġixxi bi ksur ta’ ordni esegwibbli korrispondenti skont § 17(1) tal-Att dwar il-Protezzjoni kontra l-Infezzjonijiet.”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3.</w:t>
      </w:r>
      <w:r>
        <w:tab/>
      </w:r>
      <w:r>
        <w:rPr>
          <w:rFonts w:ascii="Arial" w:hAnsi="Arial"/>
          <w:color w:val="000000"/>
        </w:rPr>
        <w:t>Dan ir-regolament jidħol fis-seħħ fil-jum wara dak tal-pubblikazzjoni tiegħu.</w:t>
      </w:r>
    </w:p>
    <w:bookmarkEnd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id="2"/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B’dan, ir-Regolament ta’ hawn fuq qed jinħareġ u għandu jiġi ppubblikat.</w:t>
      </w:r>
    </w:p>
    <w:p w:rsidR="00053A17" w:rsidRPr="00E02ECA" w:rsidRDefault="0072626E" w:rsidP="00053A17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Kiel,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Ministru għall-Affarijiet Soċjali, is-Saħħa, il-Familja, iż-Żgħażagħ,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>il-Familja u l-Anzjani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27693F" w:rsidRDefault="0027693F">
      <w:pPr/>
      <w:r>
        <w:separator/>
      </w:r>
    </w:p>
  </w:endnote>
  <w:endnote xmlns:w15="http://schemas.microsoft.com/office/word/2012/wordml" w:type="continuationSeparator" w:id="0">
    <w:p w:rsidR="0027693F" w:rsidRDefault="0027693F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27693F" w:rsidRDefault="0027693F">
      <w:pPr/>
      <w:r>
        <w:separator/>
      </w:r>
    </w:p>
  </w:footnote>
  <w:footnote xmlns:w15="http://schemas.microsoft.com/office/word/2012/wordml" w:type="continuationSeparator" w:id="0">
    <w:p w:rsidR="0027693F" w:rsidRDefault="0027693F">
      <w:pPr/>
      <w:r>
        <w:continuationSeparator/>
      </w:r>
    </w:p>
  </w:footnote>
  <w:footnote xmlns:w="http://schemas.openxmlformats.org/wordprocessingml/2006/main" w:id="1">
    <w:proofErr w:type="spellStart"/>
    <w:proofErr w:type="spellEnd"/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Notifikat skont id-Direttiva (UE) 2015/1535 tal-Parlament Ewropew u tal-Kunsill, tad-9 ta’ Settembru 2015, li tistabbilixxi proċedura għall-għoti ta’ informazzjoni fil-qasam tar-regolamenti tekniċi u tar-regoli dwar is-servizzi tas-Soċjetà tal-Informatika (ĠU L 241 p. 1).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Verżjoni: </w:t>
    </w:r>
    <w:r>
      <w:t>07.11.2019</w:t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4531" w:rsidRDefault="00604531">
    <w:pPr>
      <w:pStyle w:val="Header"/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Pr>
      <w:sz w:val="24"/>
      <w:szCs w:val="24"/>
      <w:lang w:val="mt-MT" w:eastAsia="mt-M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xmlns:w15="http://schemas.microsoft.com/office/word/2012/wordml"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xmlns:w15="http://schemas.microsoft.com/office/word/2012/wordml" w:type="character" w:styleId="CommentReference">
    <w:name w:val="annotation reference"/>
    <w:semiHidden/>
    <w:rsid w:val="00A002D9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semiHidden/>
    <w:rsid w:val="00A002D9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xmlns:w15="http://schemas.microsoft.com/office/word/2012/wordml"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character" w:styleId="Hyperlink">
    <w:name w:val="Hyperlink"/>
    <w:rsid w:val="003860AD"/>
    <w:rPr>
      <w:color w:val="0000FF"/>
      <w:u w:val="single"/>
    </w:rPr>
  </w:style>
  <w:style xmlns:w15="http://schemas.microsoft.com/office/word/2012/wordml"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xmlns:w15="http://schemas.microsoft.com/office/word/2012/wordml"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xmlns:w15="http://schemas.microsoft.com/office/word/2012/wordml"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xmlns:w15="http://schemas.microsoft.com/office/word/2012/wordml"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mt-MT" w:eastAsia="mt-MT"/>
    </w:rPr>
  </w:style>
  <w:style xmlns:w15="http://schemas.microsoft.com/office/word/2012/wordml"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