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C57" w:rsidRPr="00AF6EE0" w:rsidRDefault="00F859A4" w:rsidP="00E17C57">
      <w:pPr>
        <w:spacing w:after="120"/>
        <w:jc w:val="center"/>
        <w:rPr>
          <w:rFonts w:ascii="Courier New" w:hAnsi="Courier New"/>
        </w:rPr>
      </w:pPr>
      <w:r w:rsidRPr="00AF6EE0">
        <w:rPr>
          <w:rFonts w:ascii="Courier New" w:hAnsi="Courier New"/>
        </w:rPr>
        <w:t>1. ------IND- 2019 0331 NL- DA- ------ 20190722 --- --- PROJET</w:t>
      </w:r>
    </w:p>
    <w:p w:rsidR="00E27C82" w:rsidRDefault="00E27C82" w:rsidP="00E17C57"/>
    <w:p w:rsidR="00E27C82" w:rsidRPr="00E27C82" w:rsidRDefault="00E27C82" w:rsidP="00E17C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tblGrid>
      <w:tr w:rsidR="007E7D62" w:rsidTr="00E17C57">
        <w:trPr>
          <w:cantSplit/>
        </w:trPr>
        <w:tc>
          <w:tcPr>
            <w:tcW w:w="3189" w:type="dxa"/>
            <w:tcBorders>
              <w:top w:val="nil"/>
              <w:left w:val="nil"/>
              <w:bottom w:val="nil"/>
              <w:right w:val="nil"/>
            </w:tcBorders>
          </w:tcPr>
          <w:p w:rsidR="007E7D62" w:rsidRDefault="007E7D62" w:rsidP="003D0C77">
            <w:pPr>
              <w:ind w:left="567"/>
            </w:pPr>
            <w:r>
              <w:br w:type="page"/>
            </w:r>
            <w:r>
              <w:rPr>
                <w:rFonts w:ascii="Verdana" w:hAnsi="Verdana"/>
                <w:sz w:val="18"/>
              </w:rPr>
              <w:t>Dekret af</w:t>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szCs w:val="18"/>
              </w:rPr>
              <w:br/>
            </w:r>
            <w:r>
              <w:rPr>
                <w:rFonts w:ascii="Verdana" w:hAnsi="Verdana"/>
                <w:sz w:val="18"/>
              </w:rPr>
              <w:t>om ændring af varelovdekretet om drogetilberedninger og varelovdekretet om administrative sanktioner ved tilsætning af visse skadelige stoffer til drogetilberedninger og gennemførelse af visse tekniske ændringer</w:t>
            </w:r>
          </w:p>
        </w:tc>
      </w:tr>
      <w:tr w:rsidR="00732703" w:rsidTr="00E17C57">
        <w:trPr>
          <w:cantSplit/>
        </w:trPr>
        <w:tc>
          <w:tcPr>
            <w:tcW w:w="3189" w:type="dxa"/>
            <w:tcBorders>
              <w:top w:val="nil"/>
              <w:left w:val="nil"/>
              <w:bottom w:val="nil"/>
              <w:right w:val="nil"/>
            </w:tcBorders>
          </w:tcPr>
          <w:p w:rsidR="00732703" w:rsidRDefault="00732703" w:rsidP="00E17C57"/>
        </w:tc>
      </w:tr>
    </w:tbl>
    <w:p w:rsidR="007E7D62" w:rsidRDefault="007E7D62" w:rsidP="00E17C57">
      <w:pPr>
        <w:ind w:left="567"/>
      </w:pPr>
    </w:p>
    <w:p w:rsidR="007E7D62" w:rsidRDefault="007E7D62" w:rsidP="00E17C57">
      <w:pPr>
        <w:ind w:left="567"/>
      </w:pPr>
    </w:p>
    <w:p w:rsidR="007E7D62" w:rsidRDefault="007E7D62" w:rsidP="00E17C57">
      <w:pPr>
        <w:ind w:left="567"/>
      </w:pPr>
    </w:p>
    <w:p w:rsidR="007E7D62" w:rsidRDefault="007E7D62" w:rsidP="00E17C57">
      <w:pPr>
        <w:ind w:left="567"/>
      </w:pPr>
    </w:p>
    <w:p w:rsidR="007E7D62" w:rsidRDefault="007E7D62" w:rsidP="00E17C57">
      <w:pPr>
        <w:ind w:left="567"/>
      </w:pPr>
    </w:p>
    <w:p w:rsidR="007E7D62" w:rsidRDefault="007E7D62" w:rsidP="00E17C57">
      <w:pPr>
        <w:pStyle w:val="Ondertekening"/>
        <w:spacing w:before="0"/>
        <w:ind w:left="567"/>
      </w:pPr>
    </w:p>
    <w:p w:rsidR="007E7D62" w:rsidRPr="008E734A" w:rsidRDefault="007E7D62" w:rsidP="00E17C57">
      <w:pPr>
        <w:ind w:left="2268"/>
        <w:rPr>
          <w:rFonts w:ascii="Verdana" w:hAnsi="Verdana"/>
          <w:sz w:val="18"/>
          <w:szCs w:val="18"/>
        </w:rPr>
      </w:pPr>
      <w:r>
        <w:rPr>
          <w:rFonts w:ascii="Verdana" w:hAnsi="Verdana"/>
          <w:sz w:val="18"/>
        </w:rPr>
        <w:t>efter et forslag fra ministeren for lægebehandling af 2019 -VGP</w:t>
      </w:r>
    </w:p>
    <w:p w:rsidR="007E7D62" w:rsidRPr="008E734A" w:rsidRDefault="007E7D62" w:rsidP="00E17C57">
      <w:pPr>
        <w:ind w:left="2268"/>
        <w:rPr>
          <w:rFonts w:ascii="Verdana" w:hAnsi="Verdana"/>
          <w:sz w:val="18"/>
          <w:szCs w:val="18"/>
        </w:rPr>
      </w:pPr>
    </w:p>
    <w:p w:rsidR="007E7D62" w:rsidRPr="008E734A" w:rsidRDefault="007E7D62" w:rsidP="00E17C57">
      <w:pPr>
        <w:ind w:left="2268"/>
        <w:rPr>
          <w:rFonts w:ascii="Verdana" w:hAnsi="Verdana"/>
          <w:sz w:val="18"/>
          <w:szCs w:val="18"/>
        </w:rPr>
      </w:pPr>
      <w:r>
        <w:rPr>
          <w:rFonts w:ascii="Verdana" w:hAnsi="Verdana"/>
          <w:sz w:val="18"/>
        </w:rPr>
        <w:t>i medfør af artikel 4, stk. 1, artikel 8, stk. 1, og artikel 14 i lov om handelsvarer</w:t>
      </w:r>
    </w:p>
    <w:p w:rsidR="007E7D62" w:rsidRPr="008E734A" w:rsidRDefault="007E7D62" w:rsidP="00E17C57">
      <w:pPr>
        <w:ind w:left="2268"/>
        <w:rPr>
          <w:rFonts w:ascii="Verdana" w:hAnsi="Verdana"/>
          <w:sz w:val="18"/>
          <w:szCs w:val="18"/>
        </w:rPr>
      </w:pPr>
    </w:p>
    <w:p w:rsidR="007E7D62" w:rsidRPr="008E734A" w:rsidRDefault="007E7D62" w:rsidP="00E17C57">
      <w:pPr>
        <w:ind w:left="2268"/>
        <w:rPr>
          <w:rFonts w:ascii="Verdana" w:hAnsi="Verdana"/>
          <w:sz w:val="18"/>
          <w:szCs w:val="18"/>
        </w:rPr>
      </w:pPr>
      <w:r>
        <w:rPr>
          <w:rFonts w:ascii="Verdana" w:hAnsi="Verdana"/>
          <w:sz w:val="18"/>
        </w:rPr>
        <w:t>efter at have hørt udtalelsen fra statsrådets rådgivningsafdeling (udtalelse af , nr. )</w:t>
      </w:r>
    </w:p>
    <w:p w:rsidR="007E7D62" w:rsidRPr="008F0589" w:rsidRDefault="007E7D62" w:rsidP="00E17C57">
      <w:pPr>
        <w:ind w:left="2268"/>
        <w:rPr>
          <w:rFonts w:ascii="Verdana" w:hAnsi="Verdana"/>
          <w:sz w:val="18"/>
          <w:szCs w:val="18"/>
        </w:rPr>
      </w:pPr>
    </w:p>
    <w:p w:rsidR="007E7D62" w:rsidRPr="008F0589" w:rsidRDefault="007E7D62" w:rsidP="00E17C57">
      <w:pPr>
        <w:ind w:left="2268"/>
        <w:rPr>
          <w:rFonts w:ascii="Verdana" w:hAnsi="Verdana"/>
          <w:sz w:val="18"/>
          <w:szCs w:val="18"/>
        </w:rPr>
      </w:pPr>
      <w:r>
        <w:rPr>
          <w:rFonts w:ascii="Verdana" w:hAnsi="Verdana"/>
          <w:sz w:val="18"/>
        </w:rPr>
        <w:t>på baggrund af den detaljerede rapport fra ministeren for lægebehandling af 2019 -VGP</w:t>
      </w:r>
    </w:p>
    <w:p w:rsidR="007E7D62" w:rsidRPr="008F0589" w:rsidRDefault="007E7D62" w:rsidP="00E17C57">
      <w:pPr>
        <w:ind w:left="2268"/>
        <w:rPr>
          <w:rFonts w:ascii="Verdana" w:hAnsi="Verdana"/>
          <w:sz w:val="18"/>
          <w:szCs w:val="18"/>
        </w:rPr>
      </w:pPr>
    </w:p>
    <w:p w:rsidR="007E7D62" w:rsidRPr="008F0589" w:rsidRDefault="007E7D62" w:rsidP="00E17C57">
      <w:pPr>
        <w:ind w:left="2268"/>
        <w:rPr>
          <w:rFonts w:ascii="Verdana" w:hAnsi="Verdana"/>
          <w:sz w:val="18"/>
          <w:szCs w:val="18"/>
        </w:rPr>
      </w:pPr>
      <w:r>
        <w:rPr>
          <w:rFonts w:ascii="Verdana" w:hAnsi="Verdana"/>
          <w:sz w:val="18"/>
        </w:rPr>
        <w:t>godkendes og dekreteres hermed, som følger:</w:t>
      </w:r>
    </w:p>
    <w:p w:rsidR="007E7D62" w:rsidRPr="008F0589" w:rsidRDefault="007E7D62" w:rsidP="00E17C57">
      <w:pPr>
        <w:ind w:left="2268"/>
        <w:rPr>
          <w:rFonts w:ascii="Verdana" w:hAnsi="Verdana"/>
          <w:sz w:val="18"/>
          <w:szCs w:val="18"/>
        </w:rPr>
      </w:pPr>
    </w:p>
    <w:p w:rsidR="007E7D62" w:rsidRPr="008F0589" w:rsidRDefault="007E7D62" w:rsidP="00E17C57">
      <w:pPr>
        <w:ind w:left="2268"/>
        <w:rPr>
          <w:rFonts w:ascii="Verdana" w:hAnsi="Verdana"/>
          <w:sz w:val="18"/>
          <w:szCs w:val="18"/>
        </w:rPr>
      </w:pPr>
    </w:p>
    <w:p w:rsidR="007E7D62" w:rsidRPr="008F0589" w:rsidRDefault="007E7D62" w:rsidP="00E17C57">
      <w:pPr>
        <w:keepNext/>
        <w:keepLines/>
        <w:ind w:left="2268"/>
        <w:rPr>
          <w:rFonts w:ascii="Verdana" w:hAnsi="Verdana"/>
          <w:b/>
          <w:sz w:val="18"/>
          <w:szCs w:val="18"/>
        </w:rPr>
      </w:pPr>
      <w:r>
        <w:rPr>
          <w:rFonts w:ascii="Verdana" w:hAnsi="Verdana"/>
          <w:b/>
          <w:sz w:val="18"/>
        </w:rPr>
        <w:t>Artikel I</w:t>
      </w:r>
    </w:p>
    <w:p w:rsidR="007E7D62" w:rsidRPr="008F0589" w:rsidRDefault="007E7D62" w:rsidP="00E17C57">
      <w:pPr>
        <w:keepNext/>
        <w:keepLines/>
        <w:ind w:left="2268"/>
        <w:rPr>
          <w:rFonts w:ascii="Verdana" w:hAnsi="Verdana"/>
          <w:sz w:val="18"/>
          <w:szCs w:val="18"/>
        </w:rPr>
      </w:pPr>
    </w:p>
    <w:p w:rsidR="007E7D62" w:rsidRDefault="007E7D62" w:rsidP="00E17C57">
      <w:pPr>
        <w:ind w:left="2268"/>
        <w:rPr>
          <w:rFonts w:ascii="Verdana" w:hAnsi="Verdana"/>
          <w:sz w:val="18"/>
          <w:szCs w:val="18"/>
        </w:rPr>
      </w:pPr>
      <w:r>
        <w:rPr>
          <w:rFonts w:ascii="Verdana" w:hAnsi="Verdana"/>
          <w:sz w:val="18"/>
        </w:rPr>
        <w:t>Varelovdekretet om drogetilberedninger [Warenwetbesluit Kruidenpreparaten] ændres som følger:</w:t>
      </w:r>
    </w:p>
    <w:p w:rsidR="00060A6E" w:rsidRDefault="00060A6E" w:rsidP="00E17C57">
      <w:pPr>
        <w:ind w:left="2268"/>
        <w:rPr>
          <w:rFonts w:ascii="Verdana" w:hAnsi="Verdana"/>
          <w:sz w:val="18"/>
          <w:szCs w:val="18"/>
        </w:rPr>
      </w:pPr>
    </w:p>
    <w:p w:rsidR="00060A6E" w:rsidRDefault="00060A6E" w:rsidP="00E17C57">
      <w:pPr>
        <w:keepNext/>
        <w:keepLines/>
        <w:ind w:left="2268"/>
        <w:rPr>
          <w:rFonts w:ascii="Verdana" w:hAnsi="Verdana"/>
          <w:sz w:val="18"/>
          <w:szCs w:val="18"/>
        </w:rPr>
      </w:pPr>
      <w:r>
        <w:rPr>
          <w:rFonts w:ascii="Verdana" w:hAnsi="Verdana"/>
          <w:sz w:val="18"/>
        </w:rPr>
        <w:t>A</w:t>
      </w:r>
    </w:p>
    <w:p w:rsidR="00093369" w:rsidRDefault="00093369" w:rsidP="00E17C57">
      <w:pPr>
        <w:keepNext/>
        <w:keepLines/>
        <w:ind w:left="2268"/>
        <w:rPr>
          <w:rFonts w:ascii="Verdana" w:hAnsi="Verdana"/>
          <w:sz w:val="18"/>
          <w:szCs w:val="18"/>
        </w:rPr>
      </w:pPr>
    </w:p>
    <w:p w:rsidR="000C18E4" w:rsidRDefault="00732703" w:rsidP="00E17C57">
      <w:pPr>
        <w:keepNext/>
        <w:keepLines/>
        <w:ind w:left="2268"/>
        <w:rPr>
          <w:rFonts w:ascii="Verdana" w:hAnsi="Verdana"/>
          <w:sz w:val="18"/>
          <w:szCs w:val="18"/>
        </w:rPr>
      </w:pPr>
      <w:r>
        <w:rPr>
          <w:rFonts w:ascii="Verdana" w:hAnsi="Verdana"/>
          <w:sz w:val="18"/>
        </w:rPr>
        <w:t>Artikel 4 ændres som følger:</w:t>
      </w:r>
    </w:p>
    <w:p w:rsidR="00443563" w:rsidRPr="00443563" w:rsidRDefault="00FF2525" w:rsidP="00FF2525">
      <w:pPr>
        <w:keepNext/>
        <w:keepLines/>
        <w:tabs>
          <w:tab w:val="left" w:pos="2977"/>
        </w:tabs>
        <w:ind w:left="2977" w:hanging="709"/>
        <w:rPr>
          <w:rFonts w:ascii="Verdana" w:hAnsi="Verdana"/>
          <w:sz w:val="18"/>
          <w:szCs w:val="18"/>
        </w:rPr>
      </w:pPr>
      <w:r>
        <w:rPr>
          <w:rFonts w:ascii="Verdana" w:hAnsi="Verdana"/>
          <w:sz w:val="18"/>
        </w:rPr>
        <w:t>Stk. 1.</w:t>
      </w:r>
      <w:r>
        <w:tab/>
      </w:r>
      <w:r w:rsidR="00443563">
        <w:rPr>
          <w:rFonts w:ascii="Verdana" w:hAnsi="Verdana"/>
          <w:sz w:val="18"/>
        </w:rPr>
        <w:t>Stk. 1 har nu følgende ordlyd:</w:t>
      </w:r>
    </w:p>
    <w:p w:rsidR="000C18E4" w:rsidRPr="00443563" w:rsidRDefault="00FF2525" w:rsidP="00FF2525">
      <w:pPr>
        <w:ind w:left="3544" w:hanging="708"/>
        <w:rPr>
          <w:rFonts w:ascii="Verdana" w:hAnsi="Verdana"/>
          <w:sz w:val="18"/>
          <w:szCs w:val="18"/>
        </w:rPr>
      </w:pPr>
      <w:r>
        <w:rPr>
          <w:rFonts w:ascii="Verdana" w:hAnsi="Verdana"/>
          <w:sz w:val="18"/>
        </w:rPr>
        <w:t>Stk. 2.</w:t>
      </w:r>
      <w:r>
        <w:tab/>
      </w:r>
      <w:r w:rsidR="0043098B">
        <w:rPr>
          <w:rFonts w:ascii="Verdana" w:hAnsi="Verdana"/>
          <w:sz w:val="18"/>
        </w:rPr>
        <w:t>Mængden af toksiske pyrrolizidinalkaloider i drogetilberedninger må ikke overstige henholdsvis 1 µg per kg eller per liter.</w:t>
      </w:r>
    </w:p>
    <w:p w:rsidR="000C18E4" w:rsidRPr="0043098B" w:rsidRDefault="0043098B" w:rsidP="00FF2525">
      <w:pPr>
        <w:keepNext/>
        <w:keepLines/>
        <w:tabs>
          <w:tab w:val="left" w:pos="2977"/>
        </w:tabs>
        <w:ind w:left="2977" w:hanging="709"/>
        <w:rPr>
          <w:rFonts w:ascii="Verdana" w:hAnsi="Verdana"/>
          <w:sz w:val="18"/>
          <w:szCs w:val="18"/>
        </w:rPr>
      </w:pPr>
      <w:r>
        <w:rPr>
          <w:rFonts w:ascii="Verdana" w:hAnsi="Verdana"/>
          <w:sz w:val="18"/>
        </w:rPr>
        <w:lastRenderedPageBreak/>
        <w:t>Stk. 2.</w:t>
      </w:r>
      <w:r>
        <w:tab/>
      </w:r>
      <w:r>
        <w:rPr>
          <w:rFonts w:ascii="Verdana" w:hAnsi="Verdana"/>
          <w:sz w:val="18"/>
        </w:rPr>
        <w:t>Stk. 2 har nu følgende ordlyd:</w:t>
      </w:r>
    </w:p>
    <w:p w:rsidR="00732703" w:rsidRPr="000C18E4" w:rsidRDefault="000C18E4" w:rsidP="00FF2525">
      <w:pPr>
        <w:keepNext/>
        <w:keepLines/>
        <w:ind w:left="3544" w:hanging="708"/>
        <w:rPr>
          <w:rFonts w:ascii="Verdana" w:hAnsi="Verdana"/>
          <w:sz w:val="18"/>
          <w:szCs w:val="18"/>
        </w:rPr>
      </w:pPr>
      <w:r>
        <w:rPr>
          <w:rFonts w:ascii="Verdana" w:hAnsi="Verdana"/>
          <w:sz w:val="18"/>
        </w:rPr>
        <w:t>Stk. 2.</w:t>
      </w:r>
      <w:r>
        <w:tab/>
      </w:r>
      <w:r>
        <w:rPr>
          <w:rFonts w:ascii="Verdana" w:hAnsi="Verdana"/>
          <w:sz w:val="18"/>
        </w:rPr>
        <w:t>Drogetilberedninger må ikke indeholde:</w:t>
      </w:r>
    </w:p>
    <w:p w:rsidR="00060A6E" w:rsidRPr="005016F0" w:rsidRDefault="00BF3143" w:rsidP="00E17C57">
      <w:pPr>
        <w:pStyle w:val="ListParagraph"/>
        <w:numPr>
          <w:ilvl w:val="1"/>
          <w:numId w:val="22"/>
        </w:numPr>
        <w:rPr>
          <w:rFonts w:ascii="Verdana" w:hAnsi="Verdana"/>
          <w:sz w:val="18"/>
          <w:szCs w:val="18"/>
        </w:rPr>
      </w:pPr>
      <w:r>
        <w:rPr>
          <w:rFonts w:ascii="Verdana" w:hAnsi="Verdana"/>
          <w:sz w:val="18"/>
        </w:rPr>
        <w:t>aconitin eller derivater heraf</w:t>
      </w:r>
    </w:p>
    <w:p w:rsidR="005016F0" w:rsidRDefault="00BF3143" w:rsidP="00E17C57">
      <w:pPr>
        <w:pStyle w:val="ListParagraph"/>
        <w:numPr>
          <w:ilvl w:val="1"/>
          <w:numId w:val="22"/>
        </w:numPr>
        <w:rPr>
          <w:rFonts w:ascii="Verdana" w:hAnsi="Verdana"/>
          <w:sz w:val="18"/>
          <w:szCs w:val="18"/>
        </w:rPr>
      </w:pPr>
      <w:r>
        <w:rPr>
          <w:rFonts w:ascii="Verdana" w:hAnsi="Verdana"/>
          <w:sz w:val="18"/>
        </w:rPr>
        <w:t>aristolochiasyrer eller derivater heraf</w:t>
      </w:r>
    </w:p>
    <w:p w:rsidR="005016F0" w:rsidRDefault="00BF3143" w:rsidP="00E17C57">
      <w:pPr>
        <w:pStyle w:val="ListParagraph"/>
        <w:numPr>
          <w:ilvl w:val="1"/>
          <w:numId w:val="22"/>
        </w:numPr>
        <w:rPr>
          <w:rFonts w:ascii="Verdana" w:hAnsi="Verdana"/>
          <w:sz w:val="18"/>
          <w:szCs w:val="18"/>
        </w:rPr>
      </w:pPr>
      <w:r>
        <w:rPr>
          <w:rFonts w:ascii="Verdana" w:hAnsi="Verdana"/>
          <w:sz w:val="18"/>
        </w:rPr>
        <w:t>atropin eller derivater heraf</w:t>
      </w:r>
    </w:p>
    <w:p w:rsidR="005016F0" w:rsidRDefault="005016F0" w:rsidP="00E17C57">
      <w:pPr>
        <w:pStyle w:val="ListParagraph"/>
        <w:numPr>
          <w:ilvl w:val="1"/>
          <w:numId w:val="22"/>
        </w:numPr>
        <w:rPr>
          <w:rFonts w:ascii="Verdana" w:hAnsi="Verdana"/>
          <w:sz w:val="18"/>
          <w:szCs w:val="18"/>
        </w:rPr>
      </w:pPr>
      <w:r>
        <w:rPr>
          <w:rFonts w:ascii="Verdana" w:hAnsi="Verdana"/>
          <w:sz w:val="18"/>
        </w:rPr>
        <w:t>colchicin eller derivater heraf</w:t>
      </w:r>
    </w:p>
    <w:p w:rsidR="005016F0" w:rsidRDefault="005016F0" w:rsidP="00E17C57">
      <w:pPr>
        <w:pStyle w:val="ListParagraph"/>
        <w:numPr>
          <w:ilvl w:val="1"/>
          <w:numId w:val="22"/>
        </w:numPr>
        <w:rPr>
          <w:rFonts w:ascii="Verdana" w:hAnsi="Verdana"/>
          <w:sz w:val="18"/>
          <w:szCs w:val="18"/>
        </w:rPr>
      </w:pPr>
      <w:r>
        <w:rPr>
          <w:rFonts w:ascii="Verdana" w:hAnsi="Verdana"/>
          <w:sz w:val="18"/>
        </w:rPr>
        <w:t>hyoscyamin eller derivater heraf</w:t>
      </w:r>
    </w:p>
    <w:p w:rsidR="005016F0" w:rsidRDefault="00BF3143" w:rsidP="00E17C57">
      <w:pPr>
        <w:pStyle w:val="ListParagraph"/>
        <w:numPr>
          <w:ilvl w:val="1"/>
          <w:numId w:val="22"/>
        </w:numPr>
        <w:rPr>
          <w:rFonts w:ascii="Verdana" w:hAnsi="Verdana"/>
          <w:sz w:val="18"/>
          <w:szCs w:val="18"/>
        </w:rPr>
      </w:pPr>
      <w:r>
        <w:rPr>
          <w:rFonts w:ascii="Verdana" w:hAnsi="Verdana"/>
          <w:sz w:val="18"/>
        </w:rPr>
        <w:t>m- og o-synephrin eller derivater heraf</w:t>
      </w:r>
    </w:p>
    <w:p w:rsidR="00BF3143" w:rsidRPr="005016F0" w:rsidRDefault="00BF3143" w:rsidP="00E17C57">
      <w:pPr>
        <w:pStyle w:val="ListParagraph"/>
        <w:numPr>
          <w:ilvl w:val="1"/>
          <w:numId w:val="22"/>
        </w:numPr>
        <w:rPr>
          <w:rFonts w:ascii="Verdana" w:hAnsi="Verdana"/>
          <w:sz w:val="18"/>
          <w:szCs w:val="18"/>
        </w:rPr>
      </w:pPr>
      <w:r>
        <w:rPr>
          <w:rFonts w:ascii="Verdana" w:hAnsi="Verdana"/>
          <w:sz w:val="18"/>
        </w:rPr>
        <w:t>olie fra Artemisia absinthium (malurt) med forbehold af bestemmelserne i artikel 6, stk. 2, og bilag III, del B, i forordning (EF) nr. 1334/2008, som omhandler tilladelse til forekomsten af thujon i visse sammensatte fødevarer</w:t>
      </w:r>
    </w:p>
    <w:p w:rsidR="005016F0" w:rsidRPr="00BF3143" w:rsidRDefault="005016F0" w:rsidP="00E17C57">
      <w:pPr>
        <w:pStyle w:val="ListParagraph"/>
        <w:numPr>
          <w:ilvl w:val="1"/>
          <w:numId w:val="22"/>
        </w:numPr>
        <w:rPr>
          <w:rFonts w:ascii="Verdana" w:hAnsi="Verdana"/>
          <w:sz w:val="18"/>
          <w:szCs w:val="18"/>
        </w:rPr>
      </w:pPr>
      <w:r>
        <w:rPr>
          <w:rFonts w:ascii="Verdana" w:hAnsi="Verdana"/>
          <w:sz w:val="18"/>
        </w:rPr>
        <w:t>pilocarpin eller derivater heraf</w:t>
      </w:r>
    </w:p>
    <w:p w:rsidR="005016F0" w:rsidRDefault="005016F0" w:rsidP="00E17C57">
      <w:pPr>
        <w:pStyle w:val="ListParagraph"/>
        <w:numPr>
          <w:ilvl w:val="1"/>
          <w:numId w:val="22"/>
        </w:numPr>
        <w:rPr>
          <w:rFonts w:ascii="Verdana" w:hAnsi="Verdana"/>
          <w:sz w:val="18"/>
          <w:szCs w:val="18"/>
        </w:rPr>
      </w:pPr>
      <w:r>
        <w:rPr>
          <w:rFonts w:ascii="Verdana" w:hAnsi="Verdana"/>
          <w:sz w:val="18"/>
        </w:rPr>
        <w:t>scopolamin eller derivater heraf</w:t>
      </w:r>
    </w:p>
    <w:p w:rsidR="005016F0" w:rsidRDefault="005016F0" w:rsidP="00E17C57">
      <w:pPr>
        <w:pStyle w:val="ListParagraph"/>
        <w:numPr>
          <w:ilvl w:val="1"/>
          <w:numId w:val="22"/>
        </w:numPr>
        <w:rPr>
          <w:rFonts w:ascii="Verdana" w:hAnsi="Verdana"/>
          <w:sz w:val="18"/>
          <w:szCs w:val="18"/>
        </w:rPr>
      </w:pPr>
      <w:r>
        <w:rPr>
          <w:rFonts w:ascii="Verdana" w:hAnsi="Verdana"/>
          <w:sz w:val="18"/>
        </w:rPr>
        <w:t>strychnin eller derivater heraf</w:t>
      </w:r>
    </w:p>
    <w:p w:rsidR="00BF3143" w:rsidRDefault="00BF3143" w:rsidP="00E17C57">
      <w:pPr>
        <w:pStyle w:val="ListParagraph"/>
        <w:numPr>
          <w:ilvl w:val="1"/>
          <w:numId w:val="22"/>
        </w:numPr>
        <w:rPr>
          <w:rFonts w:ascii="Verdana" w:hAnsi="Verdana"/>
          <w:sz w:val="18"/>
          <w:szCs w:val="18"/>
        </w:rPr>
      </w:pPr>
      <w:r>
        <w:rPr>
          <w:rFonts w:ascii="Verdana" w:hAnsi="Verdana"/>
          <w:sz w:val="18"/>
        </w:rPr>
        <w:t>yohimbinalkaloider eller derivater heraf.</w:t>
      </w:r>
    </w:p>
    <w:p w:rsidR="000E0515" w:rsidRPr="0043098B" w:rsidRDefault="0043098B" w:rsidP="00FF2525">
      <w:pPr>
        <w:ind w:left="2977" w:hanging="709"/>
        <w:rPr>
          <w:rFonts w:ascii="Verdana" w:hAnsi="Verdana"/>
          <w:sz w:val="18"/>
          <w:szCs w:val="18"/>
        </w:rPr>
      </w:pPr>
      <w:r>
        <w:rPr>
          <w:rFonts w:ascii="Verdana" w:hAnsi="Verdana"/>
          <w:sz w:val="18"/>
        </w:rPr>
        <w:t>Stk. 3.</w:t>
      </w:r>
      <w:r>
        <w:tab/>
      </w:r>
      <w:r>
        <w:rPr>
          <w:rFonts w:ascii="Verdana" w:hAnsi="Verdana"/>
          <w:sz w:val="18"/>
        </w:rPr>
        <w:t>I stk. 3 erstattes "planter omtalt i del II i bilaget" med "planter og svampe omtalt i bilaget".</w:t>
      </w:r>
    </w:p>
    <w:p w:rsidR="0043098B" w:rsidRDefault="00E17C57" w:rsidP="00FF2525">
      <w:pPr>
        <w:keepNext/>
        <w:keepLines/>
        <w:ind w:left="2977" w:hanging="709"/>
        <w:rPr>
          <w:rFonts w:ascii="Verdana" w:hAnsi="Verdana"/>
          <w:sz w:val="18"/>
          <w:szCs w:val="18"/>
        </w:rPr>
      </w:pPr>
      <w:r>
        <w:rPr>
          <w:rFonts w:ascii="Verdana" w:hAnsi="Verdana"/>
          <w:sz w:val="18"/>
        </w:rPr>
        <w:t>Stk. 4.</w:t>
      </w:r>
      <w:r>
        <w:tab/>
      </w:r>
      <w:r>
        <w:rPr>
          <w:rFonts w:ascii="Verdana" w:hAnsi="Verdana"/>
          <w:sz w:val="18"/>
        </w:rPr>
        <w:t>Der indsættes tre nye stykker med følgende ordlyd:</w:t>
      </w:r>
    </w:p>
    <w:p w:rsidR="0043098B" w:rsidRDefault="0043098B" w:rsidP="00E17C57">
      <w:pPr>
        <w:ind w:left="3544" w:hanging="708"/>
        <w:rPr>
          <w:rFonts w:ascii="Verdana" w:hAnsi="Verdana"/>
          <w:sz w:val="18"/>
          <w:szCs w:val="18"/>
        </w:rPr>
      </w:pPr>
      <w:r>
        <w:rPr>
          <w:rFonts w:ascii="Verdana" w:hAnsi="Verdana"/>
          <w:sz w:val="18"/>
        </w:rPr>
        <w:t>Stk. 4.</w:t>
      </w:r>
      <w:r>
        <w:tab/>
      </w:r>
      <w:r>
        <w:rPr>
          <w:rFonts w:ascii="Verdana" w:hAnsi="Verdana"/>
          <w:sz w:val="18"/>
        </w:rPr>
        <w:t>Drogetilberedninger skal indeholde en øvre grænse for dagligt indtag på 27 mg p-synephrin i overensstemmelse med brugsanvisningerne.</w:t>
      </w:r>
    </w:p>
    <w:p w:rsidR="0095665C" w:rsidRDefault="0043098B" w:rsidP="00E17C57">
      <w:pPr>
        <w:ind w:left="3544" w:hanging="708"/>
        <w:rPr>
          <w:rFonts w:ascii="Verdana" w:hAnsi="Verdana"/>
          <w:sz w:val="18"/>
          <w:szCs w:val="18"/>
        </w:rPr>
      </w:pPr>
      <w:r>
        <w:rPr>
          <w:rFonts w:ascii="Verdana" w:hAnsi="Verdana"/>
          <w:sz w:val="18"/>
        </w:rPr>
        <w:t>Stk. 5.</w:t>
      </w:r>
      <w:r>
        <w:tab/>
      </w:r>
      <w:r>
        <w:rPr>
          <w:rFonts w:ascii="Verdana" w:hAnsi="Verdana"/>
          <w:sz w:val="18"/>
        </w:rPr>
        <w:t>I modsætning til stk. 3 kan drogetilberedninger indeholde olie ekstraheret fra frøene til Ricinus communis, såfremt den ordinerede anbefalede brug og dosering, som er angivet i artikel 6, stk. 1, ikke resulterer i et olieindtag, som overstiger 0,4 g om dagen.</w:t>
      </w:r>
    </w:p>
    <w:p w:rsidR="00AB3B66" w:rsidRDefault="00AB3B66" w:rsidP="00E17C57">
      <w:pPr>
        <w:ind w:left="3544" w:hanging="708"/>
        <w:rPr>
          <w:rFonts w:ascii="Verdana" w:hAnsi="Verdana"/>
          <w:sz w:val="18"/>
          <w:szCs w:val="18"/>
        </w:rPr>
      </w:pPr>
      <w:r>
        <w:rPr>
          <w:rFonts w:ascii="Verdana" w:hAnsi="Verdana"/>
          <w:sz w:val="18"/>
        </w:rPr>
        <w:t>Stk. 6.</w:t>
      </w:r>
      <w:r>
        <w:tab/>
      </w:r>
      <w:r>
        <w:rPr>
          <w:rFonts w:ascii="Verdana" w:hAnsi="Verdana"/>
          <w:sz w:val="18"/>
        </w:rPr>
        <w:t>Stk. 1 finder ikke anvendelse i tilfælde, der er dækket af bestemmelserne i forordning (EF) 1881/2006.</w:t>
      </w:r>
    </w:p>
    <w:p w:rsidR="00D9610F" w:rsidRDefault="00D9610F" w:rsidP="00E17C57">
      <w:pPr>
        <w:ind w:left="2268"/>
        <w:rPr>
          <w:rFonts w:ascii="Verdana" w:hAnsi="Verdana"/>
          <w:sz w:val="18"/>
          <w:szCs w:val="18"/>
        </w:rPr>
      </w:pPr>
    </w:p>
    <w:p w:rsidR="00AB4972" w:rsidRPr="00AB4972" w:rsidRDefault="00AB4972" w:rsidP="00E17C57">
      <w:pPr>
        <w:keepNext/>
        <w:keepLines/>
        <w:ind w:left="2268"/>
        <w:rPr>
          <w:rFonts w:ascii="Verdana" w:hAnsi="Verdana"/>
          <w:sz w:val="18"/>
          <w:szCs w:val="18"/>
        </w:rPr>
      </w:pPr>
      <w:r>
        <w:rPr>
          <w:rFonts w:ascii="Verdana" w:hAnsi="Verdana"/>
          <w:sz w:val="18"/>
        </w:rPr>
        <w:t>B</w:t>
      </w:r>
    </w:p>
    <w:p w:rsidR="00AB4972" w:rsidRDefault="00AB4972" w:rsidP="00E17C57">
      <w:pPr>
        <w:keepNext/>
        <w:keepLines/>
        <w:ind w:left="2268"/>
        <w:rPr>
          <w:rFonts w:ascii="Verdana" w:hAnsi="Verdana"/>
          <w:sz w:val="18"/>
          <w:szCs w:val="18"/>
        </w:rPr>
      </w:pPr>
    </w:p>
    <w:p w:rsidR="003825F1" w:rsidRDefault="003825F1" w:rsidP="00E17C57">
      <w:pPr>
        <w:keepNext/>
        <w:keepLines/>
        <w:ind w:left="2268"/>
        <w:rPr>
          <w:rFonts w:ascii="Verdana" w:hAnsi="Verdana"/>
          <w:sz w:val="18"/>
          <w:szCs w:val="18"/>
        </w:rPr>
      </w:pPr>
      <w:r>
        <w:rPr>
          <w:rFonts w:ascii="Verdana" w:hAnsi="Verdana"/>
          <w:sz w:val="18"/>
        </w:rPr>
        <w:t>Der tilføjes et stykke til artikel 6 med følgende ordlyd:</w:t>
      </w:r>
    </w:p>
    <w:p w:rsidR="003825F1" w:rsidRDefault="003825F1" w:rsidP="00FF2525">
      <w:pPr>
        <w:ind w:left="2977" w:hanging="709"/>
        <w:rPr>
          <w:rFonts w:ascii="Verdana" w:hAnsi="Verdana"/>
          <w:sz w:val="18"/>
          <w:szCs w:val="18"/>
        </w:rPr>
      </w:pPr>
      <w:r>
        <w:rPr>
          <w:rFonts w:ascii="Verdana" w:hAnsi="Verdana"/>
          <w:sz w:val="18"/>
        </w:rPr>
        <w:t>Stk. 3.</w:t>
      </w:r>
      <w:bookmarkStart w:id="0" w:name="_GoBack"/>
      <w:bookmarkEnd w:id="0"/>
      <w:r>
        <w:tab/>
      </w:r>
      <w:r>
        <w:rPr>
          <w:rFonts w:ascii="Verdana" w:hAnsi="Verdana"/>
          <w:sz w:val="18"/>
        </w:rPr>
        <w:t>Ministeren kan udstede en bekendtgørelse, der fastlægger yderligere regler om den anbefalede brug og dosering nævnt i stk. 1 og 2.</w:t>
      </w:r>
    </w:p>
    <w:p w:rsidR="003825F1" w:rsidRDefault="003825F1" w:rsidP="00E17C57">
      <w:pPr>
        <w:ind w:left="2268"/>
        <w:rPr>
          <w:rFonts w:ascii="Verdana" w:hAnsi="Verdana"/>
          <w:sz w:val="18"/>
          <w:szCs w:val="18"/>
        </w:rPr>
      </w:pPr>
    </w:p>
    <w:p w:rsidR="003825F1" w:rsidRDefault="003825F1" w:rsidP="00E17C57">
      <w:pPr>
        <w:keepNext/>
        <w:keepLines/>
        <w:ind w:left="2268"/>
        <w:rPr>
          <w:rFonts w:ascii="Verdana" w:hAnsi="Verdana"/>
          <w:sz w:val="18"/>
          <w:szCs w:val="18"/>
        </w:rPr>
      </w:pPr>
      <w:r>
        <w:rPr>
          <w:rFonts w:ascii="Verdana" w:hAnsi="Verdana"/>
          <w:sz w:val="18"/>
        </w:rPr>
        <w:t>C</w:t>
      </w:r>
    </w:p>
    <w:p w:rsidR="003825F1" w:rsidRDefault="003825F1" w:rsidP="00E17C57">
      <w:pPr>
        <w:keepNext/>
        <w:keepLines/>
        <w:ind w:left="2268"/>
        <w:rPr>
          <w:rFonts w:ascii="Verdana" w:hAnsi="Verdana"/>
          <w:sz w:val="18"/>
          <w:szCs w:val="18"/>
        </w:rPr>
      </w:pPr>
    </w:p>
    <w:p w:rsidR="00BB07D4" w:rsidRDefault="00BB07D4" w:rsidP="00E17C57">
      <w:pPr>
        <w:ind w:left="2268"/>
        <w:rPr>
          <w:rFonts w:ascii="Verdana" w:hAnsi="Verdana"/>
          <w:sz w:val="18"/>
          <w:szCs w:val="18"/>
        </w:rPr>
      </w:pPr>
      <w:r>
        <w:rPr>
          <w:rFonts w:ascii="Verdana" w:hAnsi="Verdana"/>
          <w:sz w:val="18"/>
        </w:rPr>
        <w:t>I artikel 7, stk. 1, udgår følgende tekst: ", under forudsætning af at artikel 4, stk. 1 og 3, træder i kraft den 1. august 2001 for drogetilberedninger – på nær føde- og drikkevarer – der udelukkende er beregnet til at komme i kontakt med forskellige dele af den menneskelige krops overflade, og som ikke indeholder andre planter end dem, som er angivet i kode 1 i bilagets sidste kolonne".</w:t>
      </w:r>
    </w:p>
    <w:p w:rsidR="00BB07D4" w:rsidRDefault="00BB07D4" w:rsidP="00E17C57">
      <w:pPr>
        <w:ind w:left="2268"/>
        <w:rPr>
          <w:rFonts w:ascii="Verdana" w:hAnsi="Verdana"/>
          <w:sz w:val="18"/>
          <w:szCs w:val="18"/>
        </w:rPr>
      </w:pPr>
    </w:p>
    <w:p w:rsidR="00BB07D4" w:rsidRDefault="00BB07D4" w:rsidP="00E17C57">
      <w:pPr>
        <w:keepNext/>
        <w:keepLines/>
        <w:ind w:left="2268"/>
        <w:rPr>
          <w:rFonts w:ascii="Verdana" w:hAnsi="Verdana"/>
          <w:sz w:val="18"/>
          <w:szCs w:val="18"/>
        </w:rPr>
      </w:pPr>
      <w:r>
        <w:rPr>
          <w:rFonts w:ascii="Verdana" w:hAnsi="Verdana"/>
          <w:sz w:val="18"/>
        </w:rPr>
        <w:t>D</w:t>
      </w:r>
    </w:p>
    <w:p w:rsidR="00BB07D4" w:rsidRDefault="00BB07D4" w:rsidP="00E17C57">
      <w:pPr>
        <w:keepNext/>
        <w:keepLines/>
        <w:ind w:left="2268"/>
        <w:rPr>
          <w:rFonts w:ascii="Verdana" w:hAnsi="Verdana"/>
          <w:sz w:val="18"/>
          <w:szCs w:val="18"/>
        </w:rPr>
      </w:pPr>
    </w:p>
    <w:p w:rsidR="00BB11AA" w:rsidRDefault="00F6533C" w:rsidP="00E17C57">
      <w:pPr>
        <w:keepNext/>
        <w:keepLines/>
        <w:ind w:left="2268"/>
        <w:rPr>
          <w:rFonts w:ascii="Verdana" w:hAnsi="Verdana"/>
          <w:sz w:val="18"/>
          <w:szCs w:val="18"/>
        </w:rPr>
      </w:pPr>
      <w:r>
        <w:rPr>
          <w:rFonts w:ascii="Verdana" w:hAnsi="Verdana"/>
          <w:sz w:val="18"/>
        </w:rPr>
        <w:t>Bilaget ændres således:</w:t>
      </w:r>
    </w:p>
    <w:p w:rsidR="00F6533C" w:rsidRDefault="00F6533C" w:rsidP="00E17C57">
      <w:pPr>
        <w:pStyle w:val="ListParagraph"/>
        <w:numPr>
          <w:ilvl w:val="0"/>
          <w:numId w:val="23"/>
        </w:numPr>
        <w:rPr>
          <w:rFonts w:ascii="Verdana" w:hAnsi="Verdana"/>
          <w:sz w:val="18"/>
          <w:szCs w:val="18"/>
        </w:rPr>
      </w:pPr>
      <w:r>
        <w:rPr>
          <w:rFonts w:ascii="Verdana" w:hAnsi="Verdana"/>
          <w:sz w:val="18"/>
        </w:rPr>
        <w:t>Sætningen "dette bilag svarer til artikel 4." erstattes med "dette bilag svarer til artikel 4, stk. 3.".</w:t>
      </w:r>
    </w:p>
    <w:p w:rsidR="00F6533C" w:rsidRDefault="00BB02A9" w:rsidP="00E17C57">
      <w:pPr>
        <w:pStyle w:val="ListParagraph"/>
        <w:numPr>
          <w:ilvl w:val="0"/>
          <w:numId w:val="23"/>
        </w:numPr>
        <w:rPr>
          <w:rFonts w:ascii="Verdana" w:hAnsi="Verdana"/>
          <w:sz w:val="18"/>
          <w:szCs w:val="18"/>
        </w:rPr>
      </w:pPr>
      <w:r>
        <w:rPr>
          <w:rFonts w:ascii="Verdana" w:hAnsi="Verdana"/>
          <w:sz w:val="18"/>
        </w:rPr>
        <w:t>Del I slettes.</w:t>
      </w:r>
    </w:p>
    <w:p w:rsidR="00F6533C" w:rsidRDefault="00BB07D4" w:rsidP="00E17C57">
      <w:pPr>
        <w:pStyle w:val="ListParagraph"/>
        <w:numPr>
          <w:ilvl w:val="0"/>
          <w:numId w:val="23"/>
        </w:numPr>
        <w:rPr>
          <w:rFonts w:ascii="Verdana" w:hAnsi="Verdana"/>
          <w:sz w:val="18"/>
          <w:szCs w:val="18"/>
        </w:rPr>
      </w:pPr>
      <w:r>
        <w:rPr>
          <w:rFonts w:ascii="Verdana" w:hAnsi="Verdana"/>
          <w:sz w:val="18"/>
        </w:rPr>
        <w:lastRenderedPageBreak/>
        <w:t>Teksten "II. De følgende planter og svampe:" erstattes med "De planter og svampe beskrevet i artikel 4, stk. 3:".</w:t>
      </w:r>
    </w:p>
    <w:p w:rsidR="00740EC3" w:rsidRDefault="00740EC3" w:rsidP="00E17C57">
      <w:pPr>
        <w:pStyle w:val="ListParagraph"/>
        <w:keepNext/>
        <w:keepLines/>
        <w:numPr>
          <w:ilvl w:val="0"/>
          <w:numId w:val="23"/>
        </w:numPr>
        <w:rPr>
          <w:rFonts w:ascii="Verdana" w:hAnsi="Verdana"/>
          <w:sz w:val="18"/>
          <w:szCs w:val="18"/>
        </w:rPr>
      </w:pPr>
      <w:r>
        <w:rPr>
          <w:rFonts w:ascii="Verdana" w:hAnsi="Verdana"/>
          <w:sz w:val="18"/>
        </w:rPr>
        <w:t>Følgende indsættes i alfabetisk rækkefølge:</w:t>
      </w:r>
    </w:p>
    <w:p w:rsidR="00183469" w:rsidRPr="00A27E62" w:rsidRDefault="00740EC3" w:rsidP="00E17C57">
      <w:pPr>
        <w:ind w:left="1919" w:firstLine="709"/>
        <w:rPr>
          <w:rFonts w:ascii="Verdana" w:hAnsi="Verdana"/>
          <w:sz w:val="18"/>
          <w:szCs w:val="18"/>
        </w:rPr>
      </w:pPr>
      <w:r>
        <w:rPr>
          <w:rFonts w:ascii="Verdana" w:hAnsi="Verdana"/>
          <w:sz w:val="18"/>
        </w:rPr>
        <w:t>Aconitum carmichaelii</w:t>
      </w:r>
    </w:p>
    <w:p w:rsidR="00740EC3" w:rsidRPr="00A27E62" w:rsidRDefault="00740EC3" w:rsidP="00E17C57">
      <w:pPr>
        <w:ind w:left="1919" w:firstLine="709"/>
        <w:rPr>
          <w:rFonts w:ascii="Verdana" w:hAnsi="Verdana"/>
          <w:sz w:val="18"/>
          <w:szCs w:val="18"/>
        </w:rPr>
      </w:pPr>
      <w:r>
        <w:rPr>
          <w:rFonts w:ascii="Verdana" w:hAnsi="Verdana"/>
          <w:sz w:val="18"/>
        </w:rPr>
        <w:t>Aconitum kusnezoffii</w:t>
      </w:r>
    </w:p>
    <w:p w:rsidR="00740EC3" w:rsidRPr="00A27E62" w:rsidRDefault="00740EC3" w:rsidP="00E17C57">
      <w:pPr>
        <w:ind w:left="1919" w:firstLine="709"/>
        <w:rPr>
          <w:rFonts w:ascii="Verdana" w:hAnsi="Verdana"/>
          <w:sz w:val="18"/>
          <w:szCs w:val="18"/>
        </w:rPr>
      </w:pPr>
      <w:r>
        <w:rPr>
          <w:rFonts w:ascii="Verdana" w:hAnsi="Verdana"/>
          <w:sz w:val="18"/>
        </w:rPr>
        <w:t>Pilocarpus jaborandi.</w:t>
      </w:r>
    </w:p>
    <w:p w:rsidR="00183469" w:rsidRPr="00E17C57" w:rsidRDefault="00BB551C" w:rsidP="00147025">
      <w:pPr>
        <w:pStyle w:val="ListParagraph"/>
        <w:numPr>
          <w:ilvl w:val="0"/>
          <w:numId w:val="23"/>
        </w:numPr>
        <w:rPr>
          <w:rFonts w:ascii="Verdana" w:hAnsi="Verdana"/>
          <w:sz w:val="18"/>
          <w:szCs w:val="18"/>
        </w:rPr>
      </w:pPr>
      <w:r>
        <w:rPr>
          <w:rFonts w:ascii="Verdana" w:hAnsi="Verdana"/>
          <w:sz w:val="18"/>
        </w:rPr>
        <w:t>"Brassica nigra (sort sennep), undtagen brug i fødevarer med frøene fra Bryonia alba (enbo galdebær)" erstattes med "Brassica nigra (sort sennep), undtagen brug i fødevarer med frøene fra Bryonia alba (enbo galdebær)".</w:t>
      </w:r>
    </w:p>
    <w:p w:rsidR="00740EC3" w:rsidRPr="00AF6EE0" w:rsidRDefault="00740EC3" w:rsidP="00E17C57">
      <w:pPr>
        <w:pStyle w:val="ListParagraph"/>
        <w:numPr>
          <w:ilvl w:val="0"/>
          <w:numId w:val="23"/>
        </w:numPr>
        <w:rPr>
          <w:rFonts w:ascii="Verdana" w:hAnsi="Verdana"/>
          <w:sz w:val="18"/>
          <w:szCs w:val="18"/>
          <w:lang w:val="en-US"/>
        </w:rPr>
      </w:pPr>
      <w:r w:rsidRPr="00AF6EE0">
        <w:rPr>
          <w:rFonts w:ascii="Verdana" w:hAnsi="Verdana"/>
          <w:sz w:val="18"/>
          <w:lang w:val="en-US"/>
        </w:rPr>
        <w:t>"Citrullus colocynthidis" erstattes med "Citrullus colocynthis".</w:t>
      </w:r>
    </w:p>
    <w:p w:rsidR="00740EC3" w:rsidRDefault="00740EC3" w:rsidP="00E17C57">
      <w:pPr>
        <w:pStyle w:val="ListParagraph"/>
        <w:numPr>
          <w:ilvl w:val="0"/>
          <w:numId w:val="23"/>
        </w:numPr>
        <w:rPr>
          <w:rFonts w:ascii="Verdana" w:hAnsi="Verdana"/>
          <w:sz w:val="18"/>
          <w:szCs w:val="18"/>
        </w:rPr>
      </w:pPr>
      <w:r>
        <w:rPr>
          <w:rFonts w:ascii="Verdana" w:hAnsi="Verdana"/>
          <w:sz w:val="18"/>
        </w:rPr>
        <w:t>"Mallotus philipinensis" erstattes med "Mallotus philippensis".</w:t>
      </w:r>
    </w:p>
    <w:p w:rsidR="00740EC3" w:rsidRDefault="00740EC3" w:rsidP="00E17C57">
      <w:pPr>
        <w:pStyle w:val="ListParagraph"/>
        <w:numPr>
          <w:ilvl w:val="0"/>
          <w:numId w:val="23"/>
        </w:numPr>
        <w:rPr>
          <w:rFonts w:ascii="Verdana" w:hAnsi="Verdana"/>
          <w:sz w:val="18"/>
          <w:szCs w:val="18"/>
        </w:rPr>
      </w:pPr>
      <w:r>
        <w:rPr>
          <w:rFonts w:ascii="Verdana" w:hAnsi="Verdana"/>
          <w:sz w:val="18"/>
        </w:rPr>
        <w:t>"Mandragora officinalis" erstattes med "Mandragora officinarum".</w:t>
      </w:r>
    </w:p>
    <w:p w:rsidR="00BB551C" w:rsidRPr="00C5642F" w:rsidRDefault="00740EC3" w:rsidP="00E17C57">
      <w:pPr>
        <w:pStyle w:val="ListParagraph"/>
        <w:numPr>
          <w:ilvl w:val="0"/>
          <w:numId w:val="23"/>
        </w:numPr>
        <w:rPr>
          <w:rFonts w:ascii="Verdana" w:hAnsi="Verdana"/>
          <w:sz w:val="18"/>
          <w:szCs w:val="18"/>
        </w:rPr>
      </w:pPr>
      <w:r>
        <w:rPr>
          <w:rFonts w:ascii="Verdana" w:hAnsi="Verdana"/>
          <w:sz w:val="18"/>
        </w:rPr>
        <w:t>"Pausinystalia yohimbe eller Coynanthe yohimbe" erstattes med "Pausinystalia johimbe eller Corynanthe johimbe".</w:t>
      </w:r>
    </w:p>
    <w:p w:rsidR="00740EC3" w:rsidRPr="00C5642F" w:rsidRDefault="00BB551C" w:rsidP="00E17C57">
      <w:pPr>
        <w:pStyle w:val="ListParagraph"/>
        <w:numPr>
          <w:ilvl w:val="0"/>
          <w:numId w:val="23"/>
        </w:numPr>
        <w:rPr>
          <w:rFonts w:ascii="Verdana" w:hAnsi="Verdana"/>
          <w:sz w:val="18"/>
          <w:szCs w:val="18"/>
        </w:rPr>
      </w:pPr>
      <w:r>
        <w:rPr>
          <w:rFonts w:ascii="Verdana" w:hAnsi="Verdana"/>
          <w:sz w:val="18"/>
        </w:rPr>
        <w:t>Den anden kolonne med tallet "1" slettes.</w:t>
      </w:r>
    </w:p>
    <w:p w:rsidR="007E7D62" w:rsidRDefault="007E7D62" w:rsidP="00E17C57">
      <w:pPr>
        <w:ind w:left="2268"/>
        <w:rPr>
          <w:rFonts w:ascii="Verdana" w:hAnsi="Verdana"/>
          <w:sz w:val="18"/>
          <w:szCs w:val="18"/>
        </w:rPr>
      </w:pPr>
    </w:p>
    <w:p w:rsidR="00E17C57" w:rsidRDefault="00E17C57" w:rsidP="00E17C57">
      <w:pPr>
        <w:ind w:left="2268"/>
        <w:rPr>
          <w:rFonts w:ascii="Verdana" w:hAnsi="Verdana"/>
          <w:sz w:val="18"/>
          <w:szCs w:val="18"/>
        </w:rPr>
      </w:pPr>
    </w:p>
    <w:p w:rsidR="00F517C1" w:rsidRPr="00F517C1" w:rsidRDefault="00F517C1" w:rsidP="00E17C57">
      <w:pPr>
        <w:keepNext/>
        <w:keepLines/>
        <w:ind w:left="2268"/>
        <w:rPr>
          <w:rFonts w:ascii="Verdana" w:hAnsi="Verdana"/>
          <w:b/>
          <w:sz w:val="18"/>
          <w:szCs w:val="18"/>
        </w:rPr>
      </w:pPr>
      <w:r>
        <w:rPr>
          <w:rFonts w:ascii="Verdana" w:hAnsi="Verdana"/>
          <w:b/>
          <w:sz w:val="18"/>
        </w:rPr>
        <w:t>Artikel II</w:t>
      </w:r>
    </w:p>
    <w:p w:rsidR="00F517C1" w:rsidRDefault="00F517C1" w:rsidP="00E17C57">
      <w:pPr>
        <w:keepNext/>
        <w:keepLines/>
        <w:ind w:left="2268"/>
        <w:rPr>
          <w:rFonts w:ascii="Verdana" w:hAnsi="Verdana"/>
          <w:sz w:val="18"/>
          <w:szCs w:val="18"/>
        </w:rPr>
      </w:pPr>
    </w:p>
    <w:p w:rsidR="00F517C1" w:rsidRDefault="008E734A" w:rsidP="00E17C57">
      <w:pPr>
        <w:keepNext/>
        <w:keepLines/>
        <w:ind w:left="2268"/>
        <w:rPr>
          <w:rFonts w:ascii="Verdana" w:hAnsi="Verdana"/>
          <w:sz w:val="18"/>
          <w:szCs w:val="18"/>
        </w:rPr>
      </w:pPr>
      <w:r>
        <w:rPr>
          <w:rFonts w:ascii="Verdana" w:hAnsi="Verdana"/>
          <w:sz w:val="18"/>
        </w:rPr>
        <w:t>I overskrift C-22 i bilaget til varelovdekretet om administrative sanktioner [Warenwetbesluit bestuurlijke boeten] indsættes følgende afsnit efter afsnit C-22.4:</w:t>
      </w:r>
    </w:p>
    <w:tbl>
      <w:tblPr>
        <w:tblStyle w:val="TableGrid"/>
        <w:tblW w:w="0" w:type="auto"/>
        <w:tblInd w:w="2268" w:type="dxa"/>
        <w:tblLook w:val="04A0" w:firstRow="1" w:lastRow="0" w:firstColumn="1" w:lastColumn="0" w:noHBand="0" w:noVBand="1"/>
      </w:tblPr>
      <w:tblGrid>
        <w:gridCol w:w="1059"/>
        <w:gridCol w:w="3425"/>
        <w:gridCol w:w="1059"/>
        <w:gridCol w:w="1237"/>
        <w:gridCol w:w="397"/>
      </w:tblGrid>
      <w:tr w:rsidR="001960C4" w:rsidTr="00E17C57">
        <w:trPr>
          <w:cantSplit/>
        </w:trPr>
        <w:tc>
          <w:tcPr>
            <w:tcW w:w="1101" w:type="dxa"/>
          </w:tcPr>
          <w:p w:rsidR="001960C4" w:rsidRDefault="001960C4" w:rsidP="00E17C57">
            <w:pPr>
              <w:rPr>
                <w:rFonts w:ascii="Verdana" w:hAnsi="Verdana"/>
                <w:sz w:val="18"/>
                <w:szCs w:val="18"/>
              </w:rPr>
            </w:pPr>
            <w:r>
              <w:rPr>
                <w:rFonts w:ascii="Verdana" w:hAnsi="Verdana"/>
                <w:sz w:val="18"/>
              </w:rPr>
              <w:t>C-22.4.1</w:t>
            </w:r>
          </w:p>
        </w:tc>
        <w:tc>
          <w:tcPr>
            <w:tcW w:w="3827" w:type="dxa"/>
          </w:tcPr>
          <w:p w:rsidR="001960C4" w:rsidRDefault="001960C4" w:rsidP="00E17C57">
            <w:pPr>
              <w:rPr>
                <w:rFonts w:ascii="Verdana" w:hAnsi="Verdana"/>
                <w:sz w:val="18"/>
                <w:szCs w:val="18"/>
              </w:rPr>
            </w:pPr>
            <w:r>
              <w:rPr>
                <w:rFonts w:ascii="Verdana" w:hAnsi="Verdana"/>
                <w:sz w:val="18"/>
              </w:rPr>
              <w:t>Artikel 2 sammen med artikel 4, stk. 4</w:t>
            </w:r>
          </w:p>
        </w:tc>
        <w:tc>
          <w:tcPr>
            <w:tcW w:w="842" w:type="dxa"/>
          </w:tcPr>
          <w:p w:rsidR="001960C4" w:rsidRDefault="001960C4" w:rsidP="00E17C57">
            <w:pPr>
              <w:rPr>
                <w:rFonts w:ascii="Verdana" w:hAnsi="Verdana"/>
                <w:sz w:val="18"/>
                <w:szCs w:val="18"/>
              </w:rPr>
            </w:pPr>
            <w:r>
              <w:rPr>
                <w:rFonts w:ascii="Verdana" w:hAnsi="Verdana"/>
                <w:sz w:val="18"/>
              </w:rPr>
              <w:t>525 EUR.</w:t>
            </w:r>
          </w:p>
        </w:tc>
        <w:tc>
          <w:tcPr>
            <w:tcW w:w="1001" w:type="dxa"/>
          </w:tcPr>
          <w:p w:rsidR="001960C4" w:rsidRDefault="001960C4" w:rsidP="00E17C57">
            <w:pPr>
              <w:rPr>
                <w:rFonts w:ascii="Verdana" w:hAnsi="Verdana"/>
                <w:sz w:val="18"/>
                <w:szCs w:val="18"/>
              </w:rPr>
            </w:pPr>
            <w:r>
              <w:rPr>
                <w:rFonts w:ascii="Verdana" w:hAnsi="Verdana"/>
                <w:sz w:val="18"/>
              </w:rPr>
              <w:t>1 050 EUR.</w:t>
            </w:r>
          </w:p>
        </w:tc>
        <w:tc>
          <w:tcPr>
            <w:tcW w:w="406" w:type="dxa"/>
          </w:tcPr>
          <w:p w:rsidR="001960C4" w:rsidRDefault="001960C4" w:rsidP="00E17C57">
            <w:pPr>
              <w:rPr>
                <w:rFonts w:ascii="Verdana" w:hAnsi="Verdana"/>
                <w:sz w:val="18"/>
                <w:szCs w:val="18"/>
              </w:rPr>
            </w:pPr>
            <w:r>
              <w:rPr>
                <w:rFonts w:ascii="Verdana" w:hAnsi="Verdana"/>
                <w:sz w:val="18"/>
              </w:rPr>
              <w:t>X</w:t>
            </w:r>
          </w:p>
        </w:tc>
      </w:tr>
    </w:tbl>
    <w:p w:rsidR="00B67E83" w:rsidRDefault="00B67E83" w:rsidP="00E17C57">
      <w:pPr>
        <w:ind w:left="2268"/>
        <w:rPr>
          <w:rFonts w:ascii="Verdana" w:hAnsi="Verdana"/>
          <w:sz w:val="18"/>
          <w:szCs w:val="18"/>
        </w:rPr>
      </w:pPr>
    </w:p>
    <w:p w:rsidR="001960C4" w:rsidRDefault="001960C4" w:rsidP="00E17C57">
      <w:pPr>
        <w:ind w:left="2268"/>
        <w:rPr>
          <w:rFonts w:ascii="Verdana" w:hAnsi="Verdana"/>
          <w:sz w:val="18"/>
          <w:szCs w:val="18"/>
        </w:rPr>
      </w:pPr>
    </w:p>
    <w:p w:rsidR="00B56093" w:rsidRPr="00B56093" w:rsidRDefault="00F517C1" w:rsidP="00E17C57">
      <w:pPr>
        <w:keepNext/>
        <w:keepLines/>
        <w:ind w:left="2268"/>
        <w:rPr>
          <w:rFonts w:ascii="Verdana" w:hAnsi="Verdana"/>
          <w:b/>
          <w:sz w:val="18"/>
          <w:szCs w:val="18"/>
        </w:rPr>
      </w:pPr>
      <w:r>
        <w:rPr>
          <w:rFonts w:ascii="Verdana" w:hAnsi="Verdana"/>
          <w:b/>
          <w:sz w:val="18"/>
        </w:rPr>
        <w:t>Artikel III</w:t>
      </w:r>
    </w:p>
    <w:p w:rsidR="00B56093" w:rsidRDefault="00B56093" w:rsidP="00E17C57">
      <w:pPr>
        <w:keepNext/>
        <w:keepLines/>
        <w:ind w:left="2268"/>
        <w:rPr>
          <w:rFonts w:ascii="Verdana" w:hAnsi="Verdana"/>
          <w:sz w:val="18"/>
          <w:szCs w:val="18"/>
        </w:rPr>
      </w:pPr>
    </w:p>
    <w:p w:rsidR="00D9610F" w:rsidRDefault="00D9610F" w:rsidP="00E17C57">
      <w:pPr>
        <w:ind w:left="2836" w:hanging="568"/>
        <w:rPr>
          <w:rFonts w:ascii="Verdana" w:hAnsi="Verdana"/>
          <w:sz w:val="18"/>
          <w:szCs w:val="18"/>
        </w:rPr>
      </w:pPr>
      <w:r>
        <w:rPr>
          <w:rFonts w:ascii="Verdana" w:hAnsi="Verdana"/>
          <w:sz w:val="18"/>
        </w:rPr>
        <w:t>Dette dekret træder i kraft den 1. januar 2020.</w:t>
      </w:r>
    </w:p>
    <w:p w:rsidR="003143CD" w:rsidRPr="008F0589" w:rsidRDefault="003143CD" w:rsidP="00E17C57">
      <w:pPr>
        <w:ind w:left="2268"/>
        <w:rPr>
          <w:rFonts w:ascii="Verdana" w:hAnsi="Verdana"/>
          <w:sz w:val="18"/>
          <w:szCs w:val="18"/>
        </w:rPr>
      </w:pPr>
    </w:p>
    <w:p w:rsidR="003143CD" w:rsidRDefault="007E7D62" w:rsidP="00E17C57">
      <w:pPr>
        <w:ind w:left="2268"/>
        <w:rPr>
          <w:rFonts w:ascii="Verdana" w:hAnsi="Verdana"/>
          <w:snapToGrid w:val="0"/>
          <w:sz w:val="18"/>
          <w:szCs w:val="18"/>
        </w:rPr>
      </w:pPr>
      <w:r>
        <w:rPr>
          <w:rFonts w:ascii="Verdana" w:hAnsi="Verdana"/>
          <w:snapToGrid w:val="0"/>
          <w:sz w:val="18"/>
        </w:rPr>
        <w:t>Jeg befaler hermed, at dette dekret sammen med dets forklarende bemærkninger skal offentliggøres i lov- og dekrettidende.</w:t>
      </w:r>
    </w:p>
    <w:p w:rsidR="003143CD" w:rsidRDefault="003143CD" w:rsidP="00E17C57">
      <w:pPr>
        <w:ind w:left="2268"/>
        <w:rPr>
          <w:rFonts w:ascii="Verdana" w:hAnsi="Verdana"/>
          <w:snapToGrid w:val="0"/>
          <w:sz w:val="18"/>
          <w:szCs w:val="18"/>
        </w:rPr>
      </w:pPr>
    </w:p>
    <w:p w:rsidR="003143CD" w:rsidRDefault="003143CD" w:rsidP="00E17C57">
      <w:pPr>
        <w:tabs>
          <w:tab w:val="left" w:pos="2268"/>
        </w:tabs>
        <w:ind w:left="2268"/>
        <w:rPr>
          <w:rFonts w:ascii="Verdana" w:hAnsi="Verdana"/>
          <w:kern w:val="2"/>
          <w:sz w:val="18"/>
          <w:szCs w:val="18"/>
        </w:rPr>
      </w:pPr>
      <w:r>
        <w:rPr>
          <w:rFonts w:ascii="Verdana" w:hAnsi="Verdana"/>
          <w:sz w:val="18"/>
        </w:rPr>
        <w:t>Ministeren for lægebehandling,</w:t>
      </w: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Pr="005B4FAB" w:rsidRDefault="003143CD" w:rsidP="00E17C57">
      <w:pPr>
        <w:tabs>
          <w:tab w:val="left" w:pos="2268"/>
        </w:tabs>
        <w:ind w:left="2268"/>
        <w:rPr>
          <w:rFonts w:ascii="Verdana" w:hAnsi="Verdana"/>
          <w:kern w:val="2"/>
          <w:sz w:val="18"/>
          <w:szCs w:val="18"/>
        </w:rPr>
      </w:pPr>
      <w:r>
        <w:rPr>
          <w:rFonts w:ascii="Verdana" w:hAnsi="Verdana"/>
          <w:sz w:val="18"/>
        </w:rPr>
        <w:t>B. J. Bruins</w:t>
      </w:r>
    </w:p>
    <w:p w:rsidR="005B43ED" w:rsidRPr="00176336" w:rsidRDefault="007E7D62" w:rsidP="00E17C57">
      <w:pPr>
        <w:keepNext/>
        <w:keepLines/>
        <w:pageBreakBefore/>
        <w:tabs>
          <w:tab w:val="left" w:pos="2268"/>
        </w:tabs>
        <w:ind w:left="2268"/>
        <w:rPr>
          <w:rFonts w:ascii="Verdana" w:hAnsi="Verdana"/>
          <w:sz w:val="18"/>
          <w:szCs w:val="18"/>
        </w:rPr>
      </w:pPr>
      <w:r>
        <w:rPr>
          <w:rFonts w:ascii="Verdana" w:hAnsi="Verdana"/>
          <w:b/>
          <w:sz w:val="18"/>
        </w:rPr>
        <w:lastRenderedPageBreak/>
        <w:t>Forklarende bemærkninger</w:t>
      </w:r>
    </w:p>
    <w:p w:rsidR="00B24606" w:rsidRPr="00176336" w:rsidRDefault="00B24606" w:rsidP="00E17C57">
      <w:pPr>
        <w:keepNext/>
        <w:keepLines/>
        <w:tabs>
          <w:tab w:val="left" w:pos="2268"/>
        </w:tabs>
        <w:ind w:left="2268"/>
        <w:rPr>
          <w:rFonts w:ascii="Verdana" w:hAnsi="Verdana"/>
          <w:kern w:val="2"/>
          <w:sz w:val="18"/>
          <w:szCs w:val="18"/>
        </w:rPr>
      </w:pPr>
    </w:p>
    <w:p w:rsidR="0064439B" w:rsidRPr="00F07731" w:rsidRDefault="00F07731" w:rsidP="00E17C57">
      <w:pPr>
        <w:keepNext/>
        <w:keepLines/>
        <w:tabs>
          <w:tab w:val="left" w:pos="2268"/>
        </w:tabs>
        <w:ind w:left="2268"/>
        <w:rPr>
          <w:rFonts w:ascii="Verdana" w:hAnsi="Verdana"/>
          <w:b/>
          <w:kern w:val="2"/>
          <w:sz w:val="18"/>
          <w:szCs w:val="18"/>
        </w:rPr>
      </w:pPr>
      <w:r>
        <w:rPr>
          <w:rFonts w:ascii="Verdana" w:hAnsi="Verdana"/>
          <w:b/>
          <w:sz w:val="18"/>
        </w:rPr>
        <w:t>Stk. 1. Generelt</w:t>
      </w:r>
    </w:p>
    <w:p w:rsidR="00B24606" w:rsidRPr="00176336" w:rsidRDefault="00B24606" w:rsidP="00E17C57">
      <w:pPr>
        <w:keepNext/>
        <w:keepLines/>
        <w:tabs>
          <w:tab w:val="left" w:pos="2268"/>
        </w:tabs>
        <w:ind w:left="2268"/>
        <w:rPr>
          <w:rFonts w:ascii="Verdana" w:hAnsi="Verdana"/>
          <w:kern w:val="2"/>
          <w:sz w:val="18"/>
          <w:szCs w:val="18"/>
        </w:rPr>
      </w:pPr>
    </w:p>
    <w:p w:rsidR="00B428D8" w:rsidRDefault="00B24606" w:rsidP="00E17C57">
      <w:pPr>
        <w:tabs>
          <w:tab w:val="left" w:pos="2268"/>
        </w:tabs>
        <w:ind w:left="2268"/>
        <w:rPr>
          <w:rFonts w:ascii="Verdana" w:hAnsi="Verdana"/>
          <w:kern w:val="2"/>
          <w:sz w:val="18"/>
          <w:szCs w:val="18"/>
        </w:rPr>
      </w:pPr>
      <w:r>
        <w:rPr>
          <w:rFonts w:ascii="Verdana" w:hAnsi="Verdana"/>
          <w:sz w:val="18"/>
        </w:rPr>
        <w:t>Varelovdekretet om drogetilberedninger fastlægger krav til drogetilberedninger, der skal beskytte folkesundheden. På baggrund af risikovurderinger af planter føjes et forbud mod visse planter nu til dekretet. Derudover besluttede man at føje et forbud mod skadelige stoffer fra planter og svampe i drogetilberedninger til dekretet (artikel I, del A, stk. 2). Dette forbedrer håndhævelsen af varelovdekretet om drogetilberedninger. Som følge heraf vil forbrugere være bedre beskyttet mod produkter, som kan sundhedsskadelige for dem.</w:t>
      </w:r>
    </w:p>
    <w:p w:rsidR="003B5162" w:rsidRDefault="003B5162" w:rsidP="00E17C57">
      <w:pPr>
        <w:tabs>
          <w:tab w:val="left" w:pos="2268"/>
        </w:tabs>
        <w:ind w:left="2268"/>
        <w:rPr>
          <w:rFonts w:ascii="Verdana" w:hAnsi="Verdana"/>
          <w:kern w:val="2"/>
          <w:sz w:val="18"/>
          <w:szCs w:val="18"/>
        </w:rPr>
      </w:pPr>
    </w:p>
    <w:p w:rsidR="003B5162" w:rsidRPr="003B5162" w:rsidRDefault="003B5162" w:rsidP="00E17C57">
      <w:pPr>
        <w:tabs>
          <w:tab w:val="left" w:pos="2268"/>
        </w:tabs>
        <w:ind w:left="2268"/>
        <w:rPr>
          <w:rFonts w:ascii="Verdana" w:hAnsi="Verdana"/>
          <w:kern w:val="2"/>
          <w:sz w:val="18"/>
          <w:szCs w:val="18"/>
        </w:rPr>
      </w:pPr>
      <w:r>
        <w:rPr>
          <w:rFonts w:ascii="Verdana" w:hAnsi="Verdana"/>
          <w:sz w:val="18"/>
        </w:rPr>
        <w:t>Artikel 13d i varelovdekretet [Warenwet] indeholder en klausul om gensidig anerkendelse. Princippet om gensidig anerkendelse indebærer, at en EU-medlemsstat ikke skal forbyde salget af varer, som lovligt er markedsført i en anden EU-medlemsstat, på dens eget område med den begrundelse, at varerne ikke lever op til de nationale forskrifter i det pågældende land. I denne forbindelse er det vigtigt, at varerne fra en anden EU-medlemsstat som minimum yder en tilsvarende beskyttelse. Derfor skal handel med varer, der stammer fra andre EU-medlemsstater, og som er omfattet af nærværende bekendtgørelses anvendelsesområde, i medfør af kravene fastlagt i denne bekendtgørelse ikke forbydes.</w:t>
      </w:r>
    </w:p>
    <w:p w:rsidR="003B5162" w:rsidRPr="003B5162" w:rsidRDefault="003B5162" w:rsidP="00E17C57">
      <w:pPr>
        <w:tabs>
          <w:tab w:val="left" w:pos="2268"/>
        </w:tabs>
        <w:ind w:left="2268"/>
        <w:rPr>
          <w:rFonts w:ascii="Verdana" w:hAnsi="Verdana"/>
          <w:kern w:val="2"/>
          <w:sz w:val="18"/>
          <w:szCs w:val="18"/>
        </w:rPr>
      </w:pPr>
    </w:p>
    <w:p w:rsidR="003B5162" w:rsidRDefault="003B5162" w:rsidP="00E17C57">
      <w:pPr>
        <w:tabs>
          <w:tab w:val="left" w:pos="2268"/>
        </w:tabs>
        <w:ind w:left="2268"/>
        <w:rPr>
          <w:rFonts w:ascii="Verdana" w:hAnsi="Verdana"/>
          <w:kern w:val="2"/>
          <w:sz w:val="18"/>
          <w:szCs w:val="18"/>
        </w:rPr>
      </w:pPr>
      <w:r>
        <w:rPr>
          <w:rFonts w:ascii="Verdana" w:hAnsi="Verdana"/>
          <w:sz w:val="18"/>
        </w:rPr>
        <w:t>Kravene til varer, som er fastlagt i dette dekret, begrundes med hensyn til at beskytte forbrugere mod usikre produkter.</w:t>
      </w:r>
    </w:p>
    <w:p w:rsidR="00E17C57" w:rsidRPr="003B5162" w:rsidRDefault="00E17C57" w:rsidP="00E17C57">
      <w:pPr>
        <w:tabs>
          <w:tab w:val="left" w:pos="2268"/>
        </w:tabs>
        <w:ind w:left="2268"/>
        <w:rPr>
          <w:rFonts w:ascii="Verdana" w:hAnsi="Verdana"/>
          <w:kern w:val="2"/>
          <w:sz w:val="18"/>
          <w:szCs w:val="18"/>
        </w:rPr>
      </w:pPr>
    </w:p>
    <w:p w:rsidR="00B428D8" w:rsidRPr="00F07731" w:rsidRDefault="00F07731" w:rsidP="00E17C57">
      <w:pPr>
        <w:keepNext/>
        <w:keepLines/>
        <w:tabs>
          <w:tab w:val="left" w:pos="2268"/>
        </w:tabs>
        <w:ind w:left="2268"/>
        <w:rPr>
          <w:rFonts w:ascii="Verdana" w:hAnsi="Verdana"/>
          <w:b/>
          <w:kern w:val="2"/>
          <w:sz w:val="18"/>
          <w:szCs w:val="18"/>
        </w:rPr>
      </w:pPr>
      <w:r>
        <w:rPr>
          <w:rFonts w:ascii="Verdana" w:hAnsi="Verdana"/>
          <w:b/>
          <w:sz w:val="18"/>
        </w:rPr>
        <w:t>Stk. 2. Indvirkning på den lovgivningsmæssige byrde</w:t>
      </w:r>
    </w:p>
    <w:p w:rsidR="00B428D8" w:rsidRDefault="00B428D8" w:rsidP="00E17C57">
      <w:pPr>
        <w:keepNext/>
        <w:keepLines/>
        <w:tabs>
          <w:tab w:val="left" w:pos="2268"/>
        </w:tabs>
        <w:ind w:left="2268"/>
        <w:rPr>
          <w:rFonts w:ascii="Verdana" w:hAnsi="Verdana"/>
          <w:kern w:val="2"/>
          <w:sz w:val="18"/>
          <w:szCs w:val="18"/>
        </w:rPr>
      </w:pPr>
    </w:p>
    <w:p w:rsidR="00B428D8" w:rsidRDefault="00B428D8" w:rsidP="00E17C57">
      <w:pPr>
        <w:tabs>
          <w:tab w:val="left" w:pos="2268"/>
        </w:tabs>
        <w:ind w:left="2268"/>
        <w:rPr>
          <w:rFonts w:ascii="Verdana" w:hAnsi="Verdana"/>
          <w:kern w:val="2"/>
          <w:sz w:val="18"/>
          <w:szCs w:val="18"/>
        </w:rPr>
      </w:pPr>
      <w:r>
        <w:rPr>
          <w:rFonts w:ascii="Verdana" w:hAnsi="Verdana"/>
          <w:sz w:val="18"/>
        </w:rPr>
        <w:t>Dekretet forventes at have en begrænset indvirkning på den lovgivningsmæssige byrde for erhvervslivet. Oplysninger fra sektoren antyder, at det er en begrænset mængde produkter, som skal tilpasses. Grundet den lange forberedelsesperiode til denne ændring, inklusive gentagne høringer med parterne, har producenter haft rigelig tid til at bringe deres produkter i overensstemmelse med de nye krav. Der er ingen oplysningsudgifter. Det nederlandske rådgivende udvalg for lovgivningsmæssige byrder [ATR] understøtter analysen og konklusionen vedrørende indvirkning på den lovgivningsmæssige byrde.</w:t>
      </w:r>
    </w:p>
    <w:p w:rsidR="00B428D8" w:rsidRDefault="00B428D8" w:rsidP="00E17C57">
      <w:pPr>
        <w:tabs>
          <w:tab w:val="left" w:pos="2268"/>
        </w:tabs>
        <w:ind w:left="2268"/>
        <w:rPr>
          <w:rFonts w:ascii="Verdana" w:hAnsi="Verdana"/>
          <w:kern w:val="2"/>
          <w:sz w:val="18"/>
          <w:szCs w:val="18"/>
        </w:rPr>
      </w:pPr>
    </w:p>
    <w:p w:rsidR="00B428D8" w:rsidRPr="00F07731" w:rsidRDefault="00F07731" w:rsidP="00E17C57">
      <w:pPr>
        <w:keepNext/>
        <w:keepLines/>
        <w:tabs>
          <w:tab w:val="left" w:pos="2268"/>
        </w:tabs>
        <w:ind w:left="2268"/>
        <w:rPr>
          <w:rFonts w:ascii="Verdana" w:hAnsi="Verdana"/>
          <w:b/>
          <w:kern w:val="2"/>
          <w:sz w:val="18"/>
          <w:szCs w:val="18"/>
        </w:rPr>
      </w:pPr>
      <w:r>
        <w:rPr>
          <w:rFonts w:ascii="Verdana" w:hAnsi="Verdana"/>
          <w:b/>
          <w:sz w:val="18"/>
        </w:rPr>
        <w:t>Stk. 3. Gruppe til lovpligtig høring vedrørende lov om handelsvarer</w:t>
      </w:r>
    </w:p>
    <w:p w:rsidR="00B428D8" w:rsidRPr="008F0589" w:rsidRDefault="00B428D8" w:rsidP="00E17C57">
      <w:pPr>
        <w:keepNext/>
        <w:keepLines/>
        <w:tabs>
          <w:tab w:val="left" w:pos="2268"/>
        </w:tabs>
        <w:ind w:left="2268"/>
        <w:rPr>
          <w:rFonts w:ascii="Verdana" w:hAnsi="Verdana"/>
          <w:kern w:val="2"/>
          <w:sz w:val="18"/>
          <w:szCs w:val="18"/>
        </w:rPr>
      </w:pPr>
    </w:p>
    <w:p w:rsidR="00B428D8" w:rsidRDefault="00B428D8" w:rsidP="00E17C57">
      <w:pPr>
        <w:tabs>
          <w:tab w:val="left" w:pos="2268"/>
        </w:tabs>
        <w:ind w:left="2268"/>
        <w:rPr>
          <w:rFonts w:ascii="Verdana" w:hAnsi="Verdana"/>
          <w:kern w:val="2"/>
          <w:sz w:val="18"/>
          <w:szCs w:val="18"/>
        </w:rPr>
      </w:pPr>
      <w:r>
        <w:rPr>
          <w:rFonts w:ascii="Verdana" w:hAnsi="Verdana"/>
          <w:sz w:val="18"/>
        </w:rPr>
        <w:t>Udkastet til dette dekret er blevet indsendt til deltagerne i gruppen til den lovpligtige høring vedrørende lov om handelsvarer [ROW]</w:t>
      </w:r>
      <w:r>
        <w:rPr>
          <w:rStyle w:val="FootnoteReference"/>
          <w:rFonts w:ascii="Verdana" w:hAnsi="Verdana"/>
          <w:kern w:val="2"/>
          <w:sz w:val="18"/>
        </w:rPr>
        <w:footnoteReference w:id="1"/>
      </w:r>
      <w:r>
        <w:rPr>
          <w:rFonts w:ascii="Verdana" w:hAnsi="Verdana"/>
          <w:sz w:val="18"/>
        </w:rPr>
        <w:t xml:space="preserve">. Denne diskussion konstaterede, at et forbud mod tilstedeværelsen af synephrin i drogetilberedninger ikke var mulig, da dette naturlige stof også findes i fødevarer (f.eks. appelsinmarmelade). For at sikre at forbrugere ikke udsættes for synephrinniveauer, som er sundhedsskadelige, blev Nederlandenes nationale institut for folkesundhed og miljø [RIVM] og kontoret for risikovurdering og forskning [BuRO] ved Nederlandenes myndighed for fødevare- og forbrugerproduktsikkerhed [NVWA] bedt om at </w:t>
      </w:r>
      <w:r>
        <w:rPr>
          <w:rFonts w:ascii="Verdana" w:hAnsi="Verdana"/>
          <w:sz w:val="18"/>
        </w:rPr>
        <w:lastRenderedPageBreak/>
        <w:t>indsende en anbefaling om det maksimale synephrinniveau i drogetilberedninger. På baggrund af rapporten fra RIVM</w:t>
      </w:r>
      <w:r>
        <w:rPr>
          <w:rStyle w:val="FootnoteReference"/>
          <w:rFonts w:ascii="Verdana" w:hAnsi="Verdana"/>
          <w:kern w:val="2"/>
          <w:sz w:val="18"/>
        </w:rPr>
        <w:footnoteReference w:id="2"/>
      </w:r>
      <w:r>
        <w:rPr>
          <w:rFonts w:ascii="Verdana" w:hAnsi="Verdana"/>
          <w:sz w:val="18"/>
        </w:rPr>
        <w:t xml:space="preserve"> anbefaler BuRO</w:t>
      </w:r>
      <w:r>
        <w:rPr>
          <w:rStyle w:val="FootnoteReference"/>
          <w:rFonts w:ascii="Verdana" w:hAnsi="Verdana"/>
          <w:kern w:val="2"/>
          <w:sz w:val="18"/>
        </w:rPr>
        <w:footnoteReference w:id="3"/>
      </w:r>
      <w:r>
        <w:rPr>
          <w:rFonts w:ascii="Verdana" w:hAnsi="Verdana"/>
          <w:sz w:val="18"/>
        </w:rPr>
        <w:t xml:space="preserve"> at begrænse den maksimale synephrinmængde i drogetilberedninger til et indtag på 27 mg p-synephrin om dagen i henhold til brugsanvisningerne. Derudover er brugen af m- og o-synephrin i drogetilberedninger ikke tilladt.</w:t>
      </w:r>
    </w:p>
    <w:p w:rsidR="008E734A" w:rsidRDefault="00586978" w:rsidP="00E17C57">
      <w:pPr>
        <w:tabs>
          <w:tab w:val="left" w:pos="2268"/>
        </w:tabs>
        <w:ind w:left="2268"/>
        <w:rPr>
          <w:rFonts w:ascii="Verdana" w:hAnsi="Verdana"/>
          <w:kern w:val="2"/>
          <w:sz w:val="18"/>
          <w:szCs w:val="18"/>
        </w:rPr>
      </w:pPr>
      <w:r>
        <w:rPr>
          <w:rFonts w:ascii="Verdana" w:hAnsi="Verdana"/>
          <w:sz w:val="18"/>
        </w:rPr>
        <w:t>Derudover diskuterer ROW stadig den korrekte fortolkning af begrebet "derivater". Der er udtrykt bekymringer om, hvorvidt denne tilføjelse faktisk er nødvendig, og hvordan begrebet bør defineres, hvis den er. Dette emne blev undersøgt, og da der kan være mange varianter af skadelige stoffer, besluttede man at fortsætte med at bruge begrebet. Dette henviser til stoffer, som er afledt af et andet stof.</w:t>
      </w:r>
    </w:p>
    <w:p w:rsidR="00A27E62" w:rsidRDefault="00A27E62" w:rsidP="00E17C57">
      <w:pPr>
        <w:tabs>
          <w:tab w:val="left" w:pos="2268"/>
        </w:tabs>
        <w:ind w:left="2268"/>
        <w:rPr>
          <w:rFonts w:ascii="Verdana" w:hAnsi="Verdana"/>
          <w:kern w:val="2"/>
          <w:sz w:val="18"/>
          <w:szCs w:val="18"/>
        </w:rPr>
      </w:pPr>
    </w:p>
    <w:p w:rsidR="00A27E62" w:rsidRDefault="00F07731" w:rsidP="00E17C57">
      <w:pPr>
        <w:keepNext/>
        <w:keepLines/>
        <w:tabs>
          <w:tab w:val="left" w:pos="2268"/>
        </w:tabs>
        <w:ind w:left="2268"/>
        <w:rPr>
          <w:rFonts w:ascii="Verdana" w:hAnsi="Verdana"/>
          <w:b/>
          <w:kern w:val="2"/>
          <w:sz w:val="18"/>
          <w:szCs w:val="18"/>
        </w:rPr>
      </w:pPr>
      <w:r>
        <w:rPr>
          <w:rFonts w:ascii="Verdana" w:hAnsi="Verdana"/>
          <w:b/>
          <w:sz w:val="18"/>
        </w:rPr>
        <w:t>Stk. 4. Håndhævelse og gennemførlighed</w:t>
      </w:r>
    </w:p>
    <w:p w:rsidR="00E17C57" w:rsidRDefault="00E17C57" w:rsidP="00E17C57">
      <w:pPr>
        <w:keepNext/>
        <w:keepLines/>
        <w:tabs>
          <w:tab w:val="left" w:pos="2268"/>
        </w:tabs>
        <w:ind w:left="2268"/>
        <w:rPr>
          <w:rFonts w:ascii="Verdana" w:hAnsi="Verdana"/>
          <w:kern w:val="2"/>
          <w:sz w:val="18"/>
          <w:szCs w:val="18"/>
        </w:rPr>
      </w:pPr>
    </w:p>
    <w:p w:rsidR="00A27E62" w:rsidRDefault="00A27E62" w:rsidP="00E17C57">
      <w:pPr>
        <w:tabs>
          <w:tab w:val="left" w:pos="2268"/>
        </w:tabs>
        <w:ind w:left="2268"/>
        <w:rPr>
          <w:rFonts w:ascii="Verdana" w:hAnsi="Verdana"/>
          <w:kern w:val="2"/>
          <w:sz w:val="18"/>
          <w:szCs w:val="18"/>
        </w:rPr>
      </w:pPr>
      <w:r>
        <w:rPr>
          <w:rFonts w:ascii="Verdana" w:hAnsi="Verdana"/>
          <w:sz w:val="18"/>
        </w:rPr>
        <w:t>NVWA undersøgte dette udkast til dekret ud fra håndhævelse, gennemførlighed og modstandsdygtighed over for svig. NVWA vurderer, at udkastet til dekret kan håndhæves og gennemføres. Udkastet til dekret giver ikke anledning til bemærkninger vedrørende modstandsdygtighed over for svig.</w:t>
      </w:r>
    </w:p>
    <w:p w:rsidR="00586978" w:rsidRDefault="00586978" w:rsidP="00E17C57">
      <w:pPr>
        <w:tabs>
          <w:tab w:val="left" w:pos="2268"/>
        </w:tabs>
        <w:ind w:left="2268"/>
        <w:rPr>
          <w:rFonts w:ascii="Verdana" w:hAnsi="Verdana"/>
          <w:kern w:val="2"/>
          <w:sz w:val="18"/>
          <w:szCs w:val="18"/>
        </w:rPr>
      </w:pPr>
    </w:p>
    <w:p w:rsidR="008E734A" w:rsidRDefault="00F07731" w:rsidP="00E17C57">
      <w:pPr>
        <w:keepNext/>
        <w:keepLines/>
        <w:tabs>
          <w:tab w:val="left" w:pos="2268"/>
        </w:tabs>
        <w:ind w:left="2268"/>
        <w:rPr>
          <w:rFonts w:ascii="Verdana" w:hAnsi="Verdana"/>
          <w:b/>
          <w:kern w:val="2"/>
          <w:sz w:val="18"/>
          <w:szCs w:val="18"/>
        </w:rPr>
      </w:pPr>
      <w:r>
        <w:rPr>
          <w:rFonts w:ascii="Verdana" w:hAnsi="Verdana"/>
          <w:b/>
          <w:sz w:val="18"/>
        </w:rPr>
        <w:t>Stk. 5. Forudgående undersøgelse</w:t>
      </w:r>
    </w:p>
    <w:p w:rsidR="00E17C57" w:rsidRDefault="00E17C57" w:rsidP="00E17C57">
      <w:pPr>
        <w:keepNext/>
        <w:keepLines/>
        <w:tabs>
          <w:tab w:val="left" w:pos="2268"/>
        </w:tabs>
        <w:ind w:left="2268"/>
        <w:rPr>
          <w:rFonts w:ascii="Verdana" w:hAnsi="Verdana"/>
          <w:kern w:val="2"/>
          <w:sz w:val="18"/>
          <w:szCs w:val="18"/>
        </w:rPr>
      </w:pPr>
    </w:p>
    <w:p w:rsidR="008E734A" w:rsidRPr="008E734A" w:rsidRDefault="008E734A" w:rsidP="00E17C57">
      <w:pPr>
        <w:tabs>
          <w:tab w:val="left" w:pos="2268"/>
        </w:tabs>
        <w:ind w:left="2268"/>
        <w:rPr>
          <w:rFonts w:ascii="Verdana" w:hAnsi="Verdana"/>
          <w:kern w:val="2"/>
          <w:sz w:val="18"/>
          <w:szCs w:val="18"/>
        </w:rPr>
      </w:pPr>
      <w:r>
        <w:rPr>
          <w:rFonts w:ascii="Verdana" w:hAnsi="Verdana"/>
          <w:sz w:val="18"/>
        </w:rPr>
        <w:t>I medfør af artikel 32b, stk. 2, i lov om handelsvarer er et udkast til denne generelle administrative forskrift sendt den (</w:t>
      </w:r>
      <w:r>
        <w:rPr>
          <w:rFonts w:ascii="Verdana" w:hAnsi="Verdana"/>
          <w:b/>
          <w:sz w:val="18"/>
        </w:rPr>
        <w:t>dato</w:t>
      </w:r>
      <w:r>
        <w:rPr>
          <w:rFonts w:ascii="Verdana" w:hAnsi="Verdana"/>
          <w:sz w:val="18"/>
        </w:rPr>
        <w:t xml:space="preserve">) til begge huse i det nederlandske parlament (parlamentariske dokumenter </w:t>
      </w:r>
      <w:r>
        <w:rPr>
          <w:rFonts w:ascii="Verdana" w:hAnsi="Verdana"/>
          <w:b/>
          <w:sz w:val="18"/>
        </w:rPr>
        <w:t>PM</w:t>
      </w:r>
      <w:r>
        <w:rPr>
          <w:rFonts w:ascii="Verdana" w:hAnsi="Verdana"/>
          <w:sz w:val="18"/>
        </w:rPr>
        <w:t>).</w:t>
      </w:r>
    </w:p>
    <w:p w:rsidR="00610A2C" w:rsidRDefault="00610A2C" w:rsidP="00E17C57">
      <w:pPr>
        <w:tabs>
          <w:tab w:val="left" w:pos="2268"/>
        </w:tabs>
        <w:ind w:left="2268"/>
        <w:rPr>
          <w:rFonts w:ascii="Verdana" w:hAnsi="Verdana"/>
          <w:kern w:val="2"/>
          <w:sz w:val="18"/>
          <w:szCs w:val="18"/>
        </w:rPr>
      </w:pPr>
    </w:p>
    <w:p w:rsidR="00B428D8" w:rsidRPr="008F0589" w:rsidRDefault="00F07731" w:rsidP="00E17C57">
      <w:pPr>
        <w:keepNext/>
        <w:keepLines/>
        <w:tabs>
          <w:tab w:val="left" w:pos="2268"/>
        </w:tabs>
        <w:ind w:left="2268"/>
        <w:rPr>
          <w:rFonts w:ascii="Verdana" w:hAnsi="Verdana"/>
          <w:kern w:val="2"/>
          <w:sz w:val="18"/>
          <w:szCs w:val="18"/>
        </w:rPr>
      </w:pPr>
      <w:r>
        <w:rPr>
          <w:rFonts w:ascii="Verdana" w:hAnsi="Verdana"/>
          <w:b/>
          <w:sz w:val="18"/>
        </w:rPr>
        <w:t>Stk. 6. Notifikation</w:t>
      </w:r>
    </w:p>
    <w:p w:rsidR="00E17C57" w:rsidRDefault="00E17C57" w:rsidP="00E17C57">
      <w:pPr>
        <w:keepNext/>
        <w:keepLines/>
        <w:tabs>
          <w:tab w:val="left" w:pos="2268"/>
        </w:tabs>
        <w:ind w:left="2268"/>
        <w:rPr>
          <w:rFonts w:ascii="Verdana" w:hAnsi="Verdana"/>
          <w:sz w:val="18"/>
          <w:szCs w:val="18"/>
        </w:rPr>
      </w:pPr>
    </w:p>
    <w:p w:rsidR="00B428D8" w:rsidRDefault="009345F8" w:rsidP="00E17C57">
      <w:pPr>
        <w:tabs>
          <w:tab w:val="left" w:pos="2268"/>
        </w:tabs>
        <w:ind w:left="2268"/>
        <w:rPr>
          <w:rFonts w:ascii="Verdana" w:hAnsi="Verdana"/>
          <w:sz w:val="18"/>
          <w:szCs w:val="18"/>
        </w:rPr>
      </w:pPr>
      <w:r>
        <w:rPr>
          <w:rFonts w:ascii="Verdana" w:hAnsi="Verdana"/>
          <w:sz w:val="18"/>
        </w:rPr>
        <w:t>Udkastet til dette dekret blev notificeret den ... til Europa-Kommissionen i henhold til artikel 5, stk. 1, i direktiv (EU) 2015/1535</w:t>
      </w:r>
      <w:r>
        <w:rPr>
          <w:rStyle w:val="FootnoteReference"/>
          <w:rFonts w:ascii="Verdana" w:hAnsi="Verdana"/>
          <w:sz w:val="18"/>
        </w:rPr>
        <w:footnoteReference w:id="4"/>
      </w:r>
      <w:r>
        <w:rPr>
          <w:rFonts w:ascii="Verdana" w:hAnsi="Verdana"/>
          <w:sz w:val="18"/>
        </w:rPr>
        <w:t>. Det er påkrævet at foretage anmeldelse til Europa-Kommissionen, eftersom artikel I i dette dekret indeholder tekniske forskrifter som defineret i direktiv (EU) 2015/1535. Yderligere til denne notifikation</w:t>
      </w:r>
    </w:p>
    <w:p w:rsidR="00E17C57" w:rsidRPr="00BB02A9" w:rsidRDefault="00E17C57" w:rsidP="00E17C57">
      <w:pPr>
        <w:tabs>
          <w:tab w:val="left" w:pos="2268"/>
        </w:tabs>
        <w:ind w:left="2268"/>
        <w:rPr>
          <w:rFonts w:ascii="Verdana" w:hAnsi="Verdana"/>
          <w:kern w:val="2"/>
          <w:sz w:val="18"/>
          <w:szCs w:val="18"/>
        </w:rPr>
      </w:pPr>
    </w:p>
    <w:p w:rsidR="00B428D8" w:rsidRPr="008F0589" w:rsidRDefault="00B428D8" w:rsidP="00E17C57">
      <w:pPr>
        <w:tabs>
          <w:tab w:val="left" w:pos="2268"/>
        </w:tabs>
        <w:ind w:left="2268"/>
        <w:rPr>
          <w:rFonts w:ascii="Verdana" w:hAnsi="Verdana"/>
          <w:kern w:val="2"/>
          <w:sz w:val="18"/>
          <w:szCs w:val="18"/>
        </w:rPr>
      </w:pPr>
      <w:r>
        <w:rPr>
          <w:rFonts w:ascii="Verdana" w:hAnsi="Verdana"/>
          <w:sz w:val="18"/>
        </w:rPr>
        <w:t>Når dette udkast til dekret indeholder kvantitative importbegrænsninger eller foranstaltninger med tilsvarende virkning i medfør af artikel 34 i traktaten om Den Europæiske Unions funktionsmåde, er disse foranstaltninger begrundet af hensyn til folkesundheden i henhold til artikel 36 i traktaten.</w:t>
      </w:r>
    </w:p>
    <w:p w:rsidR="005E47AF" w:rsidRPr="005C6A30" w:rsidRDefault="005E47AF" w:rsidP="00E17C57">
      <w:pPr>
        <w:tabs>
          <w:tab w:val="left" w:pos="2268"/>
        </w:tabs>
        <w:ind w:left="2268"/>
        <w:rPr>
          <w:rFonts w:ascii="Verdana" w:hAnsi="Verdana"/>
          <w:kern w:val="2"/>
          <w:sz w:val="18"/>
          <w:szCs w:val="18"/>
        </w:rPr>
      </w:pPr>
    </w:p>
    <w:p w:rsidR="00A82D46" w:rsidRPr="005C6A30" w:rsidRDefault="00F07731" w:rsidP="00E17C57">
      <w:pPr>
        <w:keepNext/>
        <w:keepLines/>
        <w:tabs>
          <w:tab w:val="left" w:pos="2268"/>
        </w:tabs>
        <w:ind w:left="2268"/>
        <w:rPr>
          <w:rFonts w:ascii="Verdana" w:hAnsi="Verdana"/>
          <w:b/>
          <w:kern w:val="2"/>
          <w:sz w:val="18"/>
          <w:szCs w:val="18"/>
        </w:rPr>
      </w:pPr>
      <w:r>
        <w:rPr>
          <w:rFonts w:ascii="Verdana" w:hAnsi="Verdana"/>
          <w:b/>
          <w:sz w:val="18"/>
        </w:rPr>
        <w:t>Stk. 7. Efter artikel</w:t>
      </w:r>
    </w:p>
    <w:p w:rsidR="00F120A1" w:rsidRPr="005C6A30" w:rsidRDefault="00F120A1" w:rsidP="00E17C57">
      <w:pPr>
        <w:keepNext/>
        <w:keepLines/>
        <w:tabs>
          <w:tab w:val="left" w:pos="2268"/>
        </w:tabs>
        <w:ind w:left="2268"/>
        <w:rPr>
          <w:rFonts w:ascii="Verdana" w:hAnsi="Verdana"/>
          <w:kern w:val="2"/>
          <w:sz w:val="18"/>
          <w:szCs w:val="18"/>
        </w:rPr>
      </w:pPr>
    </w:p>
    <w:p w:rsidR="0095665C" w:rsidRPr="00AD2E4A" w:rsidRDefault="0095665C" w:rsidP="00E17C57">
      <w:pPr>
        <w:keepNext/>
        <w:keepLines/>
        <w:tabs>
          <w:tab w:val="left" w:pos="2268"/>
        </w:tabs>
        <w:ind w:left="2268"/>
        <w:rPr>
          <w:rFonts w:ascii="Verdana" w:hAnsi="Verdana"/>
          <w:i/>
          <w:kern w:val="2"/>
          <w:sz w:val="18"/>
          <w:szCs w:val="18"/>
        </w:rPr>
      </w:pPr>
      <w:r>
        <w:rPr>
          <w:rFonts w:ascii="Verdana" w:hAnsi="Verdana"/>
          <w:i/>
          <w:sz w:val="18"/>
        </w:rPr>
        <w:t>Artikel I, del A, stk. 1 og 4, og del D, stk. 2</w:t>
      </w:r>
    </w:p>
    <w:p w:rsidR="00670294" w:rsidRDefault="00FC0162" w:rsidP="00E17C57">
      <w:pPr>
        <w:tabs>
          <w:tab w:val="left" w:pos="2268"/>
        </w:tabs>
        <w:ind w:left="2268"/>
        <w:rPr>
          <w:rFonts w:ascii="Verdana" w:hAnsi="Verdana"/>
          <w:kern w:val="2"/>
          <w:sz w:val="18"/>
          <w:szCs w:val="18"/>
        </w:rPr>
      </w:pPr>
      <w:r>
        <w:rPr>
          <w:rFonts w:ascii="Verdana" w:hAnsi="Verdana"/>
          <w:sz w:val="18"/>
        </w:rPr>
        <w:t>Denne ændring forbedrer håndhævelse. Inden ikrafttrædelse af dette dekret får artikel 4, stk. 1, i varelovdekretet om drogetilberedninger følgende ordlyd:</w:t>
      </w:r>
    </w:p>
    <w:p w:rsidR="00670294" w:rsidRPr="009345F8" w:rsidRDefault="00670294" w:rsidP="00E17C57">
      <w:pPr>
        <w:tabs>
          <w:tab w:val="left" w:pos="2268"/>
        </w:tabs>
        <w:ind w:left="2268"/>
        <w:rPr>
          <w:rFonts w:ascii="Verdana" w:hAnsi="Verdana"/>
          <w:i/>
          <w:kern w:val="2"/>
          <w:sz w:val="18"/>
          <w:szCs w:val="18"/>
        </w:rPr>
      </w:pPr>
      <w:r>
        <w:rPr>
          <w:rFonts w:ascii="Verdana" w:hAnsi="Verdana"/>
          <w:i/>
          <w:sz w:val="18"/>
        </w:rPr>
        <w:lastRenderedPageBreak/>
        <w:t>Mængden af toksiske pyrrolizidinalkaloider fra drogetilberedninger, som består af materiale, der helt eller delvist stammer fra planter som angivet i del I i bilaget eller fra andre planter, som forventes at indeholde toksiske pyrrolizidinalkaloider, må ikke overstige henholdsvis 1 µg per kg eller per liter.</w:t>
      </w:r>
    </w:p>
    <w:p w:rsidR="00670294" w:rsidRDefault="00670294" w:rsidP="00E17C57">
      <w:pPr>
        <w:tabs>
          <w:tab w:val="left" w:pos="2268"/>
        </w:tabs>
        <w:ind w:left="2268"/>
        <w:rPr>
          <w:rFonts w:ascii="Verdana" w:hAnsi="Verdana"/>
          <w:kern w:val="2"/>
          <w:sz w:val="18"/>
          <w:szCs w:val="18"/>
        </w:rPr>
      </w:pPr>
    </w:p>
    <w:p w:rsidR="00670294" w:rsidRDefault="00670294" w:rsidP="00E17C57">
      <w:pPr>
        <w:tabs>
          <w:tab w:val="left" w:pos="2268"/>
        </w:tabs>
        <w:ind w:left="2268"/>
        <w:rPr>
          <w:rFonts w:ascii="Verdana" w:hAnsi="Verdana"/>
          <w:kern w:val="2"/>
          <w:sz w:val="18"/>
          <w:szCs w:val="18"/>
        </w:rPr>
      </w:pPr>
      <w:r>
        <w:rPr>
          <w:rFonts w:ascii="Verdana" w:hAnsi="Verdana"/>
          <w:sz w:val="18"/>
        </w:rPr>
        <w:t>Ud fra denne ordlyd kan embedsmanden, som forestår tilsynet, ikke bare fastsætte et overdrevent højt niveau af toksiske pyrrolizidinalkaloider i drogetilberedninger. Embedsmanden skal også dokumentere deres oprindelse. Dette resulterede i problemer med tilsyn af overholdelse af denne bestemmelse.</w:t>
      </w:r>
    </w:p>
    <w:p w:rsidR="00670294" w:rsidRDefault="00670294" w:rsidP="00E17C57">
      <w:pPr>
        <w:tabs>
          <w:tab w:val="left" w:pos="2268"/>
        </w:tabs>
        <w:ind w:left="2268"/>
        <w:rPr>
          <w:rFonts w:ascii="Verdana" w:hAnsi="Verdana"/>
          <w:kern w:val="2"/>
          <w:sz w:val="18"/>
          <w:szCs w:val="18"/>
        </w:rPr>
      </w:pPr>
    </w:p>
    <w:p w:rsidR="00670294" w:rsidRPr="00B71129" w:rsidRDefault="00BB02A9" w:rsidP="00E17C57">
      <w:pPr>
        <w:tabs>
          <w:tab w:val="left" w:pos="2268"/>
        </w:tabs>
        <w:ind w:left="2268"/>
        <w:rPr>
          <w:rFonts w:ascii="Verdana" w:hAnsi="Verdana"/>
          <w:kern w:val="2"/>
          <w:sz w:val="18"/>
          <w:szCs w:val="18"/>
        </w:rPr>
      </w:pPr>
      <w:r>
        <w:rPr>
          <w:rFonts w:ascii="Verdana" w:hAnsi="Verdana"/>
          <w:sz w:val="18"/>
        </w:rPr>
        <w:t>Artikel I, del A, stk. 1, i dette dekret ændrer artikel 4, stk. 1, for at løse de problemer beskrevet i foregående stykke. Stk. 1 fastlægger nu en maksimal mængde toksiske pyrrolizidinalkaloider i drogetilberedninger, uanset deres oprindelse. Del I i bilaget kan derfor fjernes (artikel I, del D, stk. 2).</w:t>
      </w:r>
    </w:p>
    <w:p w:rsidR="00AB3B66" w:rsidRPr="00B71129" w:rsidRDefault="00AB3B66" w:rsidP="00E17C57">
      <w:pPr>
        <w:tabs>
          <w:tab w:val="left" w:pos="2268"/>
        </w:tabs>
        <w:ind w:left="2268"/>
        <w:rPr>
          <w:rFonts w:ascii="Verdana" w:hAnsi="Verdana"/>
          <w:kern w:val="2"/>
          <w:sz w:val="18"/>
          <w:szCs w:val="18"/>
        </w:rPr>
      </w:pPr>
    </w:p>
    <w:p w:rsidR="00430B87" w:rsidRPr="0042448A" w:rsidRDefault="00430B87" w:rsidP="00E17C57">
      <w:pPr>
        <w:ind w:left="2268"/>
        <w:rPr>
          <w:rFonts w:ascii="Verdana" w:hAnsi="Verdana"/>
          <w:sz w:val="18"/>
          <w:szCs w:val="18"/>
        </w:rPr>
      </w:pPr>
      <w:r>
        <w:rPr>
          <w:rFonts w:ascii="Verdana" w:hAnsi="Verdana"/>
          <w:sz w:val="18"/>
        </w:rPr>
        <w:t>På kort sigt forventes det, at der tilføjes krav om de maksimale mængder af toksiske pyrrolizidinalkaloider i kosttilskud og drogetilberedninger til forordning (EF) 1881/2006</w:t>
      </w:r>
      <w:r>
        <w:rPr>
          <w:rStyle w:val="FootnoteReference"/>
          <w:rFonts w:ascii="Verdana" w:hAnsi="Verdana"/>
          <w:sz w:val="18"/>
        </w:rPr>
        <w:footnoteReference w:id="5"/>
      </w:r>
      <w:r>
        <w:rPr>
          <w:rFonts w:ascii="Verdana" w:hAnsi="Verdana"/>
          <w:sz w:val="18"/>
        </w:rPr>
        <w:t>. I forventning herom føjes en ny artikel 4, stk. 6, til varelovdekretet om drogetilberedninger, så stk. 1 ikke længere finder anvendelse for tilfælde, der er dækket af bestemmelserne i forordning (EF) 1881/2006. Denne bestemmelse forventer fremtidige udvidelser af bestemmelserne i forordning (EF) 1881/2006 om pyrrolizidinalkaloider.</w:t>
      </w:r>
    </w:p>
    <w:p w:rsidR="00430B87" w:rsidRPr="0042448A" w:rsidRDefault="00430B87" w:rsidP="00E17C57">
      <w:pPr>
        <w:ind w:left="2268"/>
        <w:rPr>
          <w:rFonts w:ascii="Verdana" w:hAnsi="Verdana"/>
          <w:sz w:val="18"/>
          <w:szCs w:val="18"/>
        </w:rPr>
      </w:pPr>
    </w:p>
    <w:p w:rsidR="00430B87" w:rsidRDefault="00430B87" w:rsidP="00E17C57">
      <w:pPr>
        <w:ind w:left="2268"/>
        <w:rPr>
          <w:rFonts w:ascii="Verdana" w:hAnsi="Verdana"/>
          <w:sz w:val="18"/>
          <w:szCs w:val="18"/>
        </w:rPr>
      </w:pPr>
      <w:r>
        <w:rPr>
          <w:rFonts w:ascii="Verdana" w:hAnsi="Verdana"/>
          <w:sz w:val="18"/>
        </w:rPr>
        <w:t>Den maksimale grænse i artikel 4, stk. 1, i varelovdekretet om drogetilberedninger forbliver gældende for andre drogetilberedninger, som ikke er anført i bilaget til forordning (EF) nr. 1881/2006, dvs.: henholdsvis 1 µg/kg eller per liter.</w:t>
      </w:r>
    </w:p>
    <w:p w:rsidR="00E17C57" w:rsidRPr="00B71129" w:rsidRDefault="00E17C57" w:rsidP="00E17C57">
      <w:pPr>
        <w:ind w:left="2268"/>
        <w:rPr>
          <w:rFonts w:ascii="Verdana" w:hAnsi="Verdana"/>
          <w:sz w:val="18"/>
          <w:szCs w:val="18"/>
        </w:rPr>
      </w:pPr>
    </w:p>
    <w:p w:rsidR="00FC0162" w:rsidRPr="00B71129" w:rsidRDefault="00FC0162" w:rsidP="00E17C57">
      <w:pPr>
        <w:keepNext/>
        <w:keepLines/>
        <w:tabs>
          <w:tab w:val="left" w:pos="2268"/>
        </w:tabs>
        <w:ind w:left="2268"/>
        <w:rPr>
          <w:rFonts w:ascii="Verdana" w:hAnsi="Verdana"/>
          <w:i/>
          <w:kern w:val="2"/>
          <w:sz w:val="18"/>
          <w:szCs w:val="18"/>
        </w:rPr>
      </w:pPr>
      <w:r>
        <w:rPr>
          <w:rFonts w:ascii="Verdana" w:hAnsi="Verdana"/>
          <w:i/>
          <w:sz w:val="18"/>
        </w:rPr>
        <w:t>Artikel I, del A, stk. 2</w:t>
      </w:r>
    </w:p>
    <w:p w:rsidR="00FC0162" w:rsidRDefault="00FC0162" w:rsidP="00E17C57">
      <w:pPr>
        <w:tabs>
          <w:tab w:val="left" w:pos="2268"/>
        </w:tabs>
        <w:ind w:left="2268"/>
        <w:rPr>
          <w:rFonts w:ascii="Verdana" w:hAnsi="Verdana"/>
          <w:kern w:val="2"/>
          <w:sz w:val="18"/>
          <w:szCs w:val="18"/>
        </w:rPr>
      </w:pPr>
      <w:r>
        <w:rPr>
          <w:rFonts w:ascii="Verdana" w:hAnsi="Verdana"/>
          <w:sz w:val="18"/>
        </w:rPr>
        <w:t>Artikel 4, stk. 2, i varelovdekretet om drogetilberedninger angiver flere stoffer, som ikke må forekomme i drogetilberedninger af hensyn til folkesundheden. På baggrund af undersøgelser</w:t>
      </w:r>
      <w:r>
        <w:rPr>
          <w:rStyle w:val="FootnoteReference"/>
          <w:rFonts w:ascii="Verdana" w:hAnsi="Verdana"/>
          <w:kern w:val="2"/>
          <w:sz w:val="18"/>
        </w:rPr>
        <w:footnoteReference w:id="6"/>
      </w:r>
      <w:r>
        <w:rPr>
          <w:rFonts w:ascii="Verdana" w:hAnsi="Verdana"/>
          <w:sz w:val="18"/>
        </w:rPr>
        <w:t xml:space="preserve"> har RIVM anbefalet at udvide listen med flere stoffer, som virker til at have toksiske eller endda akutte toksiske virkninger. Disse anbefalinger er gennemført. De pågældende stoffer er derfor føjet til artikel 4, stk. 2, i varelovdekretet om drogetilberedninger. Det tidligere litra a) og b) (aristolochiasyrer og yohimbinalkaloider eller derivater heraf) blev herefter føjet til listen i alfabetisk rækkefølge.</w:t>
      </w:r>
    </w:p>
    <w:p w:rsidR="00FC0162" w:rsidRDefault="00FC0162" w:rsidP="00E17C57">
      <w:pPr>
        <w:tabs>
          <w:tab w:val="left" w:pos="2268"/>
        </w:tabs>
        <w:ind w:left="2268"/>
        <w:rPr>
          <w:rFonts w:ascii="Verdana" w:hAnsi="Verdana"/>
          <w:kern w:val="2"/>
          <w:sz w:val="18"/>
          <w:szCs w:val="18"/>
        </w:rPr>
      </w:pPr>
    </w:p>
    <w:p w:rsidR="00FC0162" w:rsidRDefault="00FC0162" w:rsidP="00E17C57">
      <w:pPr>
        <w:tabs>
          <w:tab w:val="left" w:pos="2268"/>
        </w:tabs>
        <w:ind w:left="2268"/>
        <w:rPr>
          <w:rFonts w:ascii="Verdana" w:hAnsi="Verdana"/>
          <w:kern w:val="2"/>
          <w:sz w:val="18"/>
          <w:szCs w:val="18"/>
        </w:rPr>
      </w:pPr>
      <w:r>
        <w:rPr>
          <w:rFonts w:ascii="Verdana" w:hAnsi="Verdana"/>
          <w:sz w:val="18"/>
        </w:rPr>
        <w:lastRenderedPageBreak/>
        <w:t>Det nye litra g) omhandler olie fra Artemisia absinthium. Denne litra fastlægger, at forbuddet mod den førnævnte olie i drogetilberedninger ikke gælder for forekomsten af thujon i drikkevarer af typen Artemisia, hvis forekomsten heraf er tilladt i artikel 6, stk. 2, og bilag III, del B, i forordning (EF) 1334/2008</w:t>
      </w:r>
      <w:r>
        <w:rPr>
          <w:rStyle w:val="FootnoteReference"/>
          <w:rFonts w:ascii="Verdana" w:hAnsi="Verdana"/>
          <w:kern w:val="2"/>
          <w:sz w:val="18"/>
        </w:rPr>
        <w:footnoteReference w:id="7"/>
      </w:r>
      <w:r>
        <w:rPr>
          <w:rFonts w:ascii="Verdana" w:hAnsi="Verdana"/>
          <w:sz w:val="18"/>
        </w:rPr>
        <w:t>.</w:t>
      </w:r>
    </w:p>
    <w:p w:rsidR="00670294" w:rsidRDefault="00670294" w:rsidP="00E17C57">
      <w:pPr>
        <w:tabs>
          <w:tab w:val="left" w:pos="2268"/>
        </w:tabs>
        <w:ind w:left="2268"/>
        <w:rPr>
          <w:rFonts w:ascii="Verdana" w:hAnsi="Verdana"/>
          <w:kern w:val="2"/>
          <w:sz w:val="18"/>
          <w:szCs w:val="18"/>
        </w:rPr>
      </w:pPr>
    </w:p>
    <w:p w:rsidR="00AD2E4A" w:rsidRPr="00AD2E4A" w:rsidRDefault="00AD2E4A" w:rsidP="00E17C57">
      <w:pPr>
        <w:keepNext/>
        <w:keepLines/>
        <w:tabs>
          <w:tab w:val="left" w:pos="2268"/>
        </w:tabs>
        <w:ind w:left="2268"/>
        <w:rPr>
          <w:rFonts w:ascii="Verdana" w:hAnsi="Verdana"/>
          <w:i/>
          <w:kern w:val="2"/>
          <w:sz w:val="18"/>
          <w:szCs w:val="18"/>
        </w:rPr>
      </w:pPr>
      <w:r>
        <w:rPr>
          <w:rFonts w:ascii="Verdana" w:hAnsi="Verdana"/>
          <w:i/>
          <w:sz w:val="18"/>
        </w:rPr>
        <w:t>Artikel I, del A, stk. 3, og del D, stk. 1 og 3</w:t>
      </w:r>
    </w:p>
    <w:p w:rsidR="00670294" w:rsidRDefault="005D7072" w:rsidP="00E17C57">
      <w:pPr>
        <w:tabs>
          <w:tab w:val="left" w:pos="2268"/>
        </w:tabs>
        <w:ind w:left="2268"/>
        <w:rPr>
          <w:rFonts w:ascii="Verdana" w:hAnsi="Verdana"/>
          <w:kern w:val="2"/>
          <w:sz w:val="18"/>
          <w:szCs w:val="18"/>
        </w:rPr>
      </w:pPr>
      <w:r>
        <w:rPr>
          <w:rFonts w:ascii="Verdana" w:hAnsi="Verdana"/>
          <w:sz w:val="18"/>
        </w:rPr>
        <w:t>Ved ikrafttrædelsestidspunktet for dette dekret indeholder bilaget til varelovdekretet om drogetilberedninger kun det, som før blev kaldt del II, hvilket nu hedder "bilaget". Henvisningen til del II i bilaget i artikel 4, stk. 3, i varelovdekretet om drogetilberedninger ændres derfor til en henvisning til "bilaget".</w:t>
      </w:r>
    </w:p>
    <w:p w:rsidR="00B561EB" w:rsidRDefault="00B561EB" w:rsidP="00E17C57">
      <w:pPr>
        <w:tabs>
          <w:tab w:val="left" w:pos="2268"/>
        </w:tabs>
        <w:ind w:left="2268"/>
        <w:rPr>
          <w:rFonts w:ascii="Verdana" w:hAnsi="Verdana"/>
          <w:kern w:val="2"/>
          <w:sz w:val="18"/>
          <w:szCs w:val="18"/>
        </w:rPr>
      </w:pPr>
    </w:p>
    <w:p w:rsidR="005059AF" w:rsidRPr="00485F0F" w:rsidRDefault="00485F0F" w:rsidP="00E17C57">
      <w:pPr>
        <w:keepNext/>
        <w:keepLines/>
        <w:tabs>
          <w:tab w:val="left" w:pos="2268"/>
        </w:tabs>
        <w:ind w:left="2268"/>
        <w:rPr>
          <w:rFonts w:ascii="Verdana" w:hAnsi="Verdana"/>
          <w:i/>
          <w:kern w:val="2"/>
          <w:sz w:val="18"/>
          <w:szCs w:val="18"/>
        </w:rPr>
      </w:pPr>
      <w:r>
        <w:rPr>
          <w:rFonts w:ascii="Verdana" w:hAnsi="Verdana"/>
          <w:i/>
          <w:sz w:val="18"/>
        </w:rPr>
        <w:t>Artikel I, del A, stk. 4</w:t>
      </w:r>
    </w:p>
    <w:p w:rsidR="003C006F" w:rsidRPr="00C5642F" w:rsidRDefault="003C006F" w:rsidP="00E17C57">
      <w:pPr>
        <w:tabs>
          <w:tab w:val="left" w:pos="2268"/>
        </w:tabs>
        <w:ind w:left="2268"/>
        <w:rPr>
          <w:rFonts w:ascii="Verdana" w:hAnsi="Verdana"/>
          <w:kern w:val="2"/>
          <w:sz w:val="18"/>
          <w:szCs w:val="18"/>
        </w:rPr>
      </w:pPr>
      <w:r>
        <w:rPr>
          <w:rFonts w:ascii="Verdana" w:hAnsi="Verdana"/>
          <w:sz w:val="18"/>
        </w:rPr>
        <w:t>På baggrund af førnævnte RIVM-rapport og BuRO's anbefaling om synephrin er det på baggrund af førstnævnte blevet besluttet at forbyde tilsætning af m- og o-synephrin til drogetilberedninger. Af BuRO's anbefaling følger en maksimal daglig mængde på 27 mg p-synephrin, som indtages via fødevarer. Dette maksimum er inkluderet i artikel 4, stk. 4.</w:t>
      </w:r>
    </w:p>
    <w:p w:rsidR="008250DF" w:rsidRPr="008250DF" w:rsidRDefault="008250DF" w:rsidP="00E17C57">
      <w:pPr>
        <w:tabs>
          <w:tab w:val="left" w:pos="2268"/>
        </w:tabs>
        <w:ind w:left="2268"/>
        <w:rPr>
          <w:rFonts w:ascii="Verdana" w:hAnsi="Verdana"/>
          <w:kern w:val="2"/>
          <w:sz w:val="18"/>
          <w:szCs w:val="18"/>
        </w:rPr>
      </w:pPr>
      <w:r>
        <w:rPr>
          <w:rFonts w:ascii="Verdana" w:hAnsi="Verdana"/>
          <w:sz w:val="18"/>
        </w:rPr>
        <w:t>Ricinus com</w:t>
      </w:r>
      <w:r w:rsidR="00FF2525">
        <w:rPr>
          <w:rFonts w:ascii="Verdana" w:hAnsi="Verdana"/>
          <w:sz w:val="18"/>
        </w:rPr>
        <w:t xml:space="preserve">munis blev medtaget i del II i </w:t>
      </w:r>
      <w:r>
        <w:rPr>
          <w:rFonts w:ascii="Verdana" w:hAnsi="Verdana"/>
          <w:sz w:val="18"/>
        </w:rPr>
        <w:t>varelovdekretet om drogetilberedninger. Den nuværende artikel 4, stk. 3, fastlægger, at drogetilberedninger ikke må indeholde materialer, som helt eller delvist stammer fra Ricinus communis. RIVM</w:t>
      </w:r>
      <w:r>
        <w:rPr>
          <w:rStyle w:val="FootnoteReference"/>
          <w:rFonts w:ascii="Verdana" w:hAnsi="Verdana"/>
          <w:kern w:val="2"/>
          <w:sz w:val="18"/>
        </w:rPr>
        <w:footnoteReference w:id="8"/>
      </w:r>
      <w:r>
        <w:rPr>
          <w:rFonts w:ascii="Verdana" w:hAnsi="Verdana"/>
          <w:sz w:val="18"/>
        </w:rPr>
        <w:t>-undersøgelsen angiver også, at et dagligt indtag på op til 0,4 g olie udvindet af Ricinus communis-frø ikke er skadeligt for folkesundheden. Som følge heraf føjes en ny artikel 4, stk. 5, til varelovdekretet om drogetilberedninger for at muliggøre ovenstående faktum.</w:t>
      </w:r>
    </w:p>
    <w:p w:rsidR="00FC5154" w:rsidRDefault="00FC5154" w:rsidP="00E17C57">
      <w:pPr>
        <w:tabs>
          <w:tab w:val="left" w:pos="2268"/>
        </w:tabs>
        <w:ind w:left="2268"/>
        <w:rPr>
          <w:rFonts w:ascii="Verdana" w:hAnsi="Verdana"/>
          <w:kern w:val="2"/>
          <w:sz w:val="18"/>
          <w:szCs w:val="18"/>
        </w:rPr>
      </w:pPr>
    </w:p>
    <w:p w:rsidR="002714CE" w:rsidRPr="002714CE" w:rsidRDefault="002714CE" w:rsidP="00E17C57">
      <w:pPr>
        <w:keepNext/>
        <w:keepLines/>
        <w:tabs>
          <w:tab w:val="left" w:pos="2268"/>
        </w:tabs>
        <w:ind w:left="2268"/>
        <w:rPr>
          <w:rFonts w:ascii="Verdana" w:hAnsi="Verdana"/>
          <w:i/>
          <w:kern w:val="2"/>
          <w:sz w:val="18"/>
          <w:szCs w:val="18"/>
        </w:rPr>
      </w:pPr>
      <w:r>
        <w:rPr>
          <w:rFonts w:ascii="Verdana" w:hAnsi="Verdana"/>
          <w:i/>
          <w:sz w:val="18"/>
        </w:rPr>
        <w:t>Artikel I, del B</w:t>
      </w:r>
    </w:p>
    <w:p w:rsidR="002714CE" w:rsidRPr="003D0C77" w:rsidRDefault="002714CE" w:rsidP="00E17C57">
      <w:pPr>
        <w:tabs>
          <w:tab w:val="left" w:pos="2268"/>
        </w:tabs>
        <w:ind w:left="2268"/>
        <w:rPr>
          <w:rFonts w:ascii="Verdana" w:hAnsi="Verdana"/>
          <w:kern w:val="2"/>
          <w:sz w:val="18"/>
          <w:szCs w:val="18"/>
        </w:rPr>
      </w:pPr>
      <w:r>
        <w:rPr>
          <w:rFonts w:ascii="Verdana" w:hAnsi="Verdana"/>
          <w:sz w:val="18"/>
        </w:rPr>
        <w:t>I artikel 6 indsættes et nyt stk. 3. Det skaber mulighed for at udstede en ministeriel bekendtgørelse, der fastlægger yderligere regler om den anbefalede brug og dosering nævnt i stk. 1 og 2. Dette finder anvendelse for stoffer, som kan have en sundhedsskadelig virkning under visse brugs- og doseringsforhold. Den anbefalede brug og dosering kan bruges til at advare forbrugere herom.</w:t>
      </w:r>
    </w:p>
    <w:p w:rsidR="00FC5154" w:rsidRDefault="00FC5154" w:rsidP="00E17C57">
      <w:pPr>
        <w:tabs>
          <w:tab w:val="left" w:pos="2268"/>
        </w:tabs>
        <w:ind w:left="2268"/>
        <w:rPr>
          <w:rFonts w:ascii="Verdana" w:hAnsi="Verdana"/>
          <w:kern w:val="2"/>
          <w:sz w:val="18"/>
          <w:szCs w:val="18"/>
        </w:rPr>
      </w:pPr>
    </w:p>
    <w:p w:rsidR="003143CD" w:rsidRPr="003143CD" w:rsidRDefault="003143CD" w:rsidP="00E17C57">
      <w:pPr>
        <w:keepNext/>
        <w:keepLines/>
        <w:tabs>
          <w:tab w:val="left" w:pos="2268"/>
        </w:tabs>
        <w:ind w:left="2268"/>
        <w:rPr>
          <w:rFonts w:ascii="Verdana" w:hAnsi="Verdana"/>
          <w:i/>
          <w:kern w:val="2"/>
          <w:sz w:val="18"/>
          <w:szCs w:val="18"/>
        </w:rPr>
      </w:pPr>
      <w:r>
        <w:rPr>
          <w:rFonts w:ascii="Verdana" w:hAnsi="Verdana"/>
          <w:i/>
          <w:sz w:val="18"/>
        </w:rPr>
        <w:t>Artikel I, del C og del D, stk. 10</w:t>
      </w:r>
    </w:p>
    <w:p w:rsidR="003143CD" w:rsidRDefault="003143CD" w:rsidP="00E17C57">
      <w:pPr>
        <w:tabs>
          <w:tab w:val="left" w:pos="2268"/>
        </w:tabs>
        <w:ind w:left="2268"/>
        <w:rPr>
          <w:rFonts w:ascii="Verdana" w:hAnsi="Verdana"/>
          <w:kern w:val="2"/>
          <w:sz w:val="18"/>
          <w:szCs w:val="18"/>
        </w:rPr>
      </w:pPr>
      <w:r>
        <w:rPr>
          <w:rFonts w:ascii="Verdana" w:hAnsi="Verdana"/>
          <w:sz w:val="18"/>
        </w:rPr>
        <w:t>Ændringen medfører detaljerede overgangsbestemmelser.</w:t>
      </w:r>
    </w:p>
    <w:p w:rsidR="00E17C57" w:rsidRDefault="00E17C57" w:rsidP="00E17C57">
      <w:pPr>
        <w:tabs>
          <w:tab w:val="left" w:pos="2268"/>
        </w:tabs>
        <w:ind w:left="2268"/>
        <w:rPr>
          <w:rFonts w:ascii="Verdana" w:hAnsi="Verdana"/>
          <w:kern w:val="2"/>
          <w:sz w:val="18"/>
          <w:szCs w:val="18"/>
        </w:rPr>
      </w:pPr>
    </w:p>
    <w:p w:rsidR="00DE4D7B" w:rsidRPr="00DE4D7B" w:rsidRDefault="00773541" w:rsidP="00E17C57">
      <w:pPr>
        <w:keepNext/>
        <w:keepLines/>
        <w:tabs>
          <w:tab w:val="left" w:pos="2268"/>
        </w:tabs>
        <w:ind w:left="2268"/>
        <w:rPr>
          <w:rFonts w:ascii="Verdana" w:hAnsi="Verdana"/>
          <w:i/>
          <w:kern w:val="2"/>
          <w:sz w:val="18"/>
          <w:szCs w:val="18"/>
        </w:rPr>
      </w:pPr>
      <w:r>
        <w:rPr>
          <w:rFonts w:ascii="Verdana" w:hAnsi="Verdana"/>
          <w:i/>
          <w:sz w:val="18"/>
        </w:rPr>
        <w:t>Artikel I, del D, stk. 4-9</w:t>
      </w:r>
    </w:p>
    <w:p w:rsidR="007C6E9D" w:rsidRDefault="007C6E9D" w:rsidP="00E17C57">
      <w:pPr>
        <w:tabs>
          <w:tab w:val="left" w:pos="2268"/>
        </w:tabs>
        <w:ind w:left="2268"/>
        <w:rPr>
          <w:rFonts w:ascii="Verdana" w:hAnsi="Verdana"/>
          <w:kern w:val="2"/>
          <w:sz w:val="18"/>
          <w:szCs w:val="18"/>
        </w:rPr>
      </w:pPr>
      <w:r>
        <w:rPr>
          <w:rFonts w:ascii="Verdana" w:hAnsi="Verdana"/>
          <w:sz w:val="18"/>
        </w:rPr>
        <w:t>Den ændrede artikel 4, stk. 3, i varelovdekretet om drogetilberedninger fastlægger, at drogetilberedninger ikke må indeholde materialer, som helt eller delvist stammer fra planter og svampe anført i bilaget. Der føjes nu flere planter til bilaget (tidligere kaldet del II i bilaget), da de har en potentiel alvorlig sundhedsskadelig virkning på mennesker (artikel I, del D, stk. 4).</w:t>
      </w:r>
    </w:p>
    <w:p w:rsidR="00DD3086" w:rsidRDefault="00DD3086" w:rsidP="00E17C57">
      <w:pPr>
        <w:tabs>
          <w:tab w:val="left" w:pos="2268"/>
        </w:tabs>
        <w:ind w:left="2268"/>
        <w:rPr>
          <w:rFonts w:ascii="Verdana" w:hAnsi="Verdana"/>
          <w:kern w:val="2"/>
          <w:sz w:val="18"/>
          <w:szCs w:val="18"/>
        </w:rPr>
      </w:pPr>
    </w:p>
    <w:p w:rsidR="007F2C23" w:rsidRDefault="00DD3086" w:rsidP="00E17C57">
      <w:pPr>
        <w:tabs>
          <w:tab w:val="left" w:pos="2268"/>
        </w:tabs>
        <w:ind w:left="2268"/>
        <w:rPr>
          <w:rFonts w:ascii="Verdana" w:hAnsi="Verdana"/>
          <w:kern w:val="2"/>
          <w:sz w:val="18"/>
          <w:szCs w:val="18"/>
        </w:rPr>
      </w:pPr>
      <w:r>
        <w:rPr>
          <w:rFonts w:ascii="Verdana" w:hAnsi="Verdana"/>
          <w:sz w:val="18"/>
        </w:rPr>
        <w:lastRenderedPageBreak/>
        <w:t>Artikel I, del D, stk. 5-9, i dette dekret korrigerer flere mangler i den tidligere del II i bilaget. For det første er flere tastefejl nu rettet. For det andet er det gjort klart, at den giftige plante Bryonia alba ikke har noget at gøre med Brassica nigra (sort sennep). Førhen blev de utilsigtet placeret ved siden af hinanden i bilaget. De forekommer nu over hinanden for at gøre det klart, at de er forskellige planter.</w:t>
      </w:r>
    </w:p>
    <w:p w:rsidR="00E17C57" w:rsidRDefault="00E17C57" w:rsidP="00E17C57">
      <w:pPr>
        <w:tabs>
          <w:tab w:val="left" w:pos="2268"/>
        </w:tabs>
        <w:ind w:left="2268"/>
        <w:rPr>
          <w:rFonts w:ascii="Verdana" w:hAnsi="Verdana"/>
          <w:kern w:val="2"/>
          <w:sz w:val="18"/>
          <w:szCs w:val="18"/>
        </w:rPr>
      </w:pPr>
    </w:p>
    <w:p w:rsidR="007F2C23" w:rsidRPr="00C93CDF" w:rsidRDefault="007F2C23" w:rsidP="00E17C57">
      <w:pPr>
        <w:keepNext/>
        <w:keepLines/>
        <w:tabs>
          <w:tab w:val="left" w:pos="2268"/>
        </w:tabs>
        <w:ind w:left="2268"/>
        <w:rPr>
          <w:rFonts w:ascii="Verdana" w:hAnsi="Verdana"/>
          <w:i/>
          <w:kern w:val="2"/>
          <w:sz w:val="18"/>
          <w:szCs w:val="18"/>
        </w:rPr>
      </w:pPr>
      <w:r>
        <w:rPr>
          <w:rFonts w:ascii="Verdana" w:hAnsi="Verdana"/>
          <w:i/>
          <w:sz w:val="18"/>
        </w:rPr>
        <w:t>Artikel II</w:t>
      </w:r>
    </w:p>
    <w:p w:rsidR="003143CD" w:rsidRPr="00C93CDF" w:rsidRDefault="00C93CDF" w:rsidP="00E17C57">
      <w:pPr>
        <w:ind w:left="2268"/>
        <w:rPr>
          <w:rFonts w:ascii="Verdana" w:hAnsi="Verdana"/>
          <w:sz w:val="18"/>
          <w:szCs w:val="18"/>
        </w:rPr>
      </w:pPr>
      <w:r>
        <w:rPr>
          <w:rFonts w:ascii="Verdana" w:hAnsi="Verdana"/>
          <w:sz w:val="18"/>
        </w:rPr>
        <w:t>Artikel 4, stk. 5, i varelovdekretet om drogetilberedninger føjes til bilaget til varelovdekretet om administrative sanktioner, så brud af førnævnte kan straffes med en administrativ sanktion.</w:t>
      </w:r>
    </w:p>
    <w:p w:rsidR="007F2C23" w:rsidRDefault="007F2C23"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r>
        <w:rPr>
          <w:rFonts w:ascii="Verdana" w:hAnsi="Verdana"/>
          <w:sz w:val="18"/>
        </w:rPr>
        <w:t>Ministeren for lægebehandling,</w:t>
      </w: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Default="003143CD" w:rsidP="00E17C57">
      <w:pPr>
        <w:tabs>
          <w:tab w:val="left" w:pos="2268"/>
        </w:tabs>
        <w:ind w:left="2268"/>
        <w:rPr>
          <w:rFonts w:ascii="Verdana" w:hAnsi="Verdana"/>
          <w:kern w:val="2"/>
          <w:sz w:val="18"/>
          <w:szCs w:val="18"/>
        </w:rPr>
      </w:pPr>
    </w:p>
    <w:p w:rsidR="003143CD" w:rsidRPr="005B4FAB" w:rsidRDefault="003143CD" w:rsidP="00E17C57">
      <w:pPr>
        <w:tabs>
          <w:tab w:val="left" w:pos="2268"/>
        </w:tabs>
        <w:ind w:left="2268"/>
        <w:rPr>
          <w:rFonts w:ascii="Verdana" w:hAnsi="Verdana"/>
          <w:kern w:val="2"/>
          <w:sz w:val="18"/>
          <w:szCs w:val="18"/>
        </w:rPr>
      </w:pPr>
      <w:r>
        <w:rPr>
          <w:rFonts w:ascii="Verdana" w:hAnsi="Verdana"/>
          <w:sz w:val="18"/>
        </w:rPr>
        <w:t>B. J. Bruins</w:t>
      </w:r>
    </w:p>
    <w:sectPr w:rsidR="003143CD" w:rsidRPr="005B4FAB" w:rsidSect="00E17C57">
      <w:headerReference w:type="default" r:id="rId8"/>
      <w:footerReference w:type="default" r:id="rId9"/>
      <w:headerReference w:type="first" r:id="rId10"/>
      <w:footerReference w:type="first" r:id="rId11"/>
      <w:pgSz w:w="11906" w:h="16838" w:code="9"/>
      <w:pgMar w:top="1763" w:right="1826" w:bottom="1134" w:left="851" w:header="0" w:footer="45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F4F" w:rsidRDefault="00FE0F4F">
      <w:r>
        <w:separator/>
      </w:r>
    </w:p>
  </w:endnote>
  <w:endnote w:type="continuationSeparator" w:id="0">
    <w:p w:rsidR="00FE0F4F" w:rsidRDefault="00FE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027" w:usb1="00000040" w:usb2="00000000" w:usb3="00000000" w:csb0="0000001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380"/>
      <w:docPartObj>
        <w:docPartGallery w:val="Page Numbers (Bottom of Page)"/>
        <w:docPartUnique/>
      </w:docPartObj>
    </w:sdtPr>
    <w:sdtEndPr/>
    <w:sdtContent>
      <w:p w:rsidR="002E5EAB" w:rsidRDefault="00567EE1">
        <w:pPr>
          <w:pStyle w:val="Footer"/>
          <w:jc w:val="right"/>
        </w:pPr>
        <w:r>
          <w:fldChar w:fldCharType="begin"/>
        </w:r>
        <w:r>
          <w:instrText xml:space="preserve"> PAGE   \* MERGEFORMAT </w:instrText>
        </w:r>
        <w:r>
          <w:fldChar w:fldCharType="separate"/>
        </w:r>
        <w:r w:rsidR="00633222">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8663189"/>
      <w:docPartObj>
        <w:docPartGallery w:val="Page Numbers (Bottom of Page)"/>
        <w:docPartUnique/>
      </w:docPartObj>
    </w:sdtPr>
    <w:sdtEndPr/>
    <w:sdtContent>
      <w:p w:rsidR="002E5EAB" w:rsidRDefault="00567EE1">
        <w:pPr>
          <w:pStyle w:val="Footer"/>
          <w:jc w:val="right"/>
        </w:pPr>
        <w:r>
          <w:fldChar w:fldCharType="begin"/>
        </w:r>
        <w:r>
          <w:instrText xml:space="preserve"> PAGE   \* MERGEFORMAT </w:instrText>
        </w:r>
        <w:r>
          <w:fldChar w:fldCharType="separate"/>
        </w:r>
        <w:r w:rsidR="00633222">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F4F" w:rsidRDefault="00FE0F4F">
      <w:r>
        <w:separator/>
      </w:r>
    </w:p>
  </w:footnote>
  <w:footnote w:type="continuationSeparator" w:id="0">
    <w:p w:rsidR="00FE0F4F" w:rsidRDefault="00FE0F4F">
      <w:r>
        <w:continuationSeparator/>
      </w:r>
    </w:p>
  </w:footnote>
  <w:footnote w:id="1">
    <w:p w:rsidR="002E5EAB" w:rsidRPr="004B6695" w:rsidRDefault="002E5EAB" w:rsidP="00B428D8">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ROW består af repræsentanter fra virksomheder (industri og handel), forbrugere, ministerier (især ministeriet for offentlig sundhed, velfærd og sport samt ministeriet for landbrug, natur og fødevarekvalitet) og Nederlandenes myndighed for fødevare- og forbrugerproduktsikkerhed [NVWA].</w:t>
      </w:r>
    </w:p>
  </w:footnote>
  <w:footnote w:id="2">
    <w:p w:rsidR="002E5EAB" w:rsidRPr="004B6695" w:rsidRDefault="002E5EAB">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Risikovurdering af synephrin, RIVM, 14. marts 2018, https://www.rivm.nl/Documenten_en_publicaties/Wetenschappelijk/Rapporten/2018/maart/Risk_assessment_of_synephrine.</w:t>
      </w:r>
    </w:p>
  </w:footnote>
  <w:footnote w:id="3">
    <w:p w:rsidR="002E5EAB" w:rsidRPr="004B6695" w:rsidRDefault="002E5EAB">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Anbefaling fra BuRO om det maksimale indtag af synephrin fra drogetilberedninger, 26. marts 2018.</w:t>
      </w:r>
    </w:p>
  </w:footnote>
  <w:footnote w:id="4">
    <w:p w:rsidR="002E5EAB" w:rsidRPr="004B6695" w:rsidRDefault="002E5EAB" w:rsidP="009345F8">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Europa-Parlamentets og Rådets direktiv (EU) 2015/1535 af 9. september 2015 om en informationsprocedure med hensyn til tekniske forskrifter samt forskrifter for informationssamfundets tjenester (kodifikation) (EUT L 241 af 17. september 2015, s. 1–15).</w:t>
      </w:r>
    </w:p>
  </w:footnote>
  <w:footnote w:id="5">
    <w:p w:rsidR="00430B87" w:rsidRPr="004B6695" w:rsidRDefault="00430B87" w:rsidP="00430B87">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Kommissionens forordning (EF) nr. 1881/2006 af 19. december 2006 om fastsættelse af grænseværdier for bestemte forurenende stoffer i fødevarer (EUT L 364 af 20. december 2006, s. 5-24).</w:t>
      </w:r>
    </w:p>
  </w:footnote>
  <w:footnote w:id="6">
    <w:p w:rsidR="002E5EAB" w:rsidRPr="004B6695" w:rsidRDefault="002E5EAB" w:rsidP="00FC0162">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RIVM (2008), vurdering af kinesiske aconitintyper [Beoordeling Chinese monnikskapsoorten]. RIVM, center for stoffer og integreret risikovurdering [SIR], Bilthoven, 5. december 2008.</w:t>
      </w:r>
    </w:p>
    <w:p w:rsidR="002E5EAB" w:rsidRPr="004B6695" w:rsidRDefault="002E5EAB" w:rsidP="00FC0162">
      <w:pPr>
        <w:pStyle w:val="FootnoteText"/>
        <w:rPr>
          <w:rFonts w:ascii="Verdana" w:hAnsi="Verdana"/>
          <w:sz w:val="16"/>
          <w:szCs w:val="16"/>
        </w:rPr>
      </w:pPr>
      <w:r>
        <w:rPr>
          <w:rFonts w:ascii="Verdana" w:hAnsi="Verdana"/>
          <w:sz w:val="16"/>
        </w:rPr>
        <w:t>RIVM (2011), vurdering af sundhedsrisici for flere bestemte stoffer i drogetilberedninger [Beoordeling van de gezondheidsrisico’s van een aantal specifieke stoffen in kruidenpreparaten]. RIVM, center for stoffer og integreret risikovurdering [SIR], Bilthoven, 30. marts 2011.</w:t>
      </w:r>
    </w:p>
    <w:p w:rsidR="002E5EAB" w:rsidRPr="004B6695" w:rsidRDefault="002E5EAB" w:rsidP="00FC0162">
      <w:pPr>
        <w:pStyle w:val="FootnoteText"/>
        <w:rPr>
          <w:rFonts w:ascii="Verdana" w:hAnsi="Verdana"/>
          <w:sz w:val="16"/>
          <w:szCs w:val="16"/>
        </w:rPr>
      </w:pPr>
      <w:r>
        <w:rPr>
          <w:rFonts w:ascii="Verdana" w:hAnsi="Verdana"/>
          <w:sz w:val="16"/>
        </w:rPr>
        <w:t>RIVM (2009), vurdering af sundhedsrisici for "forbudte planter" [Beoordeling van de gezondheidsrisico’s van ‘verboden kruiden’], rapport nr. 320011002. RIVM, center for stoffer og integreret risikovurdering [SIR], Bilthoven, 15. juni 2009.</w:t>
      </w:r>
    </w:p>
    <w:p w:rsidR="002E5EAB" w:rsidRPr="004B6695" w:rsidRDefault="002E5EAB" w:rsidP="00FC0162">
      <w:pPr>
        <w:pStyle w:val="FootnoteText"/>
        <w:rPr>
          <w:rFonts w:ascii="Verdana" w:hAnsi="Verdana"/>
          <w:sz w:val="16"/>
          <w:szCs w:val="16"/>
        </w:rPr>
      </w:pPr>
      <w:r>
        <w:rPr>
          <w:rFonts w:ascii="Verdana" w:hAnsi="Verdana"/>
          <w:sz w:val="16"/>
        </w:rPr>
        <w:t>RIVM (2009), risikovurdering af Pilocarpus jaborandi [Risicobeoordeling Pilocarpus jaborandi]. RIVM, center for stoffer og integreret risikovurdering [SIR], Bilthoven, 14. december 2009.</w:t>
      </w:r>
    </w:p>
    <w:p w:rsidR="002E5EAB" w:rsidRPr="004B6695" w:rsidRDefault="002E5EAB" w:rsidP="008E734A">
      <w:pPr>
        <w:pStyle w:val="FootnoteText"/>
        <w:rPr>
          <w:rFonts w:ascii="Verdana" w:hAnsi="Verdana"/>
          <w:sz w:val="16"/>
          <w:szCs w:val="16"/>
        </w:rPr>
      </w:pPr>
      <w:r>
        <w:rPr>
          <w:rFonts w:ascii="Verdana" w:hAnsi="Verdana"/>
          <w:sz w:val="16"/>
        </w:rPr>
        <w:t>RIVM (2010), vurdering af en ansøgning om dispensation i medfør af varelovdekretet om drogetilberedninger for ricinusolie [Beoordeling ontheffingsaanvraag Warenwetbesluit Kruidenpreparaten voor ricinusolie]. RIVM, center for stoffer og integreret risikovurdering [SIR], Bilthoven, 20. december 2010.</w:t>
      </w:r>
    </w:p>
  </w:footnote>
  <w:footnote w:id="7">
    <w:p w:rsidR="002E5EAB" w:rsidRPr="004B6695" w:rsidRDefault="002E5EAB" w:rsidP="008E734A">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Europa-Parlamentets og Rådets forordning (EF) nr. 1334/2008 af 16. december 2008 om aromaer og visse fødevareingredienser med aromagivende egenskaber til anvendelse i og på fødevarer og om ændring af Rådets forordning (EØF) nr. 1601/91, forordning (EF) nr. 2232/96, forordning (EF) nr. 110/2008 og direktiv 2000/13/EF (EUT L 354 af 31. december 2008, s. 34–50).</w:t>
      </w:r>
    </w:p>
  </w:footnote>
  <w:footnote w:id="8">
    <w:p w:rsidR="002E5EAB" w:rsidRPr="004B6695" w:rsidRDefault="002E5EAB" w:rsidP="008E734A">
      <w:pPr>
        <w:pStyle w:val="FootnoteText"/>
        <w:rPr>
          <w:rFonts w:ascii="Verdana" w:hAnsi="Verdana"/>
          <w:sz w:val="16"/>
          <w:szCs w:val="16"/>
        </w:rPr>
      </w:pPr>
      <w:r>
        <w:rPr>
          <w:rStyle w:val="FootnoteReference"/>
          <w:rFonts w:ascii="Verdana" w:hAnsi="Verdana"/>
          <w:sz w:val="16"/>
        </w:rPr>
        <w:footnoteRef/>
      </w:r>
      <w:r>
        <w:rPr>
          <w:rFonts w:ascii="Verdana" w:hAnsi="Verdana"/>
          <w:sz w:val="16"/>
        </w:rPr>
        <w:t xml:space="preserve"> RIVM (2010), vurdering af en ansøgning om dispensation i medfør af varelovdekretet om drogetilberedninger for ricinusolie [Beoordeling ontheffingsaanvraag Warenwetbesluit Kruidenpreparaten voor ricinusolie]. RIVM, center for stoffer og integreret risikovurdering [SIR], Bilthoven, 20. december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AB" w:rsidRDefault="002E5EAB">
    <w:pPr>
      <w:pStyle w:val="Header"/>
      <w:spacing w:before="157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EAB" w:rsidRDefault="002E5EAB">
    <w:pPr>
      <w:pStyle w:val="Header"/>
      <w:spacing w:before="1762" w:line="26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8B080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BBC7D2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92CD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D42AF3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B4278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0A25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56266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E243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30C6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4032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64F44"/>
    <w:multiLevelType w:val="hybridMultilevel"/>
    <w:tmpl w:val="A8C2BD74"/>
    <w:lvl w:ilvl="0" w:tplc="C8FE2FB6">
      <w:start w:val="1"/>
      <w:numFmt w:val="decimal"/>
      <w:lvlText w:val="%1."/>
      <w:lvlJc w:val="left"/>
      <w:pPr>
        <w:ind w:left="2628" w:hanging="360"/>
      </w:pPr>
      <w:rPr>
        <w:rFonts w:hint="default"/>
      </w:rPr>
    </w:lvl>
    <w:lvl w:ilvl="1" w:tplc="04130019">
      <w:start w:val="1"/>
      <w:numFmt w:val="lowerLetter"/>
      <w:lvlText w:val="%2."/>
      <w:lvlJc w:val="left"/>
      <w:pPr>
        <w:ind w:left="3621"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1" w15:restartNumberingAfterBreak="0">
    <w:nsid w:val="09C574D1"/>
    <w:multiLevelType w:val="hybridMultilevel"/>
    <w:tmpl w:val="2F88DA6A"/>
    <w:lvl w:ilvl="0" w:tplc="C8FE2FB6">
      <w:start w:val="1"/>
      <w:numFmt w:val="decimal"/>
      <w:lvlText w:val="%1."/>
      <w:lvlJc w:val="left"/>
      <w:pPr>
        <w:ind w:left="2628" w:hanging="36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2" w15:restartNumberingAfterBreak="0">
    <w:nsid w:val="1A1A0FCE"/>
    <w:multiLevelType w:val="hybridMultilevel"/>
    <w:tmpl w:val="4B487D2C"/>
    <w:lvl w:ilvl="0" w:tplc="0413000F">
      <w:start w:val="1"/>
      <w:numFmt w:val="decimal"/>
      <w:lvlText w:val="%1."/>
      <w:lvlJc w:val="left"/>
      <w:pPr>
        <w:ind w:left="2988" w:hanging="360"/>
      </w:pPr>
      <w:rPr>
        <w:rFonts w:hint="default"/>
      </w:rPr>
    </w:lvl>
    <w:lvl w:ilvl="1" w:tplc="04130019">
      <w:start w:val="1"/>
      <w:numFmt w:val="lowerLetter"/>
      <w:lvlText w:val="%2."/>
      <w:lvlJc w:val="left"/>
      <w:pPr>
        <w:ind w:left="3708" w:hanging="360"/>
      </w:pPr>
    </w:lvl>
    <w:lvl w:ilvl="2" w:tplc="0413001B" w:tentative="1">
      <w:start w:val="1"/>
      <w:numFmt w:val="lowerRoman"/>
      <w:lvlText w:val="%3."/>
      <w:lvlJc w:val="right"/>
      <w:pPr>
        <w:ind w:left="4428" w:hanging="180"/>
      </w:pPr>
    </w:lvl>
    <w:lvl w:ilvl="3" w:tplc="0413000F" w:tentative="1">
      <w:start w:val="1"/>
      <w:numFmt w:val="decimal"/>
      <w:lvlText w:val="%4."/>
      <w:lvlJc w:val="left"/>
      <w:pPr>
        <w:ind w:left="5148" w:hanging="360"/>
      </w:pPr>
    </w:lvl>
    <w:lvl w:ilvl="4" w:tplc="04130019" w:tentative="1">
      <w:start w:val="1"/>
      <w:numFmt w:val="lowerLetter"/>
      <w:lvlText w:val="%5."/>
      <w:lvlJc w:val="left"/>
      <w:pPr>
        <w:ind w:left="5868" w:hanging="360"/>
      </w:pPr>
    </w:lvl>
    <w:lvl w:ilvl="5" w:tplc="0413001B" w:tentative="1">
      <w:start w:val="1"/>
      <w:numFmt w:val="lowerRoman"/>
      <w:lvlText w:val="%6."/>
      <w:lvlJc w:val="right"/>
      <w:pPr>
        <w:ind w:left="6588" w:hanging="180"/>
      </w:pPr>
    </w:lvl>
    <w:lvl w:ilvl="6" w:tplc="0413000F" w:tentative="1">
      <w:start w:val="1"/>
      <w:numFmt w:val="decimal"/>
      <w:lvlText w:val="%7."/>
      <w:lvlJc w:val="left"/>
      <w:pPr>
        <w:ind w:left="7308" w:hanging="360"/>
      </w:pPr>
    </w:lvl>
    <w:lvl w:ilvl="7" w:tplc="04130019" w:tentative="1">
      <w:start w:val="1"/>
      <w:numFmt w:val="lowerLetter"/>
      <w:lvlText w:val="%8."/>
      <w:lvlJc w:val="left"/>
      <w:pPr>
        <w:ind w:left="8028" w:hanging="360"/>
      </w:pPr>
    </w:lvl>
    <w:lvl w:ilvl="8" w:tplc="0413001B" w:tentative="1">
      <w:start w:val="1"/>
      <w:numFmt w:val="lowerRoman"/>
      <w:lvlText w:val="%9."/>
      <w:lvlJc w:val="right"/>
      <w:pPr>
        <w:ind w:left="8748" w:hanging="180"/>
      </w:pPr>
    </w:lvl>
  </w:abstractNum>
  <w:abstractNum w:abstractNumId="13" w15:restartNumberingAfterBreak="0">
    <w:nsid w:val="26AA06D4"/>
    <w:multiLevelType w:val="hybridMultilevel"/>
    <w:tmpl w:val="FF7CE7A2"/>
    <w:lvl w:ilvl="0" w:tplc="04130019">
      <w:start w:val="1"/>
      <w:numFmt w:val="decimal"/>
      <w:lvlText w:val="%1."/>
      <w:lvlJc w:val="left"/>
      <w:pPr>
        <w:ind w:left="2628" w:hanging="360"/>
      </w:p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4" w15:restartNumberingAfterBreak="0">
    <w:nsid w:val="3D5A72BB"/>
    <w:multiLevelType w:val="hybridMultilevel"/>
    <w:tmpl w:val="9BC67F08"/>
    <w:lvl w:ilvl="0" w:tplc="0413000F">
      <w:start w:val="1"/>
      <w:numFmt w:val="decimal"/>
      <w:lvlText w:val="%1."/>
      <w:lvlJc w:val="left"/>
      <w:pPr>
        <w:ind w:left="3556" w:hanging="360"/>
      </w:pPr>
    </w:lvl>
    <w:lvl w:ilvl="1" w:tplc="04130019" w:tentative="1">
      <w:start w:val="1"/>
      <w:numFmt w:val="lowerLetter"/>
      <w:lvlText w:val="%2."/>
      <w:lvlJc w:val="left"/>
      <w:pPr>
        <w:ind w:left="4276" w:hanging="360"/>
      </w:pPr>
    </w:lvl>
    <w:lvl w:ilvl="2" w:tplc="0413001B" w:tentative="1">
      <w:start w:val="1"/>
      <w:numFmt w:val="lowerRoman"/>
      <w:lvlText w:val="%3."/>
      <w:lvlJc w:val="right"/>
      <w:pPr>
        <w:ind w:left="4996" w:hanging="180"/>
      </w:pPr>
    </w:lvl>
    <w:lvl w:ilvl="3" w:tplc="0413000F" w:tentative="1">
      <w:start w:val="1"/>
      <w:numFmt w:val="decimal"/>
      <w:lvlText w:val="%4."/>
      <w:lvlJc w:val="left"/>
      <w:pPr>
        <w:ind w:left="5716" w:hanging="360"/>
      </w:pPr>
    </w:lvl>
    <w:lvl w:ilvl="4" w:tplc="04130019" w:tentative="1">
      <w:start w:val="1"/>
      <w:numFmt w:val="lowerLetter"/>
      <w:lvlText w:val="%5."/>
      <w:lvlJc w:val="left"/>
      <w:pPr>
        <w:ind w:left="6436" w:hanging="360"/>
      </w:pPr>
    </w:lvl>
    <w:lvl w:ilvl="5" w:tplc="0413001B" w:tentative="1">
      <w:start w:val="1"/>
      <w:numFmt w:val="lowerRoman"/>
      <w:lvlText w:val="%6."/>
      <w:lvlJc w:val="right"/>
      <w:pPr>
        <w:ind w:left="7156" w:hanging="180"/>
      </w:pPr>
    </w:lvl>
    <w:lvl w:ilvl="6" w:tplc="0413000F" w:tentative="1">
      <w:start w:val="1"/>
      <w:numFmt w:val="decimal"/>
      <w:lvlText w:val="%7."/>
      <w:lvlJc w:val="left"/>
      <w:pPr>
        <w:ind w:left="7876" w:hanging="360"/>
      </w:pPr>
    </w:lvl>
    <w:lvl w:ilvl="7" w:tplc="04130019" w:tentative="1">
      <w:start w:val="1"/>
      <w:numFmt w:val="lowerLetter"/>
      <w:lvlText w:val="%8."/>
      <w:lvlJc w:val="left"/>
      <w:pPr>
        <w:ind w:left="8596" w:hanging="360"/>
      </w:pPr>
    </w:lvl>
    <w:lvl w:ilvl="8" w:tplc="0413001B" w:tentative="1">
      <w:start w:val="1"/>
      <w:numFmt w:val="lowerRoman"/>
      <w:lvlText w:val="%9."/>
      <w:lvlJc w:val="right"/>
      <w:pPr>
        <w:ind w:left="9316" w:hanging="180"/>
      </w:pPr>
    </w:lvl>
  </w:abstractNum>
  <w:abstractNum w:abstractNumId="15" w15:restartNumberingAfterBreak="0">
    <w:nsid w:val="46F72CB3"/>
    <w:multiLevelType w:val="hybridMultilevel"/>
    <w:tmpl w:val="26FCFD12"/>
    <w:lvl w:ilvl="0" w:tplc="2BEA3D76">
      <w:numFmt w:val="bullet"/>
      <w:lvlText w:val="-"/>
      <w:lvlJc w:val="left"/>
      <w:pPr>
        <w:ind w:left="2628" w:hanging="360"/>
      </w:pPr>
      <w:rPr>
        <w:rFonts w:ascii="Verdana" w:eastAsia="Times New Roman" w:hAnsi="Verdana" w:cs="Times New Roman" w:hint="default"/>
      </w:rPr>
    </w:lvl>
    <w:lvl w:ilvl="1" w:tplc="04130003" w:tentative="1">
      <w:start w:val="1"/>
      <w:numFmt w:val="bullet"/>
      <w:lvlText w:val="o"/>
      <w:lvlJc w:val="left"/>
      <w:pPr>
        <w:ind w:left="3348" w:hanging="360"/>
      </w:pPr>
      <w:rPr>
        <w:rFonts w:ascii="Courier New" w:hAnsi="Courier New" w:cs="Courier New" w:hint="default"/>
      </w:rPr>
    </w:lvl>
    <w:lvl w:ilvl="2" w:tplc="04130005" w:tentative="1">
      <w:start w:val="1"/>
      <w:numFmt w:val="bullet"/>
      <w:lvlText w:val=""/>
      <w:lvlJc w:val="left"/>
      <w:pPr>
        <w:ind w:left="4068" w:hanging="360"/>
      </w:pPr>
      <w:rPr>
        <w:rFonts w:ascii="Wingdings" w:hAnsi="Wingdings" w:hint="default"/>
      </w:rPr>
    </w:lvl>
    <w:lvl w:ilvl="3" w:tplc="04130001" w:tentative="1">
      <w:start w:val="1"/>
      <w:numFmt w:val="bullet"/>
      <w:lvlText w:val=""/>
      <w:lvlJc w:val="left"/>
      <w:pPr>
        <w:ind w:left="4788" w:hanging="360"/>
      </w:pPr>
      <w:rPr>
        <w:rFonts w:ascii="Symbol" w:hAnsi="Symbol" w:hint="default"/>
      </w:rPr>
    </w:lvl>
    <w:lvl w:ilvl="4" w:tplc="04130003" w:tentative="1">
      <w:start w:val="1"/>
      <w:numFmt w:val="bullet"/>
      <w:lvlText w:val="o"/>
      <w:lvlJc w:val="left"/>
      <w:pPr>
        <w:ind w:left="5508" w:hanging="360"/>
      </w:pPr>
      <w:rPr>
        <w:rFonts w:ascii="Courier New" w:hAnsi="Courier New" w:cs="Courier New" w:hint="default"/>
      </w:rPr>
    </w:lvl>
    <w:lvl w:ilvl="5" w:tplc="04130005" w:tentative="1">
      <w:start w:val="1"/>
      <w:numFmt w:val="bullet"/>
      <w:lvlText w:val=""/>
      <w:lvlJc w:val="left"/>
      <w:pPr>
        <w:ind w:left="6228" w:hanging="360"/>
      </w:pPr>
      <w:rPr>
        <w:rFonts w:ascii="Wingdings" w:hAnsi="Wingdings" w:hint="default"/>
      </w:rPr>
    </w:lvl>
    <w:lvl w:ilvl="6" w:tplc="04130001" w:tentative="1">
      <w:start w:val="1"/>
      <w:numFmt w:val="bullet"/>
      <w:lvlText w:val=""/>
      <w:lvlJc w:val="left"/>
      <w:pPr>
        <w:ind w:left="6948" w:hanging="360"/>
      </w:pPr>
      <w:rPr>
        <w:rFonts w:ascii="Symbol" w:hAnsi="Symbol" w:hint="default"/>
      </w:rPr>
    </w:lvl>
    <w:lvl w:ilvl="7" w:tplc="04130003" w:tentative="1">
      <w:start w:val="1"/>
      <w:numFmt w:val="bullet"/>
      <w:lvlText w:val="o"/>
      <w:lvlJc w:val="left"/>
      <w:pPr>
        <w:ind w:left="7668" w:hanging="360"/>
      </w:pPr>
      <w:rPr>
        <w:rFonts w:ascii="Courier New" w:hAnsi="Courier New" w:cs="Courier New" w:hint="default"/>
      </w:rPr>
    </w:lvl>
    <w:lvl w:ilvl="8" w:tplc="04130005" w:tentative="1">
      <w:start w:val="1"/>
      <w:numFmt w:val="bullet"/>
      <w:lvlText w:val=""/>
      <w:lvlJc w:val="left"/>
      <w:pPr>
        <w:ind w:left="8388" w:hanging="360"/>
      </w:pPr>
      <w:rPr>
        <w:rFonts w:ascii="Wingdings" w:hAnsi="Wingdings" w:hint="default"/>
      </w:rPr>
    </w:lvl>
  </w:abstractNum>
  <w:abstractNum w:abstractNumId="16" w15:restartNumberingAfterBreak="0">
    <w:nsid w:val="4B0679D7"/>
    <w:multiLevelType w:val="hybridMultilevel"/>
    <w:tmpl w:val="147C4076"/>
    <w:lvl w:ilvl="0" w:tplc="C8FE2FB6">
      <w:start w:val="1"/>
      <w:numFmt w:val="decimal"/>
      <w:lvlText w:val="%1."/>
      <w:lvlJc w:val="left"/>
      <w:pPr>
        <w:ind w:left="2628" w:hanging="360"/>
      </w:pPr>
      <w:rPr>
        <w:rFonts w:hint="default"/>
      </w:rPr>
    </w:lvl>
    <w:lvl w:ilvl="1" w:tplc="04130019">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7" w15:restartNumberingAfterBreak="0">
    <w:nsid w:val="4C8852E2"/>
    <w:multiLevelType w:val="hybridMultilevel"/>
    <w:tmpl w:val="D4F8BAFA"/>
    <w:lvl w:ilvl="0" w:tplc="04130019">
      <w:start w:val="1"/>
      <w:numFmt w:val="decimal"/>
      <w:lvlText w:val="%1."/>
      <w:lvlJc w:val="left"/>
      <w:pPr>
        <w:ind w:left="3556" w:hanging="360"/>
      </w:pPr>
    </w:lvl>
    <w:lvl w:ilvl="1" w:tplc="04130019" w:tentative="1">
      <w:start w:val="1"/>
      <w:numFmt w:val="lowerLetter"/>
      <w:lvlText w:val="%2."/>
      <w:lvlJc w:val="left"/>
      <w:pPr>
        <w:ind w:left="4276" w:hanging="360"/>
      </w:pPr>
    </w:lvl>
    <w:lvl w:ilvl="2" w:tplc="0413001B" w:tentative="1">
      <w:start w:val="1"/>
      <w:numFmt w:val="lowerRoman"/>
      <w:lvlText w:val="%3."/>
      <w:lvlJc w:val="right"/>
      <w:pPr>
        <w:ind w:left="4996" w:hanging="180"/>
      </w:pPr>
    </w:lvl>
    <w:lvl w:ilvl="3" w:tplc="0413000F" w:tentative="1">
      <w:start w:val="1"/>
      <w:numFmt w:val="decimal"/>
      <w:lvlText w:val="%4."/>
      <w:lvlJc w:val="left"/>
      <w:pPr>
        <w:ind w:left="5716" w:hanging="360"/>
      </w:pPr>
    </w:lvl>
    <w:lvl w:ilvl="4" w:tplc="04130019" w:tentative="1">
      <w:start w:val="1"/>
      <w:numFmt w:val="lowerLetter"/>
      <w:lvlText w:val="%5."/>
      <w:lvlJc w:val="left"/>
      <w:pPr>
        <w:ind w:left="6436" w:hanging="360"/>
      </w:pPr>
    </w:lvl>
    <w:lvl w:ilvl="5" w:tplc="0413001B" w:tentative="1">
      <w:start w:val="1"/>
      <w:numFmt w:val="lowerRoman"/>
      <w:lvlText w:val="%6."/>
      <w:lvlJc w:val="right"/>
      <w:pPr>
        <w:ind w:left="7156" w:hanging="180"/>
      </w:pPr>
    </w:lvl>
    <w:lvl w:ilvl="6" w:tplc="0413000F" w:tentative="1">
      <w:start w:val="1"/>
      <w:numFmt w:val="decimal"/>
      <w:lvlText w:val="%7."/>
      <w:lvlJc w:val="left"/>
      <w:pPr>
        <w:ind w:left="7876" w:hanging="360"/>
      </w:pPr>
    </w:lvl>
    <w:lvl w:ilvl="7" w:tplc="04130019" w:tentative="1">
      <w:start w:val="1"/>
      <w:numFmt w:val="lowerLetter"/>
      <w:lvlText w:val="%8."/>
      <w:lvlJc w:val="left"/>
      <w:pPr>
        <w:ind w:left="8596" w:hanging="360"/>
      </w:pPr>
    </w:lvl>
    <w:lvl w:ilvl="8" w:tplc="0413001B" w:tentative="1">
      <w:start w:val="1"/>
      <w:numFmt w:val="lowerRoman"/>
      <w:lvlText w:val="%9."/>
      <w:lvlJc w:val="right"/>
      <w:pPr>
        <w:ind w:left="9316" w:hanging="180"/>
      </w:pPr>
    </w:lvl>
  </w:abstractNum>
  <w:abstractNum w:abstractNumId="18" w15:restartNumberingAfterBreak="0">
    <w:nsid w:val="507B3795"/>
    <w:multiLevelType w:val="hybridMultilevel"/>
    <w:tmpl w:val="FF46A524"/>
    <w:lvl w:ilvl="0" w:tplc="A148D6C0">
      <w:start w:val="1"/>
      <w:numFmt w:val="decimal"/>
      <w:lvlText w:val="%1."/>
      <w:lvlJc w:val="left"/>
      <w:pPr>
        <w:ind w:left="2838" w:hanging="57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19" w15:restartNumberingAfterBreak="0">
    <w:nsid w:val="568E4EC0"/>
    <w:multiLevelType w:val="hybridMultilevel"/>
    <w:tmpl w:val="F878D528"/>
    <w:lvl w:ilvl="0" w:tplc="C02E45FA">
      <w:start w:val="1"/>
      <w:numFmt w:val="decimal"/>
      <w:lvlText w:val="%1."/>
      <w:lvlJc w:val="left"/>
      <w:pPr>
        <w:ind w:left="2628" w:hanging="360"/>
      </w:pPr>
      <w:rPr>
        <w:rFonts w:hint="default"/>
      </w:rPr>
    </w:lvl>
    <w:lvl w:ilvl="1" w:tplc="04130019" w:tentative="1">
      <w:start w:val="1"/>
      <w:numFmt w:val="lowerLetter"/>
      <w:lvlText w:val="%2."/>
      <w:lvlJc w:val="left"/>
      <w:pPr>
        <w:ind w:left="3348" w:hanging="360"/>
      </w:pPr>
    </w:lvl>
    <w:lvl w:ilvl="2" w:tplc="0413001B" w:tentative="1">
      <w:start w:val="1"/>
      <w:numFmt w:val="lowerRoman"/>
      <w:lvlText w:val="%3."/>
      <w:lvlJc w:val="right"/>
      <w:pPr>
        <w:ind w:left="4068" w:hanging="180"/>
      </w:pPr>
    </w:lvl>
    <w:lvl w:ilvl="3" w:tplc="0413000F" w:tentative="1">
      <w:start w:val="1"/>
      <w:numFmt w:val="decimal"/>
      <w:lvlText w:val="%4."/>
      <w:lvlJc w:val="left"/>
      <w:pPr>
        <w:ind w:left="4788" w:hanging="360"/>
      </w:pPr>
    </w:lvl>
    <w:lvl w:ilvl="4" w:tplc="04130019" w:tentative="1">
      <w:start w:val="1"/>
      <w:numFmt w:val="lowerLetter"/>
      <w:lvlText w:val="%5."/>
      <w:lvlJc w:val="left"/>
      <w:pPr>
        <w:ind w:left="5508" w:hanging="360"/>
      </w:pPr>
    </w:lvl>
    <w:lvl w:ilvl="5" w:tplc="0413001B" w:tentative="1">
      <w:start w:val="1"/>
      <w:numFmt w:val="lowerRoman"/>
      <w:lvlText w:val="%6."/>
      <w:lvlJc w:val="right"/>
      <w:pPr>
        <w:ind w:left="6228" w:hanging="180"/>
      </w:pPr>
    </w:lvl>
    <w:lvl w:ilvl="6" w:tplc="0413000F" w:tentative="1">
      <w:start w:val="1"/>
      <w:numFmt w:val="decimal"/>
      <w:lvlText w:val="%7."/>
      <w:lvlJc w:val="left"/>
      <w:pPr>
        <w:ind w:left="6948" w:hanging="360"/>
      </w:pPr>
    </w:lvl>
    <w:lvl w:ilvl="7" w:tplc="04130019" w:tentative="1">
      <w:start w:val="1"/>
      <w:numFmt w:val="lowerLetter"/>
      <w:lvlText w:val="%8."/>
      <w:lvlJc w:val="left"/>
      <w:pPr>
        <w:ind w:left="7668" w:hanging="360"/>
      </w:pPr>
    </w:lvl>
    <w:lvl w:ilvl="8" w:tplc="0413001B" w:tentative="1">
      <w:start w:val="1"/>
      <w:numFmt w:val="lowerRoman"/>
      <w:lvlText w:val="%9."/>
      <w:lvlJc w:val="right"/>
      <w:pPr>
        <w:ind w:left="8388" w:hanging="180"/>
      </w:pPr>
    </w:lvl>
  </w:abstractNum>
  <w:abstractNum w:abstractNumId="20" w15:restartNumberingAfterBreak="0">
    <w:nsid w:val="7DAE4CB9"/>
    <w:multiLevelType w:val="hybridMultilevel"/>
    <w:tmpl w:val="F85A4AF2"/>
    <w:lvl w:ilvl="0" w:tplc="E8C447CE">
      <w:start w:val="1"/>
      <w:numFmt w:val="decimal"/>
      <w:lvlText w:val="%1."/>
      <w:lvlJc w:val="left"/>
      <w:pPr>
        <w:ind w:left="3198" w:hanging="360"/>
      </w:pPr>
      <w:rPr>
        <w:rFonts w:hint="default"/>
      </w:rPr>
    </w:lvl>
    <w:lvl w:ilvl="1" w:tplc="04130019" w:tentative="1">
      <w:start w:val="1"/>
      <w:numFmt w:val="lowerLetter"/>
      <w:lvlText w:val="%2."/>
      <w:lvlJc w:val="left"/>
      <w:pPr>
        <w:ind w:left="3918" w:hanging="360"/>
      </w:pPr>
    </w:lvl>
    <w:lvl w:ilvl="2" w:tplc="0413001B" w:tentative="1">
      <w:start w:val="1"/>
      <w:numFmt w:val="lowerRoman"/>
      <w:lvlText w:val="%3."/>
      <w:lvlJc w:val="right"/>
      <w:pPr>
        <w:ind w:left="4638" w:hanging="180"/>
      </w:pPr>
    </w:lvl>
    <w:lvl w:ilvl="3" w:tplc="0413000F" w:tentative="1">
      <w:start w:val="1"/>
      <w:numFmt w:val="decimal"/>
      <w:lvlText w:val="%4."/>
      <w:lvlJc w:val="left"/>
      <w:pPr>
        <w:ind w:left="5358" w:hanging="360"/>
      </w:pPr>
    </w:lvl>
    <w:lvl w:ilvl="4" w:tplc="04130019" w:tentative="1">
      <w:start w:val="1"/>
      <w:numFmt w:val="lowerLetter"/>
      <w:lvlText w:val="%5."/>
      <w:lvlJc w:val="left"/>
      <w:pPr>
        <w:ind w:left="6078" w:hanging="360"/>
      </w:pPr>
    </w:lvl>
    <w:lvl w:ilvl="5" w:tplc="0413001B" w:tentative="1">
      <w:start w:val="1"/>
      <w:numFmt w:val="lowerRoman"/>
      <w:lvlText w:val="%6."/>
      <w:lvlJc w:val="right"/>
      <w:pPr>
        <w:ind w:left="6798" w:hanging="180"/>
      </w:pPr>
    </w:lvl>
    <w:lvl w:ilvl="6" w:tplc="0413000F" w:tentative="1">
      <w:start w:val="1"/>
      <w:numFmt w:val="decimal"/>
      <w:lvlText w:val="%7."/>
      <w:lvlJc w:val="left"/>
      <w:pPr>
        <w:ind w:left="7518" w:hanging="360"/>
      </w:pPr>
    </w:lvl>
    <w:lvl w:ilvl="7" w:tplc="04130019" w:tentative="1">
      <w:start w:val="1"/>
      <w:numFmt w:val="lowerLetter"/>
      <w:lvlText w:val="%8."/>
      <w:lvlJc w:val="left"/>
      <w:pPr>
        <w:ind w:left="8238" w:hanging="360"/>
      </w:pPr>
    </w:lvl>
    <w:lvl w:ilvl="8" w:tplc="0413001B" w:tentative="1">
      <w:start w:val="1"/>
      <w:numFmt w:val="lowerRoman"/>
      <w:lvlText w:val="%9."/>
      <w:lvlJc w:val="right"/>
      <w:pPr>
        <w:ind w:left="895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2"/>
  </w:num>
  <w:num w:numId="23">
    <w:abstractNumId w:val="10"/>
  </w:num>
  <w:num w:numId="24">
    <w:abstractNumId w:val="11"/>
  </w:num>
  <w:num w:numId="25">
    <w:abstractNumId w:val="15"/>
  </w:num>
  <w:num w:numId="26">
    <w:abstractNumId w:val="13"/>
  </w:num>
  <w:num w:numId="27">
    <w:abstractNumId w:val="14"/>
  </w:num>
  <w:num w:numId="28">
    <w:abstractNumId w:val="17"/>
  </w:num>
  <w:num w:numId="29">
    <w:abstractNumId w:val="18"/>
  </w:num>
  <w:num w:numId="30">
    <w:abstractNumId w:val="2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activeWritingStyle w:appName="MSWord" w:lang="nl-NL" w:vendorID="9" w:dllVersion="512" w:checkStyle="1"/>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D62"/>
    <w:rsid w:val="000306A1"/>
    <w:rsid w:val="000414C9"/>
    <w:rsid w:val="000446F2"/>
    <w:rsid w:val="0004538B"/>
    <w:rsid w:val="000478B3"/>
    <w:rsid w:val="000552D8"/>
    <w:rsid w:val="00060A6E"/>
    <w:rsid w:val="00060CB2"/>
    <w:rsid w:val="00063390"/>
    <w:rsid w:val="000634DB"/>
    <w:rsid w:val="00093369"/>
    <w:rsid w:val="000A1E70"/>
    <w:rsid w:val="000B2822"/>
    <w:rsid w:val="000C18E4"/>
    <w:rsid w:val="000C37A0"/>
    <w:rsid w:val="000E0515"/>
    <w:rsid w:val="000E23EB"/>
    <w:rsid w:val="000E2EAB"/>
    <w:rsid w:val="001037E8"/>
    <w:rsid w:val="00117420"/>
    <w:rsid w:val="001231D7"/>
    <w:rsid w:val="00145ED0"/>
    <w:rsid w:val="00176336"/>
    <w:rsid w:val="00183469"/>
    <w:rsid w:val="001960C4"/>
    <w:rsid w:val="00196262"/>
    <w:rsid w:val="00196781"/>
    <w:rsid w:val="001C0010"/>
    <w:rsid w:val="001C64DD"/>
    <w:rsid w:val="001E0693"/>
    <w:rsid w:val="001E1936"/>
    <w:rsid w:val="001E6005"/>
    <w:rsid w:val="00223B57"/>
    <w:rsid w:val="00225092"/>
    <w:rsid w:val="002308EC"/>
    <w:rsid w:val="0024053D"/>
    <w:rsid w:val="002476F5"/>
    <w:rsid w:val="00250BDB"/>
    <w:rsid w:val="00256C2B"/>
    <w:rsid w:val="0025703A"/>
    <w:rsid w:val="002708AB"/>
    <w:rsid w:val="002714CE"/>
    <w:rsid w:val="0029085E"/>
    <w:rsid w:val="00292028"/>
    <w:rsid w:val="002921B4"/>
    <w:rsid w:val="00294AEA"/>
    <w:rsid w:val="002A288B"/>
    <w:rsid w:val="002B54FD"/>
    <w:rsid w:val="002C2B74"/>
    <w:rsid w:val="002C445B"/>
    <w:rsid w:val="002D5C67"/>
    <w:rsid w:val="002D79B3"/>
    <w:rsid w:val="002E5EAB"/>
    <w:rsid w:val="002F64D5"/>
    <w:rsid w:val="002F7B3A"/>
    <w:rsid w:val="00305B8E"/>
    <w:rsid w:val="0031322B"/>
    <w:rsid w:val="003143CD"/>
    <w:rsid w:val="00317515"/>
    <w:rsid w:val="0032057A"/>
    <w:rsid w:val="003345ED"/>
    <w:rsid w:val="00345C53"/>
    <w:rsid w:val="003545C4"/>
    <w:rsid w:val="00355E9B"/>
    <w:rsid w:val="00370E07"/>
    <w:rsid w:val="003825F1"/>
    <w:rsid w:val="00392359"/>
    <w:rsid w:val="0039728D"/>
    <w:rsid w:val="003B442C"/>
    <w:rsid w:val="003B5162"/>
    <w:rsid w:val="003C006F"/>
    <w:rsid w:val="003C3169"/>
    <w:rsid w:val="003C7364"/>
    <w:rsid w:val="003D0C77"/>
    <w:rsid w:val="0040189C"/>
    <w:rsid w:val="00401912"/>
    <w:rsid w:val="004165B5"/>
    <w:rsid w:val="00420744"/>
    <w:rsid w:val="00421AAD"/>
    <w:rsid w:val="0042448A"/>
    <w:rsid w:val="0043098B"/>
    <w:rsid w:val="00430B87"/>
    <w:rsid w:val="0044067E"/>
    <w:rsid w:val="00443563"/>
    <w:rsid w:val="0045127A"/>
    <w:rsid w:val="00482F98"/>
    <w:rsid w:val="00485F0F"/>
    <w:rsid w:val="00497A92"/>
    <w:rsid w:val="004B6695"/>
    <w:rsid w:val="004C2327"/>
    <w:rsid w:val="004C3496"/>
    <w:rsid w:val="004E3FE4"/>
    <w:rsid w:val="004E4918"/>
    <w:rsid w:val="00500044"/>
    <w:rsid w:val="005016F0"/>
    <w:rsid w:val="005059AF"/>
    <w:rsid w:val="00510BBD"/>
    <w:rsid w:val="0051720D"/>
    <w:rsid w:val="005333BE"/>
    <w:rsid w:val="005441BF"/>
    <w:rsid w:val="00550AD8"/>
    <w:rsid w:val="00551657"/>
    <w:rsid w:val="00557876"/>
    <w:rsid w:val="0055791C"/>
    <w:rsid w:val="005600DD"/>
    <w:rsid w:val="005621C2"/>
    <w:rsid w:val="00567EE1"/>
    <w:rsid w:val="00583D07"/>
    <w:rsid w:val="00586978"/>
    <w:rsid w:val="00587945"/>
    <w:rsid w:val="00591598"/>
    <w:rsid w:val="00592E9C"/>
    <w:rsid w:val="005A1A2C"/>
    <w:rsid w:val="005A65F6"/>
    <w:rsid w:val="005A7F79"/>
    <w:rsid w:val="005B43ED"/>
    <w:rsid w:val="005B4FAB"/>
    <w:rsid w:val="005C6A30"/>
    <w:rsid w:val="005C714F"/>
    <w:rsid w:val="005D7072"/>
    <w:rsid w:val="005E47AF"/>
    <w:rsid w:val="005E4D39"/>
    <w:rsid w:val="005E52AB"/>
    <w:rsid w:val="005E7B28"/>
    <w:rsid w:val="005F32CF"/>
    <w:rsid w:val="005F794F"/>
    <w:rsid w:val="0060213F"/>
    <w:rsid w:val="00610A2C"/>
    <w:rsid w:val="00615E9D"/>
    <w:rsid w:val="00624543"/>
    <w:rsid w:val="00633222"/>
    <w:rsid w:val="00643157"/>
    <w:rsid w:val="0064439B"/>
    <w:rsid w:val="00646A87"/>
    <w:rsid w:val="00652AEA"/>
    <w:rsid w:val="006636BC"/>
    <w:rsid w:val="00670294"/>
    <w:rsid w:val="0067749E"/>
    <w:rsid w:val="006A4A7D"/>
    <w:rsid w:val="006B479D"/>
    <w:rsid w:val="006E531C"/>
    <w:rsid w:val="006F5217"/>
    <w:rsid w:val="00712DF2"/>
    <w:rsid w:val="00715CA8"/>
    <w:rsid w:val="00727080"/>
    <w:rsid w:val="00730004"/>
    <w:rsid w:val="00731C2B"/>
    <w:rsid w:val="00732703"/>
    <w:rsid w:val="00732DEB"/>
    <w:rsid w:val="00735C87"/>
    <w:rsid w:val="00737E1C"/>
    <w:rsid w:val="00740EC3"/>
    <w:rsid w:val="00757FD1"/>
    <w:rsid w:val="00761835"/>
    <w:rsid w:val="007640A4"/>
    <w:rsid w:val="00773541"/>
    <w:rsid w:val="007747CE"/>
    <w:rsid w:val="00775921"/>
    <w:rsid w:val="00787FE4"/>
    <w:rsid w:val="007A400F"/>
    <w:rsid w:val="007A7A68"/>
    <w:rsid w:val="007C1DC6"/>
    <w:rsid w:val="007C6E9D"/>
    <w:rsid w:val="007C792C"/>
    <w:rsid w:val="007D0DFA"/>
    <w:rsid w:val="007D3727"/>
    <w:rsid w:val="007E2295"/>
    <w:rsid w:val="007E7D62"/>
    <w:rsid w:val="007F08F8"/>
    <w:rsid w:val="007F2C23"/>
    <w:rsid w:val="00811562"/>
    <w:rsid w:val="00816861"/>
    <w:rsid w:val="00817257"/>
    <w:rsid w:val="008179B7"/>
    <w:rsid w:val="008250DF"/>
    <w:rsid w:val="00833924"/>
    <w:rsid w:val="00835F89"/>
    <w:rsid w:val="00837AE7"/>
    <w:rsid w:val="00843D1D"/>
    <w:rsid w:val="008534C5"/>
    <w:rsid w:val="00861CD2"/>
    <w:rsid w:val="008952DA"/>
    <w:rsid w:val="008A041C"/>
    <w:rsid w:val="008A18AA"/>
    <w:rsid w:val="008B033B"/>
    <w:rsid w:val="008B2C8B"/>
    <w:rsid w:val="008C22D4"/>
    <w:rsid w:val="008D0CAF"/>
    <w:rsid w:val="008D38B6"/>
    <w:rsid w:val="008D69EA"/>
    <w:rsid w:val="008E734A"/>
    <w:rsid w:val="008F0589"/>
    <w:rsid w:val="009016D1"/>
    <w:rsid w:val="00932A51"/>
    <w:rsid w:val="009345F8"/>
    <w:rsid w:val="0093487E"/>
    <w:rsid w:val="0095665C"/>
    <w:rsid w:val="00967BB6"/>
    <w:rsid w:val="00967D68"/>
    <w:rsid w:val="009737E5"/>
    <w:rsid w:val="00973FE4"/>
    <w:rsid w:val="009806E1"/>
    <w:rsid w:val="0098275F"/>
    <w:rsid w:val="0098725C"/>
    <w:rsid w:val="009E455E"/>
    <w:rsid w:val="009F3CE5"/>
    <w:rsid w:val="00A04453"/>
    <w:rsid w:val="00A27E62"/>
    <w:rsid w:val="00A31DC6"/>
    <w:rsid w:val="00A33B8D"/>
    <w:rsid w:val="00A351C9"/>
    <w:rsid w:val="00A46CDA"/>
    <w:rsid w:val="00A47007"/>
    <w:rsid w:val="00A5016D"/>
    <w:rsid w:val="00A53898"/>
    <w:rsid w:val="00A67444"/>
    <w:rsid w:val="00A74EF0"/>
    <w:rsid w:val="00A76E98"/>
    <w:rsid w:val="00A82C01"/>
    <w:rsid w:val="00A82D46"/>
    <w:rsid w:val="00A82F87"/>
    <w:rsid w:val="00A97A54"/>
    <w:rsid w:val="00AA7461"/>
    <w:rsid w:val="00AB3B66"/>
    <w:rsid w:val="00AB4972"/>
    <w:rsid w:val="00AB497F"/>
    <w:rsid w:val="00AD2912"/>
    <w:rsid w:val="00AD2E4A"/>
    <w:rsid w:val="00AE02B0"/>
    <w:rsid w:val="00AF5E53"/>
    <w:rsid w:val="00AF6EE0"/>
    <w:rsid w:val="00B01382"/>
    <w:rsid w:val="00B01BA3"/>
    <w:rsid w:val="00B02BEE"/>
    <w:rsid w:val="00B207F7"/>
    <w:rsid w:val="00B24606"/>
    <w:rsid w:val="00B32311"/>
    <w:rsid w:val="00B34ABB"/>
    <w:rsid w:val="00B41683"/>
    <w:rsid w:val="00B41BE2"/>
    <w:rsid w:val="00B428D8"/>
    <w:rsid w:val="00B44ECE"/>
    <w:rsid w:val="00B46E21"/>
    <w:rsid w:val="00B5019B"/>
    <w:rsid w:val="00B556CF"/>
    <w:rsid w:val="00B56093"/>
    <w:rsid w:val="00B561EB"/>
    <w:rsid w:val="00B64698"/>
    <w:rsid w:val="00B67E83"/>
    <w:rsid w:val="00B71129"/>
    <w:rsid w:val="00B72FAF"/>
    <w:rsid w:val="00B80666"/>
    <w:rsid w:val="00B874E0"/>
    <w:rsid w:val="00BB02A9"/>
    <w:rsid w:val="00BB07D4"/>
    <w:rsid w:val="00BB11AA"/>
    <w:rsid w:val="00BB551C"/>
    <w:rsid w:val="00BB70CC"/>
    <w:rsid w:val="00BB7CCF"/>
    <w:rsid w:val="00BC6861"/>
    <w:rsid w:val="00BD2594"/>
    <w:rsid w:val="00BF3143"/>
    <w:rsid w:val="00BF3F64"/>
    <w:rsid w:val="00C4141A"/>
    <w:rsid w:val="00C4350A"/>
    <w:rsid w:val="00C50FE3"/>
    <w:rsid w:val="00C53758"/>
    <w:rsid w:val="00C5642F"/>
    <w:rsid w:val="00C61D5C"/>
    <w:rsid w:val="00C778A3"/>
    <w:rsid w:val="00C82775"/>
    <w:rsid w:val="00C93CDF"/>
    <w:rsid w:val="00CA2E3C"/>
    <w:rsid w:val="00CB5A04"/>
    <w:rsid w:val="00CC5BEA"/>
    <w:rsid w:val="00CD5C43"/>
    <w:rsid w:val="00CE5084"/>
    <w:rsid w:val="00CE52C4"/>
    <w:rsid w:val="00D107D4"/>
    <w:rsid w:val="00D4549F"/>
    <w:rsid w:val="00D50F33"/>
    <w:rsid w:val="00D62430"/>
    <w:rsid w:val="00D65AD6"/>
    <w:rsid w:val="00D8580E"/>
    <w:rsid w:val="00D91AE4"/>
    <w:rsid w:val="00D9610F"/>
    <w:rsid w:val="00DA0E75"/>
    <w:rsid w:val="00DA4178"/>
    <w:rsid w:val="00DB2C45"/>
    <w:rsid w:val="00DC2C4E"/>
    <w:rsid w:val="00DD3086"/>
    <w:rsid w:val="00DE0535"/>
    <w:rsid w:val="00DE3374"/>
    <w:rsid w:val="00DE4D7B"/>
    <w:rsid w:val="00E14DAF"/>
    <w:rsid w:val="00E17C57"/>
    <w:rsid w:val="00E22A5E"/>
    <w:rsid w:val="00E24A62"/>
    <w:rsid w:val="00E26DBD"/>
    <w:rsid w:val="00E27C82"/>
    <w:rsid w:val="00E33217"/>
    <w:rsid w:val="00E35889"/>
    <w:rsid w:val="00E42020"/>
    <w:rsid w:val="00E44D04"/>
    <w:rsid w:val="00E8182F"/>
    <w:rsid w:val="00E836EA"/>
    <w:rsid w:val="00EA51D7"/>
    <w:rsid w:val="00EA722D"/>
    <w:rsid w:val="00EC553A"/>
    <w:rsid w:val="00ED086C"/>
    <w:rsid w:val="00ED310D"/>
    <w:rsid w:val="00EE2253"/>
    <w:rsid w:val="00EE6914"/>
    <w:rsid w:val="00F01BC0"/>
    <w:rsid w:val="00F07731"/>
    <w:rsid w:val="00F120A1"/>
    <w:rsid w:val="00F1392F"/>
    <w:rsid w:val="00F276AE"/>
    <w:rsid w:val="00F30DC4"/>
    <w:rsid w:val="00F332A7"/>
    <w:rsid w:val="00F517C1"/>
    <w:rsid w:val="00F51F89"/>
    <w:rsid w:val="00F6533C"/>
    <w:rsid w:val="00F804F7"/>
    <w:rsid w:val="00F80EF2"/>
    <w:rsid w:val="00F82ADF"/>
    <w:rsid w:val="00F859A4"/>
    <w:rsid w:val="00F9308D"/>
    <w:rsid w:val="00F9721E"/>
    <w:rsid w:val="00FA1BC4"/>
    <w:rsid w:val="00FA61EF"/>
    <w:rsid w:val="00FB1292"/>
    <w:rsid w:val="00FC0162"/>
    <w:rsid w:val="00FC20CC"/>
    <w:rsid w:val="00FC5154"/>
    <w:rsid w:val="00FC6EAD"/>
    <w:rsid w:val="00FE0F4F"/>
    <w:rsid w:val="00FE3678"/>
    <w:rsid w:val="00FF2525"/>
    <w:rsid w:val="00FF6A8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B2A4A54-6FA5-44AB-BB4A-00C9F8E2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53D"/>
    <w:pPr>
      <w:spacing w:line="260" w:lineRule="exact"/>
    </w:pPr>
    <w:rPr>
      <w:rFonts w:ascii="Univers" w:hAnsi="Univers"/>
    </w:rPr>
  </w:style>
  <w:style w:type="paragraph" w:styleId="Heading1">
    <w:name w:val="heading 1"/>
    <w:basedOn w:val="Normal"/>
    <w:next w:val="Normal"/>
    <w:qFormat/>
    <w:rsid w:val="0024053D"/>
    <w:pPr>
      <w:keepNext/>
      <w:spacing w:before="240" w:after="60" w:line="240" w:lineRule="auto"/>
      <w:outlineLvl w:val="0"/>
    </w:pPr>
    <w:rPr>
      <w:b/>
      <w:kern w:val="28"/>
      <w:sz w:val="28"/>
    </w:rPr>
  </w:style>
  <w:style w:type="paragraph" w:styleId="Heading2">
    <w:name w:val="heading 2"/>
    <w:basedOn w:val="Normal"/>
    <w:next w:val="Normal"/>
    <w:qFormat/>
    <w:rsid w:val="0024053D"/>
    <w:pPr>
      <w:keepNext/>
      <w:spacing w:before="240" w:after="60" w:line="240" w:lineRule="auto"/>
      <w:outlineLvl w:val="1"/>
    </w:pPr>
    <w:rPr>
      <w:rFonts w:ascii="Arial" w:hAnsi="Arial"/>
      <w:b/>
      <w:i/>
      <w:sz w:val="24"/>
    </w:rPr>
  </w:style>
  <w:style w:type="paragraph" w:styleId="Heading3">
    <w:name w:val="heading 3"/>
    <w:basedOn w:val="Normal"/>
    <w:next w:val="Normal"/>
    <w:qFormat/>
    <w:rsid w:val="0024053D"/>
    <w:pPr>
      <w:keepNext/>
      <w:spacing w:before="240" w:after="60" w:line="240" w:lineRule="auto"/>
      <w:outlineLvl w:val="2"/>
    </w:pPr>
    <w:rPr>
      <w:rFonts w:ascii="Arial" w:hAnsi="Arial"/>
      <w:sz w:val="24"/>
    </w:rPr>
  </w:style>
  <w:style w:type="paragraph" w:styleId="Heading4">
    <w:name w:val="heading 4"/>
    <w:basedOn w:val="Normal"/>
    <w:next w:val="Normal"/>
    <w:qFormat/>
    <w:rsid w:val="0024053D"/>
    <w:pPr>
      <w:keepNext/>
      <w:spacing w:before="240" w:after="60" w:line="240" w:lineRule="auto"/>
      <w:outlineLvl w:val="3"/>
    </w:pPr>
    <w:rPr>
      <w:rFonts w:ascii="Arial" w:hAnsi="Arial"/>
      <w:b/>
      <w:sz w:val="24"/>
    </w:rPr>
  </w:style>
  <w:style w:type="paragraph" w:styleId="Heading5">
    <w:name w:val="heading 5"/>
    <w:basedOn w:val="Normal"/>
    <w:next w:val="Normal"/>
    <w:qFormat/>
    <w:rsid w:val="0024053D"/>
    <w:pPr>
      <w:spacing w:before="240" w:after="60" w:line="240" w:lineRule="auto"/>
      <w:outlineLvl w:val="4"/>
    </w:pPr>
    <w:rPr>
      <w:sz w:val="22"/>
    </w:rPr>
  </w:style>
  <w:style w:type="paragraph" w:styleId="Heading6">
    <w:name w:val="heading 6"/>
    <w:basedOn w:val="Normal"/>
    <w:next w:val="Normal"/>
    <w:qFormat/>
    <w:rsid w:val="0024053D"/>
    <w:pPr>
      <w:spacing w:before="240" w:after="60" w:line="240" w:lineRule="auto"/>
      <w:outlineLvl w:val="5"/>
    </w:pPr>
    <w:rPr>
      <w:rFonts w:ascii="Times New Roman" w:hAnsi="Times New Roman"/>
      <w:i/>
      <w:sz w:val="22"/>
    </w:rPr>
  </w:style>
  <w:style w:type="paragraph" w:styleId="Heading7">
    <w:name w:val="heading 7"/>
    <w:basedOn w:val="Normal"/>
    <w:next w:val="Normal"/>
    <w:qFormat/>
    <w:rsid w:val="0024053D"/>
    <w:pPr>
      <w:spacing w:before="240" w:after="60" w:line="240" w:lineRule="auto"/>
      <w:outlineLvl w:val="6"/>
    </w:pPr>
    <w:rPr>
      <w:rFonts w:ascii="Arial" w:hAnsi="Arial"/>
    </w:rPr>
  </w:style>
  <w:style w:type="paragraph" w:styleId="Heading8">
    <w:name w:val="heading 8"/>
    <w:basedOn w:val="Normal"/>
    <w:next w:val="Normal"/>
    <w:qFormat/>
    <w:rsid w:val="0024053D"/>
    <w:pPr>
      <w:spacing w:before="240" w:after="60" w:line="240" w:lineRule="auto"/>
      <w:outlineLvl w:val="7"/>
    </w:pPr>
    <w:rPr>
      <w:rFonts w:ascii="Arial" w:hAnsi="Arial"/>
      <w:i/>
    </w:rPr>
  </w:style>
  <w:style w:type="paragraph" w:styleId="Heading9">
    <w:name w:val="heading 9"/>
    <w:basedOn w:val="Normal"/>
    <w:next w:val="Normal"/>
    <w:qFormat/>
    <w:rsid w:val="0024053D"/>
    <w:p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4053D"/>
    <w:pPr>
      <w:tabs>
        <w:tab w:val="center" w:pos="4536"/>
        <w:tab w:val="right" w:pos="9072"/>
      </w:tabs>
      <w:spacing w:line="240" w:lineRule="auto"/>
    </w:pPr>
    <w:rPr>
      <w:spacing w:val="6"/>
      <w:sz w:val="16"/>
    </w:rPr>
  </w:style>
  <w:style w:type="paragraph" w:customStyle="1" w:styleId="Ondertekening">
    <w:name w:val="Ondertekening"/>
    <w:basedOn w:val="Normal"/>
    <w:next w:val="Normal"/>
    <w:rsid w:val="0024053D"/>
    <w:pPr>
      <w:spacing w:before="810" w:line="240" w:lineRule="auto"/>
    </w:pPr>
  </w:style>
  <w:style w:type="paragraph" w:styleId="Footer">
    <w:name w:val="footer"/>
    <w:basedOn w:val="Normal"/>
    <w:link w:val="FooterChar"/>
    <w:uiPriority w:val="99"/>
    <w:rsid w:val="0024053D"/>
    <w:pPr>
      <w:tabs>
        <w:tab w:val="center" w:pos="4536"/>
        <w:tab w:val="right" w:pos="9072"/>
      </w:tabs>
      <w:spacing w:line="240" w:lineRule="auto"/>
    </w:pPr>
  </w:style>
  <w:style w:type="character" w:styleId="PageNumber">
    <w:name w:val="page number"/>
    <w:basedOn w:val="DefaultParagraphFont"/>
    <w:rsid w:val="0024053D"/>
  </w:style>
  <w:style w:type="paragraph" w:styleId="Salutation">
    <w:name w:val="Salutation"/>
    <w:basedOn w:val="Normal"/>
    <w:next w:val="Normal"/>
    <w:rsid w:val="0024053D"/>
    <w:pPr>
      <w:spacing w:line="240" w:lineRule="auto"/>
    </w:pPr>
  </w:style>
  <w:style w:type="paragraph" w:styleId="EnvelopeAddress">
    <w:name w:val="envelope address"/>
    <w:basedOn w:val="Normal"/>
    <w:rsid w:val="0024053D"/>
    <w:pPr>
      <w:framePr w:w="7920" w:h="1980" w:hRule="exact" w:hSpace="141" w:wrap="auto" w:hAnchor="page" w:xAlign="center" w:yAlign="bottom"/>
      <w:spacing w:line="240" w:lineRule="auto"/>
      <w:ind w:left="2880"/>
    </w:pPr>
    <w:rPr>
      <w:rFonts w:ascii="Arial" w:hAnsi="Arial"/>
      <w:sz w:val="24"/>
    </w:rPr>
  </w:style>
  <w:style w:type="paragraph" w:styleId="Closing">
    <w:name w:val="Closing"/>
    <w:basedOn w:val="Normal"/>
    <w:rsid w:val="0024053D"/>
    <w:pPr>
      <w:spacing w:line="240" w:lineRule="auto"/>
      <w:ind w:left="4252"/>
    </w:pPr>
  </w:style>
  <w:style w:type="paragraph" w:styleId="EnvelopeReturn">
    <w:name w:val="envelope return"/>
    <w:basedOn w:val="Normal"/>
    <w:rsid w:val="0024053D"/>
    <w:pPr>
      <w:spacing w:line="240" w:lineRule="auto"/>
    </w:pPr>
    <w:rPr>
      <w:rFonts w:ascii="Arial" w:hAnsi="Arial"/>
    </w:rPr>
  </w:style>
  <w:style w:type="paragraph" w:styleId="MessageHeader">
    <w:name w:val="Message Header"/>
    <w:basedOn w:val="Normal"/>
    <w:rsid w:val="0024053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Arial" w:hAnsi="Arial"/>
      <w:sz w:val="24"/>
    </w:rPr>
  </w:style>
  <w:style w:type="paragraph" w:styleId="Caption">
    <w:name w:val="caption"/>
    <w:basedOn w:val="Normal"/>
    <w:next w:val="Normal"/>
    <w:qFormat/>
    <w:rsid w:val="0024053D"/>
    <w:pPr>
      <w:spacing w:before="120" w:after="120" w:line="240" w:lineRule="auto"/>
    </w:pPr>
    <w:rPr>
      <w:b/>
    </w:rPr>
  </w:style>
  <w:style w:type="paragraph" w:styleId="BlockText">
    <w:name w:val="Block Text"/>
    <w:basedOn w:val="Normal"/>
    <w:rsid w:val="0024053D"/>
    <w:pPr>
      <w:spacing w:after="120" w:line="240" w:lineRule="auto"/>
      <w:ind w:left="1440" w:right="1440"/>
    </w:pPr>
  </w:style>
  <w:style w:type="paragraph" w:styleId="TableofAuthorities">
    <w:name w:val="table of authorities"/>
    <w:basedOn w:val="Normal"/>
    <w:next w:val="Normal"/>
    <w:semiHidden/>
    <w:rsid w:val="0024053D"/>
    <w:pPr>
      <w:spacing w:line="240" w:lineRule="auto"/>
      <w:ind w:left="200" w:hanging="200"/>
    </w:pPr>
  </w:style>
  <w:style w:type="paragraph" w:styleId="Date">
    <w:name w:val="Date"/>
    <w:basedOn w:val="Normal"/>
    <w:next w:val="Normal"/>
    <w:rsid w:val="0024053D"/>
    <w:pPr>
      <w:spacing w:line="240" w:lineRule="auto"/>
    </w:pPr>
  </w:style>
  <w:style w:type="paragraph" w:styleId="DocumentMap">
    <w:name w:val="Document Map"/>
    <w:basedOn w:val="Normal"/>
    <w:semiHidden/>
    <w:rsid w:val="0024053D"/>
    <w:pPr>
      <w:shd w:val="clear" w:color="auto" w:fill="000080"/>
      <w:spacing w:line="240" w:lineRule="auto"/>
    </w:pPr>
    <w:rPr>
      <w:rFonts w:ascii="Tahoma" w:hAnsi="Tahoma"/>
    </w:rPr>
  </w:style>
  <w:style w:type="paragraph" w:styleId="EndnoteText">
    <w:name w:val="endnote text"/>
    <w:basedOn w:val="Normal"/>
    <w:semiHidden/>
    <w:rsid w:val="0024053D"/>
    <w:pPr>
      <w:spacing w:line="240" w:lineRule="auto"/>
    </w:pPr>
  </w:style>
  <w:style w:type="paragraph" w:styleId="Signature">
    <w:name w:val="Signature"/>
    <w:basedOn w:val="Normal"/>
    <w:rsid w:val="0024053D"/>
    <w:pPr>
      <w:spacing w:line="240" w:lineRule="auto"/>
      <w:ind w:left="4252"/>
    </w:pPr>
  </w:style>
  <w:style w:type="paragraph" w:styleId="Index1">
    <w:name w:val="index 1"/>
    <w:basedOn w:val="Normal"/>
    <w:next w:val="Normal"/>
    <w:semiHidden/>
    <w:rsid w:val="0024053D"/>
    <w:pPr>
      <w:spacing w:line="240" w:lineRule="auto"/>
      <w:ind w:left="200" w:hanging="200"/>
    </w:pPr>
  </w:style>
  <w:style w:type="paragraph" w:styleId="Index2">
    <w:name w:val="index 2"/>
    <w:basedOn w:val="Normal"/>
    <w:next w:val="Normal"/>
    <w:semiHidden/>
    <w:rsid w:val="0024053D"/>
    <w:pPr>
      <w:spacing w:line="240" w:lineRule="auto"/>
      <w:ind w:left="400" w:hanging="200"/>
    </w:pPr>
  </w:style>
  <w:style w:type="paragraph" w:styleId="Index3">
    <w:name w:val="index 3"/>
    <w:basedOn w:val="Normal"/>
    <w:next w:val="Normal"/>
    <w:semiHidden/>
    <w:rsid w:val="0024053D"/>
    <w:pPr>
      <w:spacing w:line="240" w:lineRule="auto"/>
      <w:ind w:left="600" w:hanging="200"/>
    </w:pPr>
  </w:style>
  <w:style w:type="paragraph" w:styleId="Index4">
    <w:name w:val="index 4"/>
    <w:basedOn w:val="Normal"/>
    <w:next w:val="Normal"/>
    <w:semiHidden/>
    <w:rsid w:val="0024053D"/>
    <w:pPr>
      <w:spacing w:line="240" w:lineRule="auto"/>
      <w:ind w:left="800" w:hanging="200"/>
    </w:pPr>
  </w:style>
  <w:style w:type="paragraph" w:styleId="Index5">
    <w:name w:val="index 5"/>
    <w:basedOn w:val="Normal"/>
    <w:next w:val="Normal"/>
    <w:semiHidden/>
    <w:rsid w:val="0024053D"/>
    <w:pPr>
      <w:spacing w:line="240" w:lineRule="auto"/>
      <w:ind w:left="1000" w:hanging="200"/>
    </w:pPr>
  </w:style>
  <w:style w:type="paragraph" w:styleId="Index6">
    <w:name w:val="index 6"/>
    <w:basedOn w:val="Normal"/>
    <w:next w:val="Normal"/>
    <w:semiHidden/>
    <w:rsid w:val="0024053D"/>
    <w:pPr>
      <w:spacing w:line="240" w:lineRule="auto"/>
      <w:ind w:left="1200" w:hanging="200"/>
    </w:pPr>
  </w:style>
  <w:style w:type="paragraph" w:styleId="Index7">
    <w:name w:val="index 7"/>
    <w:basedOn w:val="Normal"/>
    <w:next w:val="Normal"/>
    <w:semiHidden/>
    <w:rsid w:val="0024053D"/>
    <w:pPr>
      <w:spacing w:line="240" w:lineRule="auto"/>
      <w:ind w:left="1400" w:hanging="200"/>
    </w:pPr>
  </w:style>
  <w:style w:type="paragraph" w:styleId="Index8">
    <w:name w:val="index 8"/>
    <w:basedOn w:val="Normal"/>
    <w:next w:val="Normal"/>
    <w:semiHidden/>
    <w:rsid w:val="0024053D"/>
    <w:pPr>
      <w:spacing w:line="240" w:lineRule="auto"/>
      <w:ind w:left="1600" w:hanging="200"/>
    </w:pPr>
  </w:style>
  <w:style w:type="paragraph" w:styleId="Index9">
    <w:name w:val="index 9"/>
    <w:basedOn w:val="Normal"/>
    <w:next w:val="Normal"/>
    <w:semiHidden/>
    <w:rsid w:val="0024053D"/>
    <w:pPr>
      <w:spacing w:line="240" w:lineRule="auto"/>
      <w:ind w:left="1800" w:hanging="200"/>
    </w:pPr>
  </w:style>
  <w:style w:type="paragraph" w:styleId="IndexHeading">
    <w:name w:val="index heading"/>
    <w:basedOn w:val="Normal"/>
    <w:next w:val="Index1"/>
    <w:semiHidden/>
    <w:rsid w:val="0024053D"/>
    <w:pPr>
      <w:spacing w:line="240" w:lineRule="auto"/>
    </w:pPr>
    <w:rPr>
      <w:rFonts w:ascii="Arial" w:hAnsi="Arial"/>
      <w:b/>
    </w:rPr>
  </w:style>
  <w:style w:type="paragraph" w:styleId="TOC1">
    <w:name w:val="toc 1"/>
    <w:basedOn w:val="Normal"/>
    <w:next w:val="Normal"/>
    <w:semiHidden/>
    <w:rsid w:val="0024053D"/>
    <w:pPr>
      <w:spacing w:line="240" w:lineRule="auto"/>
    </w:pPr>
  </w:style>
  <w:style w:type="paragraph" w:styleId="TOC2">
    <w:name w:val="toc 2"/>
    <w:basedOn w:val="Normal"/>
    <w:next w:val="Normal"/>
    <w:semiHidden/>
    <w:rsid w:val="0024053D"/>
    <w:pPr>
      <w:spacing w:line="240" w:lineRule="auto"/>
      <w:ind w:left="200"/>
    </w:pPr>
  </w:style>
  <w:style w:type="paragraph" w:styleId="TOC3">
    <w:name w:val="toc 3"/>
    <w:basedOn w:val="Normal"/>
    <w:next w:val="Normal"/>
    <w:semiHidden/>
    <w:rsid w:val="0024053D"/>
    <w:pPr>
      <w:spacing w:line="240" w:lineRule="auto"/>
      <w:ind w:left="400"/>
    </w:pPr>
  </w:style>
  <w:style w:type="paragraph" w:styleId="TOC4">
    <w:name w:val="toc 4"/>
    <w:basedOn w:val="Normal"/>
    <w:next w:val="Normal"/>
    <w:semiHidden/>
    <w:rsid w:val="0024053D"/>
    <w:pPr>
      <w:spacing w:line="240" w:lineRule="auto"/>
      <w:ind w:left="600"/>
    </w:pPr>
  </w:style>
  <w:style w:type="paragraph" w:styleId="TOC5">
    <w:name w:val="toc 5"/>
    <w:basedOn w:val="Normal"/>
    <w:next w:val="Normal"/>
    <w:semiHidden/>
    <w:rsid w:val="0024053D"/>
    <w:pPr>
      <w:spacing w:line="240" w:lineRule="auto"/>
      <w:ind w:left="800"/>
    </w:pPr>
  </w:style>
  <w:style w:type="paragraph" w:styleId="TOC6">
    <w:name w:val="toc 6"/>
    <w:basedOn w:val="Normal"/>
    <w:next w:val="Normal"/>
    <w:semiHidden/>
    <w:rsid w:val="0024053D"/>
    <w:pPr>
      <w:spacing w:line="240" w:lineRule="auto"/>
      <w:ind w:left="1000"/>
    </w:pPr>
  </w:style>
  <w:style w:type="paragraph" w:styleId="TOC7">
    <w:name w:val="toc 7"/>
    <w:basedOn w:val="Normal"/>
    <w:next w:val="Normal"/>
    <w:semiHidden/>
    <w:rsid w:val="0024053D"/>
    <w:pPr>
      <w:spacing w:line="240" w:lineRule="auto"/>
      <w:ind w:left="1200"/>
    </w:pPr>
  </w:style>
  <w:style w:type="paragraph" w:styleId="TOC8">
    <w:name w:val="toc 8"/>
    <w:basedOn w:val="Normal"/>
    <w:next w:val="Normal"/>
    <w:semiHidden/>
    <w:rsid w:val="0024053D"/>
    <w:pPr>
      <w:spacing w:line="240" w:lineRule="auto"/>
      <w:ind w:left="1400"/>
    </w:pPr>
  </w:style>
  <w:style w:type="paragraph" w:styleId="TOC9">
    <w:name w:val="toc 9"/>
    <w:basedOn w:val="Normal"/>
    <w:next w:val="Normal"/>
    <w:semiHidden/>
    <w:rsid w:val="0024053D"/>
    <w:pPr>
      <w:spacing w:line="240" w:lineRule="auto"/>
      <w:ind w:left="1600"/>
    </w:pPr>
  </w:style>
  <w:style w:type="paragraph" w:styleId="TOAHeading">
    <w:name w:val="toa heading"/>
    <w:basedOn w:val="Normal"/>
    <w:next w:val="Normal"/>
    <w:semiHidden/>
    <w:rsid w:val="0024053D"/>
    <w:pPr>
      <w:spacing w:before="120" w:line="240" w:lineRule="auto"/>
    </w:pPr>
    <w:rPr>
      <w:rFonts w:ascii="Arial" w:hAnsi="Arial"/>
      <w:b/>
      <w:sz w:val="24"/>
    </w:rPr>
  </w:style>
  <w:style w:type="paragraph" w:styleId="List">
    <w:name w:val="List"/>
    <w:basedOn w:val="Normal"/>
    <w:rsid w:val="0024053D"/>
    <w:pPr>
      <w:spacing w:line="240" w:lineRule="auto"/>
      <w:ind w:left="283" w:hanging="283"/>
    </w:pPr>
  </w:style>
  <w:style w:type="paragraph" w:styleId="List2">
    <w:name w:val="List 2"/>
    <w:basedOn w:val="Normal"/>
    <w:rsid w:val="0024053D"/>
    <w:pPr>
      <w:spacing w:line="240" w:lineRule="auto"/>
      <w:ind w:left="566" w:hanging="283"/>
    </w:pPr>
  </w:style>
  <w:style w:type="paragraph" w:styleId="List3">
    <w:name w:val="List 3"/>
    <w:basedOn w:val="Normal"/>
    <w:rsid w:val="0024053D"/>
    <w:pPr>
      <w:spacing w:line="240" w:lineRule="auto"/>
      <w:ind w:left="849" w:hanging="283"/>
    </w:pPr>
  </w:style>
  <w:style w:type="paragraph" w:styleId="List4">
    <w:name w:val="List 4"/>
    <w:basedOn w:val="Normal"/>
    <w:rsid w:val="0024053D"/>
    <w:pPr>
      <w:spacing w:line="240" w:lineRule="auto"/>
      <w:ind w:left="1132" w:hanging="283"/>
    </w:pPr>
  </w:style>
  <w:style w:type="paragraph" w:styleId="List5">
    <w:name w:val="List 5"/>
    <w:basedOn w:val="Normal"/>
    <w:rsid w:val="0024053D"/>
    <w:pPr>
      <w:spacing w:line="240" w:lineRule="auto"/>
      <w:ind w:left="1415" w:hanging="283"/>
    </w:pPr>
  </w:style>
  <w:style w:type="paragraph" w:styleId="TableofFigures">
    <w:name w:val="table of figures"/>
    <w:basedOn w:val="Normal"/>
    <w:next w:val="Normal"/>
    <w:semiHidden/>
    <w:rsid w:val="0024053D"/>
    <w:pPr>
      <w:spacing w:line="240" w:lineRule="auto"/>
      <w:ind w:left="400" w:hanging="400"/>
    </w:pPr>
  </w:style>
  <w:style w:type="paragraph" w:styleId="ListBullet">
    <w:name w:val="List Bullet"/>
    <w:basedOn w:val="Normal"/>
    <w:rsid w:val="0024053D"/>
    <w:pPr>
      <w:numPr>
        <w:numId w:val="11"/>
      </w:numPr>
      <w:spacing w:line="240" w:lineRule="auto"/>
    </w:pPr>
  </w:style>
  <w:style w:type="paragraph" w:styleId="ListBullet2">
    <w:name w:val="List Bullet 2"/>
    <w:basedOn w:val="Normal"/>
    <w:rsid w:val="0024053D"/>
    <w:pPr>
      <w:numPr>
        <w:numId w:val="12"/>
      </w:numPr>
      <w:spacing w:line="240" w:lineRule="auto"/>
    </w:pPr>
  </w:style>
  <w:style w:type="paragraph" w:styleId="ListBullet3">
    <w:name w:val="List Bullet 3"/>
    <w:basedOn w:val="Normal"/>
    <w:rsid w:val="0024053D"/>
    <w:pPr>
      <w:numPr>
        <w:numId w:val="13"/>
      </w:numPr>
      <w:spacing w:line="240" w:lineRule="auto"/>
    </w:pPr>
  </w:style>
  <w:style w:type="paragraph" w:styleId="ListBullet4">
    <w:name w:val="List Bullet 4"/>
    <w:basedOn w:val="Normal"/>
    <w:rsid w:val="0024053D"/>
    <w:pPr>
      <w:numPr>
        <w:numId w:val="14"/>
      </w:numPr>
      <w:spacing w:line="240" w:lineRule="auto"/>
    </w:pPr>
  </w:style>
  <w:style w:type="paragraph" w:styleId="ListBullet5">
    <w:name w:val="List Bullet 5"/>
    <w:basedOn w:val="Normal"/>
    <w:rsid w:val="0024053D"/>
    <w:pPr>
      <w:numPr>
        <w:numId w:val="15"/>
      </w:numPr>
      <w:spacing w:line="240" w:lineRule="auto"/>
    </w:pPr>
  </w:style>
  <w:style w:type="paragraph" w:styleId="ListNumber">
    <w:name w:val="List Number"/>
    <w:basedOn w:val="Normal"/>
    <w:rsid w:val="0024053D"/>
    <w:pPr>
      <w:numPr>
        <w:numId w:val="16"/>
      </w:numPr>
      <w:spacing w:line="240" w:lineRule="auto"/>
    </w:pPr>
  </w:style>
  <w:style w:type="paragraph" w:styleId="ListNumber2">
    <w:name w:val="List Number 2"/>
    <w:basedOn w:val="Normal"/>
    <w:rsid w:val="0024053D"/>
    <w:pPr>
      <w:numPr>
        <w:numId w:val="17"/>
      </w:numPr>
      <w:spacing w:line="240" w:lineRule="auto"/>
    </w:pPr>
  </w:style>
  <w:style w:type="paragraph" w:styleId="ListNumber3">
    <w:name w:val="List Number 3"/>
    <w:basedOn w:val="Normal"/>
    <w:rsid w:val="0024053D"/>
    <w:pPr>
      <w:numPr>
        <w:numId w:val="18"/>
      </w:numPr>
      <w:spacing w:line="240" w:lineRule="auto"/>
    </w:pPr>
  </w:style>
  <w:style w:type="paragraph" w:styleId="ListNumber4">
    <w:name w:val="List Number 4"/>
    <w:basedOn w:val="Normal"/>
    <w:rsid w:val="0024053D"/>
    <w:pPr>
      <w:numPr>
        <w:numId w:val="19"/>
      </w:numPr>
      <w:spacing w:line="240" w:lineRule="auto"/>
    </w:pPr>
  </w:style>
  <w:style w:type="paragraph" w:styleId="ListNumber5">
    <w:name w:val="List Number 5"/>
    <w:basedOn w:val="Normal"/>
    <w:rsid w:val="0024053D"/>
    <w:pPr>
      <w:numPr>
        <w:numId w:val="20"/>
      </w:numPr>
      <w:spacing w:line="240" w:lineRule="auto"/>
    </w:pPr>
  </w:style>
  <w:style w:type="paragraph" w:styleId="ListContinue">
    <w:name w:val="List Continue"/>
    <w:basedOn w:val="Normal"/>
    <w:rsid w:val="0024053D"/>
    <w:pPr>
      <w:spacing w:after="120" w:line="240" w:lineRule="auto"/>
      <w:ind w:left="283"/>
    </w:pPr>
  </w:style>
  <w:style w:type="paragraph" w:styleId="ListContinue2">
    <w:name w:val="List Continue 2"/>
    <w:basedOn w:val="Normal"/>
    <w:rsid w:val="0024053D"/>
    <w:pPr>
      <w:spacing w:after="120" w:line="240" w:lineRule="auto"/>
      <w:ind w:left="566"/>
    </w:pPr>
  </w:style>
  <w:style w:type="paragraph" w:styleId="ListContinue3">
    <w:name w:val="List Continue 3"/>
    <w:basedOn w:val="Normal"/>
    <w:rsid w:val="0024053D"/>
    <w:pPr>
      <w:spacing w:after="120" w:line="240" w:lineRule="auto"/>
      <w:ind w:left="849"/>
    </w:pPr>
  </w:style>
  <w:style w:type="paragraph" w:styleId="ListContinue4">
    <w:name w:val="List Continue 4"/>
    <w:basedOn w:val="Normal"/>
    <w:rsid w:val="0024053D"/>
    <w:pPr>
      <w:spacing w:after="120" w:line="240" w:lineRule="auto"/>
      <w:ind w:left="1132"/>
    </w:pPr>
  </w:style>
  <w:style w:type="paragraph" w:styleId="ListContinue5">
    <w:name w:val="List Continue 5"/>
    <w:basedOn w:val="Normal"/>
    <w:rsid w:val="0024053D"/>
    <w:pPr>
      <w:spacing w:after="120" w:line="240" w:lineRule="auto"/>
      <w:ind w:left="1415"/>
    </w:pPr>
  </w:style>
  <w:style w:type="paragraph" w:styleId="MacroText">
    <w:name w:val="macro"/>
    <w:semiHidden/>
    <w:rsid w:val="0024053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eHeading">
    <w:name w:val="Note Heading"/>
    <w:basedOn w:val="Normal"/>
    <w:next w:val="Normal"/>
    <w:rsid w:val="0024053D"/>
    <w:pPr>
      <w:spacing w:line="240" w:lineRule="auto"/>
    </w:pPr>
  </w:style>
  <w:style w:type="paragraph" w:styleId="PlainText">
    <w:name w:val="Plain Text"/>
    <w:basedOn w:val="Normal"/>
    <w:rsid w:val="0024053D"/>
    <w:pPr>
      <w:spacing w:line="240" w:lineRule="auto"/>
    </w:pPr>
    <w:rPr>
      <w:rFonts w:ascii="Courier New" w:hAnsi="Courier New"/>
    </w:rPr>
  </w:style>
  <w:style w:type="paragraph" w:styleId="BodyText">
    <w:name w:val="Body Text"/>
    <w:basedOn w:val="Normal"/>
    <w:rsid w:val="0024053D"/>
    <w:pPr>
      <w:spacing w:after="120" w:line="240" w:lineRule="auto"/>
    </w:pPr>
  </w:style>
  <w:style w:type="paragraph" w:styleId="BodyText2">
    <w:name w:val="Body Text 2"/>
    <w:basedOn w:val="Normal"/>
    <w:rsid w:val="0024053D"/>
    <w:pPr>
      <w:spacing w:after="120" w:line="480" w:lineRule="auto"/>
    </w:pPr>
  </w:style>
  <w:style w:type="paragraph" w:styleId="BodyText3">
    <w:name w:val="Body Text 3"/>
    <w:basedOn w:val="Normal"/>
    <w:rsid w:val="0024053D"/>
    <w:pPr>
      <w:spacing w:after="120" w:line="240" w:lineRule="auto"/>
    </w:pPr>
    <w:rPr>
      <w:sz w:val="16"/>
    </w:rPr>
  </w:style>
  <w:style w:type="paragraph" w:styleId="BodyTextFirstIndent">
    <w:name w:val="Body Text First Indent"/>
    <w:basedOn w:val="BodyText"/>
    <w:rsid w:val="0024053D"/>
    <w:pPr>
      <w:ind w:firstLine="210"/>
    </w:pPr>
  </w:style>
  <w:style w:type="paragraph" w:styleId="BodyTextIndent">
    <w:name w:val="Body Text Indent"/>
    <w:basedOn w:val="Normal"/>
    <w:rsid w:val="0024053D"/>
    <w:pPr>
      <w:spacing w:after="120" w:line="240" w:lineRule="auto"/>
      <w:ind w:left="283"/>
    </w:pPr>
  </w:style>
  <w:style w:type="paragraph" w:styleId="BodyTextFirstIndent2">
    <w:name w:val="Body Text First Indent 2"/>
    <w:basedOn w:val="BodyTextIndent"/>
    <w:rsid w:val="0024053D"/>
    <w:pPr>
      <w:ind w:firstLine="210"/>
    </w:pPr>
  </w:style>
  <w:style w:type="paragraph" w:styleId="BodyTextIndent2">
    <w:name w:val="Body Text Indent 2"/>
    <w:basedOn w:val="Normal"/>
    <w:rsid w:val="0024053D"/>
    <w:pPr>
      <w:spacing w:after="120" w:line="480" w:lineRule="auto"/>
      <w:ind w:left="283"/>
    </w:pPr>
  </w:style>
  <w:style w:type="paragraph" w:styleId="BodyTextIndent3">
    <w:name w:val="Body Text Indent 3"/>
    <w:basedOn w:val="Normal"/>
    <w:rsid w:val="0024053D"/>
    <w:pPr>
      <w:spacing w:after="120" w:line="240" w:lineRule="auto"/>
      <w:ind w:left="283"/>
    </w:pPr>
    <w:rPr>
      <w:sz w:val="16"/>
    </w:rPr>
  </w:style>
  <w:style w:type="paragraph" w:styleId="NormalIndent">
    <w:name w:val="Normal Indent"/>
    <w:basedOn w:val="Normal"/>
    <w:rsid w:val="0024053D"/>
    <w:pPr>
      <w:spacing w:line="240" w:lineRule="auto"/>
      <w:ind w:left="709"/>
    </w:pPr>
  </w:style>
  <w:style w:type="paragraph" w:styleId="Subtitle">
    <w:name w:val="Subtitle"/>
    <w:basedOn w:val="Normal"/>
    <w:qFormat/>
    <w:rsid w:val="0024053D"/>
    <w:pPr>
      <w:spacing w:after="60" w:line="240" w:lineRule="auto"/>
      <w:jc w:val="center"/>
      <w:outlineLvl w:val="1"/>
    </w:pPr>
    <w:rPr>
      <w:rFonts w:ascii="Arial" w:hAnsi="Arial"/>
      <w:sz w:val="24"/>
    </w:rPr>
  </w:style>
  <w:style w:type="paragraph" w:styleId="CommentText">
    <w:name w:val="annotation text"/>
    <w:basedOn w:val="Normal"/>
    <w:link w:val="CommentTextChar"/>
    <w:uiPriority w:val="99"/>
    <w:semiHidden/>
    <w:rsid w:val="0024053D"/>
    <w:pPr>
      <w:spacing w:line="240" w:lineRule="auto"/>
    </w:pPr>
  </w:style>
  <w:style w:type="paragraph" w:styleId="Title">
    <w:name w:val="Title"/>
    <w:basedOn w:val="Normal"/>
    <w:qFormat/>
    <w:rsid w:val="0024053D"/>
    <w:pPr>
      <w:spacing w:line="240" w:lineRule="auto"/>
    </w:pPr>
    <w:rPr>
      <w:b/>
      <w:sz w:val="36"/>
    </w:rPr>
  </w:style>
  <w:style w:type="paragraph" w:styleId="FootnoteText">
    <w:name w:val="footnote text"/>
    <w:basedOn w:val="Normal"/>
    <w:link w:val="FootnoteTextChar"/>
    <w:uiPriority w:val="99"/>
    <w:semiHidden/>
    <w:rsid w:val="0024053D"/>
    <w:pPr>
      <w:spacing w:line="240" w:lineRule="auto"/>
    </w:pPr>
  </w:style>
  <w:style w:type="paragraph" w:customStyle="1" w:styleId="Hoofdjes">
    <w:name w:val="Hoofdjes"/>
    <w:basedOn w:val="Normal"/>
    <w:rsid w:val="0024053D"/>
    <w:pPr>
      <w:spacing w:line="190" w:lineRule="exact"/>
    </w:pPr>
    <w:rPr>
      <w:spacing w:val="6"/>
      <w:sz w:val="14"/>
    </w:rPr>
  </w:style>
  <w:style w:type="paragraph" w:customStyle="1" w:styleId="Hoofdjesregel13pt">
    <w:name w:val="Hoofdjes regel 13 pt"/>
    <w:basedOn w:val="Hoofdjes"/>
    <w:rsid w:val="0024053D"/>
    <w:pPr>
      <w:spacing w:line="260" w:lineRule="exact"/>
    </w:pPr>
  </w:style>
  <w:style w:type="paragraph" w:customStyle="1" w:styleId="HoofdjesZwart">
    <w:name w:val="HoofdjesZwart"/>
    <w:basedOn w:val="Normal"/>
    <w:rsid w:val="0024053D"/>
    <w:pPr>
      <w:spacing w:line="240" w:lineRule="auto"/>
    </w:pPr>
    <w:rPr>
      <w:spacing w:val="6"/>
      <w:sz w:val="14"/>
    </w:rPr>
  </w:style>
  <w:style w:type="paragraph" w:customStyle="1" w:styleId="Kleinetekst">
    <w:name w:val="Kleine tekst"/>
    <w:basedOn w:val="Normal"/>
    <w:rsid w:val="0024053D"/>
    <w:pPr>
      <w:spacing w:before="57" w:after="57" w:line="240" w:lineRule="auto"/>
    </w:pPr>
    <w:rPr>
      <w:spacing w:val="10"/>
      <w:sz w:val="14"/>
    </w:rPr>
  </w:style>
  <w:style w:type="paragraph" w:customStyle="1" w:styleId="Memohoofd">
    <w:name w:val="Memohoofd"/>
    <w:basedOn w:val="Normal"/>
    <w:rsid w:val="0024053D"/>
    <w:pPr>
      <w:spacing w:line="240" w:lineRule="exact"/>
    </w:pPr>
  </w:style>
  <w:style w:type="paragraph" w:customStyle="1" w:styleId="GroteLetters">
    <w:name w:val="Grote Letters"/>
    <w:basedOn w:val="Normal"/>
    <w:rsid w:val="0024053D"/>
    <w:pPr>
      <w:spacing w:line="364" w:lineRule="exact"/>
    </w:pPr>
    <w:rPr>
      <w:sz w:val="28"/>
    </w:rPr>
  </w:style>
  <w:style w:type="character" w:styleId="FootnoteReference">
    <w:name w:val="footnote reference"/>
    <w:basedOn w:val="DefaultParagraphFont"/>
    <w:uiPriority w:val="99"/>
    <w:semiHidden/>
    <w:rsid w:val="00BB7CCF"/>
    <w:rPr>
      <w:vertAlign w:val="superscript"/>
    </w:rPr>
  </w:style>
  <w:style w:type="character" w:customStyle="1" w:styleId="FooterChar">
    <w:name w:val="Footer Char"/>
    <w:basedOn w:val="DefaultParagraphFont"/>
    <w:link w:val="Footer"/>
    <w:uiPriority w:val="99"/>
    <w:rsid w:val="00BF3F64"/>
    <w:rPr>
      <w:rFonts w:ascii="Univers" w:hAnsi="Univers"/>
    </w:rPr>
  </w:style>
  <w:style w:type="paragraph" w:styleId="ListParagraph">
    <w:name w:val="List Paragraph"/>
    <w:basedOn w:val="Normal"/>
    <w:uiPriority w:val="34"/>
    <w:qFormat/>
    <w:rsid w:val="00225092"/>
    <w:pPr>
      <w:ind w:left="720"/>
      <w:contextualSpacing/>
    </w:pPr>
  </w:style>
  <w:style w:type="character" w:styleId="Hyperlink">
    <w:name w:val="Hyperlink"/>
    <w:basedOn w:val="DefaultParagraphFont"/>
    <w:rsid w:val="00DD3086"/>
    <w:rPr>
      <w:color w:val="0000FF" w:themeColor="hyperlink"/>
      <w:u w:val="single"/>
    </w:rPr>
  </w:style>
  <w:style w:type="character" w:styleId="CommentReference">
    <w:name w:val="annotation reference"/>
    <w:basedOn w:val="DefaultParagraphFont"/>
    <w:uiPriority w:val="99"/>
    <w:rsid w:val="00FA1BC4"/>
    <w:rPr>
      <w:sz w:val="16"/>
      <w:szCs w:val="16"/>
    </w:rPr>
  </w:style>
  <w:style w:type="paragraph" w:styleId="CommentSubject">
    <w:name w:val="annotation subject"/>
    <w:basedOn w:val="CommentText"/>
    <w:next w:val="CommentText"/>
    <w:link w:val="CommentSubjectChar"/>
    <w:rsid w:val="00FA1BC4"/>
    <w:rPr>
      <w:b/>
      <w:bCs/>
    </w:rPr>
  </w:style>
  <w:style w:type="character" w:customStyle="1" w:styleId="CommentTextChar">
    <w:name w:val="Comment Text Char"/>
    <w:basedOn w:val="DefaultParagraphFont"/>
    <w:link w:val="CommentText"/>
    <w:uiPriority w:val="99"/>
    <w:semiHidden/>
    <w:rsid w:val="00FA1BC4"/>
    <w:rPr>
      <w:rFonts w:ascii="Univers" w:hAnsi="Univers"/>
    </w:rPr>
  </w:style>
  <w:style w:type="character" w:customStyle="1" w:styleId="CommentSubjectChar">
    <w:name w:val="Comment Subject Char"/>
    <w:basedOn w:val="CommentTextChar"/>
    <w:link w:val="CommentSubject"/>
    <w:rsid w:val="00FA1BC4"/>
    <w:rPr>
      <w:rFonts w:ascii="Univers" w:hAnsi="Univers"/>
    </w:rPr>
  </w:style>
  <w:style w:type="paragraph" w:styleId="BalloonText">
    <w:name w:val="Balloon Text"/>
    <w:basedOn w:val="Normal"/>
    <w:link w:val="BalloonTextChar"/>
    <w:rsid w:val="00FA1BC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A1BC4"/>
    <w:rPr>
      <w:rFonts w:ascii="Tahoma" w:hAnsi="Tahoma" w:cs="Tahoma"/>
      <w:sz w:val="16"/>
      <w:szCs w:val="16"/>
    </w:rPr>
  </w:style>
  <w:style w:type="paragraph" w:styleId="Revision">
    <w:name w:val="Revision"/>
    <w:hidden/>
    <w:uiPriority w:val="99"/>
    <w:semiHidden/>
    <w:rsid w:val="00F80EF2"/>
    <w:rPr>
      <w:rFonts w:ascii="Univers" w:hAnsi="Univers"/>
    </w:rPr>
  </w:style>
  <w:style w:type="character" w:customStyle="1" w:styleId="FootnoteTextChar">
    <w:name w:val="Footnote Text Char"/>
    <w:basedOn w:val="DefaultParagraphFont"/>
    <w:link w:val="FootnoteText"/>
    <w:uiPriority w:val="99"/>
    <w:semiHidden/>
    <w:rsid w:val="009345F8"/>
    <w:rPr>
      <w:rFonts w:ascii="Univers" w:hAnsi="Univers"/>
    </w:rPr>
  </w:style>
  <w:style w:type="paragraph" w:customStyle="1" w:styleId="Huisstijl-Aanhef">
    <w:name w:val="Huisstijl - Aanhef"/>
    <w:basedOn w:val="Normal"/>
    <w:rsid w:val="00B56093"/>
    <w:pPr>
      <w:widowControl w:val="0"/>
      <w:suppressAutoHyphens/>
      <w:autoSpaceDN w:val="0"/>
      <w:spacing w:before="100" w:after="240" w:line="240" w:lineRule="exact"/>
      <w:textAlignment w:val="baseline"/>
    </w:pPr>
    <w:rPr>
      <w:rFonts w:ascii="Verdana" w:eastAsia="DejaVu Sans" w:hAnsi="Verdana" w:cs="Lohit Hindi"/>
      <w:kern w:val="3"/>
      <w:sz w:val="18"/>
      <w:szCs w:val="24"/>
    </w:rPr>
  </w:style>
  <w:style w:type="table" w:styleId="TableGrid">
    <w:name w:val="Table Grid"/>
    <w:basedOn w:val="TableNormal"/>
    <w:uiPriority w:val="59"/>
    <w:rsid w:val="00B67E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141476">
      <w:bodyDiv w:val="1"/>
      <w:marLeft w:val="0"/>
      <w:marRight w:val="0"/>
      <w:marTop w:val="0"/>
      <w:marBottom w:val="0"/>
      <w:divBdr>
        <w:top w:val="none" w:sz="0" w:space="0" w:color="auto"/>
        <w:left w:val="none" w:sz="0" w:space="0" w:color="auto"/>
        <w:bottom w:val="none" w:sz="0" w:space="0" w:color="auto"/>
        <w:right w:val="none" w:sz="0" w:space="0" w:color="auto"/>
      </w:divBdr>
    </w:div>
    <w:div w:id="1425371885">
      <w:bodyDiv w:val="1"/>
      <w:marLeft w:val="0"/>
      <w:marRight w:val="0"/>
      <w:marTop w:val="0"/>
      <w:marBottom w:val="0"/>
      <w:divBdr>
        <w:top w:val="none" w:sz="0" w:space="0" w:color="auto"/>
        <w:left w:val="none" w:sz="0" w:space="0" w:color="auto"/>
        <w:bottom w:val="none" w:sz="0" w:space="0" w:color="auto"/>
        <w:right w:val="none" w:sz="0" w:space="0" w:color="auto"/>
      </w:divBdr>
    </w:div>
    <w:div w:id="175015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JABLONENSETS\SJABLONEN\VWS\VOORDRACHT%20TBV%20RAAD%20VAN%20STATE.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B1906-37A5-4510-9EED-351AFBA6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VOORDRACHT TBV RAAD VAN STATE.DOT</Template>
  <TotalTime>4</TotalTime>
  <Pages>1</Pages>
  <Words>2199</Words>
  <Characters>12536</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Centric Training - (020) 523 04 00</Company>
  <LinksUpToDate>false</LinksUpToDate>
  <CharactersWithSpaces>14706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Ke, Tingting</cp:lastModifiedBy>
  <cp:revision>7</cp:revision>
  <cp:lastPrinted>2019-05-29T13:48:00Z</cp:lastPrinted>
  <dcterms:created xsi:type="dcterms:W3CDTF">2019-07-16T11:02:00Z</dcterms:created>
  <dcterms:modified xsi:type="dcterms:W3CDTF">2019-07-23T07:42:00Z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Minuut">
    <vt:lpwstr>Origineel</vt:lpwstr>
  </property>
</Properties>
</file>