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814C17" w:rsidRDefault="00E17C57" w:rsidP="00E17C57">
      <w:pPr>
        <w:spacing w:after="120"/>
        <w:jc w:val="center"/>
        <w:rPr>
          <w:rFonts w:ascii="Courier New" w:hAnsi="Courier New"/>
        </w:rPr>
      </w:pPr>
      <w:r>
        <w:rPr>
          <w:rFonts w:ascii="Courier New" w:hAnsi="Courier New"/>
        </w:rPr>
        <w:t>1. ------IND- 2019 0331 NL- EN-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rFonts w:ascii="Verdana" w:hAnsi="Verdana"/>
                <w:sz w:val="18"/>
              </w:rPr>
              <w:t>Decree of</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rPr>
              <w:t>amending the Commodities Act Decree on Herbal Preparations and the Commodities Act Decree on administrative penalties for addition of certain harmful substances to herbal preparations and applying certain technical amendments</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rFonts w:ascii="Verdana" w:hAnsi="Verdana"/>
          <w:sz w:val="18"/>
          <w:szCs w:val="18"/>
        </w:rPr>
      </w:pPr>
      <w:r>
        <w:rPr>
          <w:rFonts w:ascii="Verdana" w:hAnsi="Verdana"/>
          <w:sz w:val="18"/>
        </w:rPr>
        <w:t>At the proposal of the Minister for Medical Care of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Having regard to Articles 4(1), 8(1)(c) and 14 of the Commodities Act;</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Having heard the opinion of the Advisory Section of the Council of State (opinion of , No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In view of the further report of the Minister for Medical Care of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Have approved and hereby decree as follows:</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rFonts w:ascii="Verdana" w:hAnsi="Verdana"/>
          <w:b/>
          <w:sz w:val="18"/>
          <w:szCs w:val="18"/>
        </w:rPr>
      </w:pPr>
      <w:r>
        <w:rPr>
          <w:rFonts w:ascii="Verdana" w:hAnsi="Verdana"/>
          <w:b/>
          <w:sz w:val="18"/>
        </w:rPr>
        <w:t>Article I</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rFonts w:ascii="Verdana" w:hAnsi="Verdana"/>
          <w:sz w:val="18"/>
          <w:szCs w:val="18"/>
        </w:rPr>
      </w:pPr>
      <w:r>
        <w:rPr>
          <w:rFonts w:ascii="Verdana" w:hAnsi="Verdana"/>
          <w:sz w:val="18"/>
        </w:rPr>
        <w:t>The Commodities Act Decree on Herbal Preparations [Warenwetbesluit Kruidenpreparaten] is hereby amended as follows:</w:t>
      </w:r>
    </w:p>
    <w:p w:rsidR="00060A6E" w:rsidRDefault="00060A6E" w:rsidP="00E17C57">
      <w:pPr>
        <w:ind w:left="2268"/>
        <w:rPr>
          <w:rFonts w:ascii="Verdana" w:hAnsi="Verdana"/>
          <w:sz w:val="18"/>
          <w:szCs w:val="18"/>
        </w:rPr>
      </w:pPr>
    </w:p>
    <w:p w:rsidR="00060A6E" w:rsidRDefault="00060A6E" w:rsidP="00E17C57">
      <w:pPr>
        <w:keepNext/>
        <w:keepLines/>
        <w:ind w:left="2268"/>
        <w:rPr>
          <w:rFonts w:ascii="Verdana" w:hAnsi="Verdana"/>
          <w:sz w:val="18"/>
          <w:szCs w:val="18"/>
        </w:rPr>
      </w:pPr>
      <w:r>
        <w:rPr>
          <w:rFonts w:ascii="Verdana" w:hAnsi="Verdana"/>
          <w:sz w:val="18"/>
        </w:rPr>
        <w:t>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rFonts w:ascii="Verdana" w:hAnsi="Verdana"/>
          <w:sz w:val="18"/>
          <w:szCs w:val="18"/>
        </w:rPr>
      </w:pPr>
      <w:r>
        <w:rPr>
          <w:rFonts w:ascii="Verdana" w:hAnsi="Verdana"/>
          <w:sz w:val="18"/>
        </w:rPr>
        <w:t>Article 4 is amended as follows:</w:t>
      </w:r>
    </w:p>
    <w:p w:rsidR="00443563" w:rsidRPr="00443563" w:rsidRDefault="00443563" w:rsidP="00E17C57">
      <w:pPr>
        <w:pStyle w:val="ListParagraph"/>
        <w:keepNext/>
        <w:keepLines/>
        <w:numPr>
          <w:ilvl w:val="0"/>
          <w:numId w:val="29"/>
        </w:numPr>
        <w:rPr>
          <w:rFonts w:ascii="Verdana" w:hAnsi="Verdana"/>
          <w:sz w:val="18"/>
          <w:szCs w:val="18"/>
        </w:rPr>
      </w:pPr>
      <w:r>
        <w:rPr>
          <w:rFonts w:ascii="Verdana" w:hAnsi="Verdana"/>
          <w:sz w:val="18"/>
        </w:rPr>
        <w:t>Paragraph 1 now reads:</w:t>
      </w:r>
    </w:p>
    <w:p w:rsidR="000C18E4" w:rsidRPr="00255630" w:rsidRDefault="00255630" w:rsidP="00255630">
      <w:pPr>
        <w:ind w:left="3332" w:hanging="496"/>
        <w:rPr>
          <w:rFonts w:ascii="Verdana" w:hAnsi="Verdana"/>
          <w:sz w:val="18"/>
          <w:szCs w:val="18"/>
        </w:rPr>
      </w:pPr>
      <w:r>
        <w:rPr>
          <w:rFonts w:ascii="Verdana" w:hAnsi="Verdana"/>
          <w:sz w:val="18"/>
        </w:rPr>
        <w:t>1.</w:t>
      </w:r>
      <w:r>
        <w:rPr>
          <w:rFonts w:ascii="Verdana" w:hAnsi="Verdana"/>
          <w:sz w:val="18"/>
        </w:rPr>
        <w:tab/>
      </w:r>
      <w:r w:rsidR="0043098B" w:rsidRPr="00255630">
        <w:rPr>
          <w:rFonts w:ascii="Verdana" w:hAnsi="Verdana"/>
          <w:sz w:val="18"/>
        </w:rPr>
        <w:t>The amount of toxic pyrrolizidine alkaloids in herbal preparations shall not exceed 1 µg per kg or per litre, respectively.</w:t>
      </w:r>
    </w:p>
    <w:p w:rsidR="000C18E4" w:rsidRPr="0043098B" w:rsidRDefault="0043098B" w:rsidP="00E17C57">
      <w:pPr>
        <w:keepNext/>
        <w:keepLines/>
        <w:tabs>
          <w:tab w:val="left" w:pos="2835"/>
        </w:tabs>
        <w:ind w:left="2268"/>
        <w:rPr>
          <w:rFonts w:ascii="Verdana" w:hAnsi="Verdana"/>
          <w:sz w:val="18"/>
          <w:szCs w:val="18"/>
        </w:rPr>
      </w:pPr>
      <w:r>
        <w:rPr>
          <w:rFonts w:ascii="Verdana" w:hAnsi="Verdana"/>
          <w:sz w:val="18"/>
        </w:rPr>
        <w:t>2.</w:t>
      </w:r>
      <w:r>
        <w:tab/>
      </w:r>
      <w:r>
        <w:rPr>
          <w:rFonts w:ascii="Verdana" w:hAnsi="Verdana"/>
          <w:sz w:val="18"/>
        </w:rPr>
        <w:t>Paragraph 2 now reads:</w:t>
      </w:r>
    </w:p>
    <w:p w:rsidR="00732703" w:rsidRPr="000C18E4" w:rsidRDefault="000C18E4" w:rsidP="00255630">
      <w:pPr>
        <w:ind w:left="3332" w:hanging="496"/>
        <w:rPr>
          <w:rFonts w:ascii="Verdana" w:hAnsi="Verdana"/>
          <w:sz w:val="18"/>
          <w:szCs w:val="18"/>
        </w:rPr>
      </w:pPr>
      <w:r>
        <w:rPr>
          <w:rFonts w:ascii="Verdana" w:hAnsi="Verdana"/>
          <w:sz w:val="18"/>
        </w:rPr>
        <w:t>2.</w:t>
      </w:r>
      <w:r>
        <w:tab/>
      </w:r>
      <w:r>
        <w:rPr>
          <w:rFonts w:ascii="Verdana" w:hAnsi="Verdana"/>
          <w:sz w:val="18"/>
        </w:rPr>
        <w:t>Herbal preparations shall not contain:</w:t>
      </w:r>
    </w:p>
    <w:p w:rsidR="00060A6E" w:rsidRPr="005016F0" w:rsidRDefault="00BF3143" w:rsidP="00E17C57">
      <w:pPr>
        <w:pStyle w:val="ListParagraph"/>
        <w:numPr>
          <w:ilvl w:val="1"/>
          <w:numId w:val="22"/>
        </w:numPr>
        <w:rPr>
          <w:rFonts w:ascii="Verdana" w:hAnsi="Verdana"/>
          <w:sz w:val="18"/>
          <w:szCs w:val="18"/>
        </w:rPr>
      </w:pPr>
      <w:r>
        <w:rPr>
          <w:rFonts w:ascii="Verdana" w:hAnsi="Verdana"/>
          <w:sz w:val="18"/>
        </w:rPr>
        <w:t>aconitine or any derivatives thereof;</w:t>
      </w:r>
    </w:p>
    <w:p w:rsidR="005016F0" w:rsidRDefault="00BF3143" w:rsidP="00E17C57">
      <w:pPr>
        <w:pStyle w:val="ListParagraph"/>
        <w:numPr>
          <w:ilvl w:val="1"/>
          <w:numId w:val="22"/>
        </w:numPr>
        <w:rPr>
          <w:rFonts w:ascii="Verdana" w:hAnsi="Verdana"/>
          <w:sz w:val="18"/>
          <w:szCs w:val="18"/>
        </w:rPr>
      </w:pPr>
      <w:r>
        <w:rPr>
          <w:rFonts w:ascii="Verdana" w:hAnsi="Verdana"/>
          <w:sz w:val="18"/>
        </w:rPr>
        <w:t>aristolochic acids or any derivatives thereof;</w:t>
      </w:r>
    </w:p>
    <w:p w:rsidR="005016F0" w:rsidRDefault="00BF3143" w:rsidP="00E17C57">
      <w:pPr>
        <w:pStyle w:val="ListParagraph"/>
        <w:numPr>
          <w:ilvl w:val="1"/>
          <w:numId w:val="22"/>
        </w:numPr>
        <w:rPr>
          <w:rFonts w:ascii="Verdana" w:hAnsi="Verdana"/>
          <w:sz w:val="18"/>
          <w:szCs w:val="18"/>
        </w:rPr>
      </w:pPr>
      <w:r>
        <w:rPr>
          <w:rFonts w:ascii="Verdana" w:hAnsi="Verdana"/>
          <w:sz w:val="18"/>
        </w:rPr>
        <w:t>atropine or any derivatives thereof;</w:t>
      </w:r>
    </w:p>
    <w:p w:rsidR="005016F0" w:rsidRDefault="005016F0" w:rsidP="00E17C57">
      <w:pPr>
        <w:pStyle w:val="ListParagraph"/>
        <w:numPr>
          <w:ilvl w:val="1"/>
          <w:numId w:val="22"/>
        </w:numPr>
        <w:rPr>
          <w:rFonts w:ascii="Verdana" w:hAnsi="Verdana"/>
          <w:sz w:val="18"/>
          <w:szCs w:val="18"/>
        </w:rPr>
      </w:pPr>
      <w:r>
        <w:rPr>
          <w:rFonts w:ascii="Verdana" w:hAnsi="Verdana"/>
          <w:sz w:val="18"/>
        </w:rPr>
        <w:lastRenderedPageBreak/>
        <w:t>colchicine or any derivatives thereof;</w:t>
      </w:r>
    </w:p>
    <w:p w:rsidR="005016F0" w:rsidRDefault="005016F0" w:rsidP="00E17C57">
      <w:pPr>
        <w:pStyle w:val="ListParagraph"/>
        <w:numPr>
          <w:ilvl w:val="1"/>
          <w:numId w:val="22"/>
        </w:numPr>
        <w:rPr>
          <w:rFonts w:ascii="Verdana" w:hAnsi="Verdana"/>
          <w:sz w:val="18"/>
          <w:szCs w:val="18"/>
        </w:rPr>
      </w:pPr>
      <w:r>
        <w:rPr>
          <w:rFonts w:ascii="Verdana" w:hAnsi="Verdana"/>
          <w:sz w:val="18"/>
        </w:rPr>
        <w:t>hyoscyamine or any derivatives thereof;</w:t>
      </w:r>
    </w:p>
    <w:p w:rsidR="005016F0" w:rsidRDefault="00BF3143" w:rsidP="00E17C57">
      <w:pPr>
        <w:pStyle w:val="ListParagraph"/>
        <w:numPr>
          <w:ilvl w:val="1"/>
          <w:numId w:val="22"/>
        </w:numPr>
        <w:rPr>
          <w:rFonts w:ascii="Verdana" w:hAnsi="Verdana"/>
          <w:sz w:val="18"/>
          <w:szCs w:val="18"/>
        </w:rPr>
      </w:pPr>
      <w:r>
        <w:rPr>
          <w:rFonts w:ascii="Verdana" w:hAnsi="Verdana"/>
          <w:sz w:val="18"/>
        </w:rPr>
        <w:t>m and o-synephrine or any derivatives thereof;</w:t>
      </w:r>
    </w:p>
    <w:p w:rsidR="00BF3143" w:rsidRPr="005016F0" w:rsidRDefault="00BF3143" w:rsidP="00E17C57">
      <w:pPr>
        <w:pStyle w:val="ListParagraph"/>
        <w:numPr>
          <w:ilvl w:val="1"/>
          <w:numId w:val="22"/>
        </w:numPr>
        <w:rPr>
          <w:rFonts w:ascii="Verdana" w:hAnsi="Verdana"/>
          <w:sz w:val="18"/>
          <w:szCs w:val="18"/>
        </w:rPr>
      </w:pPr>
      <w:r>
        <w:rPr>
          <w:rFonts w:ascii="Verdana" w:hAnsi="Verdana"/>
          <w:sz w:val="18"/>
        </w:rPr>
        <w:t>oil from Artemisia absinthium (wormwood), without prejudice to the provisions of Article 6(2), and Annex III, Part B of Regulation (EC) 1334/2008 on permission for thujone to be present in certain compound foods;</w:t>
      </w:r>
    </w:p>
    <w:p w:rsidR="005016F0" w:rsidRPr="00BF3143" w:rsidRDefault="005016F0" w:rsidP="00E17C57">
      <w:pPr>
        <w:pStyle w:val="ListParagraph"/>
        <w:numPr>
          <w:ilvl w:val="1"/>
          <w:numId w:val="22"/>
        </w:numPr>
        <w:rPr>
          <w:rFonts w:ascii="Verdana" w:hAnsi="Verdana"/>
          <w:sz w:val="18"/>
          <w:szCs w:val="18"/>
        </w:rPr>
      </w:pPr>
      <w:r>
        <w:rPr>
          <w:rFonts w:ascii="Verdana" w:hAnsi="Verdana"/>
          <w:sz w:val="18"/>
        </w:rPr>
        <w:t>pilocarpine or any derivatives thereof;</w:t>
      </w:r>
    </w:p>
    <w:p w:rsidR="005016F0" w:rsidRDefault="005016F0" w:rsidP="00E17C57">
      <w:pPr>
        <w:pStyle w:val="ListParagraph"/>
        <w:numPr>
          <w:ilvl w:val="1"/>
          <w:numId w:val="22"/>
        </w:numPr>
        <w:rPr>
          <w:rFonts w:ascii="Verdana" w:hAnsi="Verdana"/>
          <w:sz w:val="18"/>
          <w:szCs w:val="18"/>
        </w:rPr>
      </w:pPr>
      <w:r>
        <w:rPr>
          <w:rFonts w:ascii="Verdana" w:hAnsi="Verdana"/>
          <w:sz w:val="18"/>
        </w:rPr>
        <w:t>scopolamine or any derivatives thereof;</w:t>
      </w:r>
    </w:p>
    <w:p w:rsidR="005016F0" w:rsidRDefault="005016F0" w:rsidP="00E17C57">
      <w:pPr>
        <w:pStyle w:val="ListParagraph"/>
        <w:numPr>
          <w:ilvl w:val="1"/>
          <w:numId w:val="22"/>
        </w:numPr>
        <w:rPr>
          <w:rFonts w:ascii="Verdana" w:hAnsi="Verdana"/>
          <w:sz w:val="18"/>
          <w:szCs w:val="18"/>
        </w:rPr>
      </w:pPr>
      <w:r>
        <w:rPr>
          <w:rFonts w:ascii="Verdana" w:hAnsi="Verdana"/>
          <w:sz w:val="18"/>
        </w:rPr>
        <w:t>strychnine or any derivatives thereof; and</w:t>
      </w:r>
    </w:p>
    <w:p w:rsidR="00BF3143" w:rsidRDefault="00BF3143" w:rsidP="00E17C57">
      <w:pPr>
        <w:pStyle w:val="ListParagraph"/>
        <w:numPr>
          <w:ilvl w:val="1"/>
          <w:numId w:val="22"/>
        </w:numPr>
        <w:rPr>
          <w:rFonts w:ascii="Verdana" w:hAnsi="Verdana"/>
          <w:sz w:val="18"/>
          <w:szCs w:val="18"/>
        </w:rPr>
      </w:pPr>
      <w:r>
        <w:rPr>
          <w:rFonts w:ascii="Verdana" w:hAnsi="Verdana"/>
          <w:sz w:val="18"/>
        </w:rPr>
        <w:t>yohimbine alkaloids or any derivatives thereof.</w:t>
      </w:r>
    </w:p>
    <w:p w:rsidR="000E0515" w:rsidRPr="0043098B" w:rsidRDefault="0043098B" w:rsidP="00E17C57">
      <w:pPr>
        <w:ind w:left="2835" w:hanging="567"/>
        <w:rPr>
          <w:rFonts w:ascii="Verdana" w:hAnsi="Verdana"/>
          <w:sz w:val="18"/>
          <w:szCs w:val="18"/>
        </w:rPr>
      </w:pPr>
      <w:r>
        <w:rPr>
          <w:rFonts w:ascii="Verdana" w:hAnsi="Verdana"/>
          <w:sz w:val="18"/>
        </w:rPr>
        <w:t>3.</w:t>
      </w:r>
      <w:r>
        <w:tab/>
      </w:r>
      <w:r>
        <w:rPr>
          <w:rFonts w:ascii="Verdana" w:hAnsi="Verdana"/>
          <w:sz w:val="18"/>
        </w:rPr>
        <w:t>In paragraph 3, ‘plants referred to in Part II of the Annex’ is replaced with ‘plants and fungi referred to in the Annex’.</w:t>
      </w:r>
    </w:p>
    <w:p w:rsidR="0043098B" w:rsidRDefault="00E17C57" w:rsidP="00E17C57">
      <w:pPr>
        <w:keepNext/>
        <w:keepLines/>
        <w:ind w:left="2836" w:hanging="568"/>
        <w:rPr>
          <w:rFonts w:ascii="Verdana" w:hAnsi="Verdana"/>
          <w:sz w:val="18"/>
          <w:szCs w:val="18"/>
        </w:rPr>
      </w:pPr>
      <w:r>
        <w:rPr>
          <w:rFonts w:ascii="Verdana" w:hAnsi="Verdana"/>
          <w:sz w:val="18"/>
        </w:rPr>
        <w:t>4.</w:t>
      </w:r>
      <w:r>
        <w:tab/>
      </w:r>
      <w:r>
        <w:rPr>
          <w:rFonts w:ascii="Verdana" w:hAnsi="Verdana"/>
          <w:sz w:val="18"/>
        </w:rPr>
        <w:t>Three new paragraphs are added, reading:</w:t>
      </w:r>
    </w:p>
    <w:p w:rsidR="0043098B" w:rsidRDefault="0043098B" w:rsidP="00255630">
      <w:pPr>
        <w:ind w:left="3332" w:hanging="496"/>
        <w:rPr>
          <w:rFonts w:ascii="Verdana" w:hAnsi="Verdana"/>
          <w:sz w:val="18"/>
          <w:szCs w:val="18"/>
        </w:rPr>
      </w:pPr>
      <w:r>
        <w:rPr>
          <w:rFonts w:ascii="Verdana" w:hAnsi="Verdana"/>
          <w:sz w:val="18"/>
        </w:rPr>
        <w:t>4.</w:t>
      </w:r>
      <w:r>
        <w:tab/>
      </w:r>
      <w:r>
        <w:rPr>
          <w:rFonts w:ascii="Verdana" w:hAnsi="Verdana"/>
          <w:sz w:val="18"/>
        </w:rPr>
        <w:t>Herbal preparations shall contain a maximum daily intake of 27 mg of p-synephrine, as per the instructions for use.</w:t>
      </w:r>
    </w:p>
    <w:p w:rsidR="0095665C" w:rsidRDefault="0043098B" w:rsidP="00255630">
      <w:pPr>
        <w:ind w:left="3332" w:hanging="496"/>
        <w:rPr>
          <w:rFonts w:ascii="Verdana" w:hAnsi="Verdana"/>
          <w:sz w:val="18"/>
          <w:szCs w:val="18"/>
        </w:rPr>
      </w:pPr>
      <w:r>
        <w:rPr>
          <w:rFonts w:ascii="Verdana" w:hAnsi="Verdana"/>
          <w:sz w:val="18"/>
        </w:rPr>
        <w:t>5.</w:t>
      </w:r>
      <w:r>
        <w:tab/>
      </w:r>
      <w:r>
        <w:rPr>
          <w:rFonts w:ascii="Verdana" w:hAnsi="Verdana"/>
          <w:sz w:val="18"/>
        </w:rPr>
        <w:t>Contrary to paragraph 3, herbal preparations may contain oil extracted from the seeds of Ricinus communis, provided that the prescribed recommended use and dosages, referred to in Article 6(1), do not result in an oil intake of over 0.4 g per day.</w:t>
      </w:r>
    </w:p>
    <w:p w:rsidR="00AB3B66" w:rsidRDefault="00AB3B66" w:rsidP="00255630">
      <w:pPr>
        <w:ind w:left="3332" w:hanging="496"/>
        <w:rPr>
          <w:rFonts w:ascii="Verdana" w:hAnsi="Verdana"/>
          <w:sz w:val="18"/>
          <w:szCs w:val="18"/>
        </w:rPr>
      </w:pPr>
      <w:r>
        <w:rPr>
          <w:rFonts w:ascii="Verdana" w:hAnsi="Verdana"/>
          <w:sz w:val="18"/>
        </w:rPr>
        <w:t>6.</w:t>
      </w:r>
      <w:r>
        <w:tab/>
      </w:r>
      <w:r>
        <w:rPr>
          <w:rFonts w:ascii="Verdana" w:hAnsi="Verdana"/>
          <w:sz w:val="18"/>
        </w:rPr>
        <w:t>Paragraph 1 shall not apply to matters covered by the provisions of Regulation (EC) 1881/2006.</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rFonts w:ascii="Verdana" w:hAnsi="Verdana"/>
          <w:sz w:val="18"/>
          <w:szCs w:val="18"/>
        </w:rPr>
      </w:pPr>
      <w:r>
        <w:rPr>
          <w:rFonts w:ascii="Verdana" w:hAnsi="Verdana"/>
          <w:sz w:val="18"/>
        </w:rPr>
        <w:t>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A paragraph is added to Article 6, reading:</w:t>
      </w:r>
    </w:p>
    <w:p w:rsidR="003825F1" w:rsidRDefault="003825F1" w:rsidP="00E17C57">
      <w:pPr>
        <w:ind w:left="2836" w:hanging="568"/>
        <w:rPr>
          <w:rFonts w:ascii="Verdana" w:hAnsi="Verdana"/>
          <w:sz w:val="18"/>
          <w:szCs w:val="18"/>
        </w:rPr>
      </w:pPr>
      <w:r>
        <w:rPr>
          <w:rFonts w:ascii="Verdana" w:hAnsi="Verdana"/>
          <w:sz w:val="18"/>
        </w:rPr>
        <w:t xml:space="preserve">3. </w:t>
      </w:r>
      <w:r>
        <w:tab/>
      </w:r>
      <w:r>
        <w:rPr>
          <w:rFonts w:ascii="Verdana" w:hAnsi="Verdana"/>
          <w:sz w:val="18"/>
        </w:rPr>
        <w:t>The Minister may issue an order setting further rules on the recommended use and dosages referred to in paragraphs 1 and 2.</w:t>
      </w:r>
    </w:p>
    <w:p w:rsidR="003825F1" w:rsidRDefault="003825F1" w:rsidP="00E17C57">
      <w:pPr>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C</w:t>
      </w:r>
    </w:p>
    <w:p w:rsidR="003825F1" w:rsidRDefault="003825F1" w:rsidP="00E17C57">
      <w:pPr>
        <w:keepNext/>
        <w:keepLines/>
        <w:ind w:left="2268"/>
        <w:rPr>
          <w:rFonts w:ascii="Verdana" w:hAnsi="Verdana"/>
          <w:sz w:val="18"/>
          <w:szCs w:val="18"/>
        </w:rPr>
      </w:pPr>
    </w:p>
    <w:p w:rsidR="00BB07D4" w:rsidRDefault="00BB07D4" w:rsidP="00E17C57">
      <w:pPr>
        <w:ind w:left="2268"/>
        <w:rPr>
          <w:rFonts w:ascii="Verdana" w:hAnsi="Verdana"/>
          <w:sz w:val="18"/>
          <w:szCs w:val="18"/>
        </w:rPr>
      </w:pPr>
      <w:r>
        <w:rPr>
          <w:rFonts w:ascii="Verdana" w:hAnsi="Verdana"/>
          <w:sz w:val="18"/>
        </w:rPr>
        <w:t>In Article 7(1), the following text is removed: ‘, with the understanding that Article 4(1 and 3) shall come into force on 1 August 2001 for herbal preparations – other than food and beverages – intended exclusively to be placed in contact with different parts on the surface of the human body, and that do not contain any plants other than those indicated by code 1 in the last column of the Annex’.</w:t>
      </w:r>
    </w:p>
    <w:p w:rsidR="00BB07D4" w:rsidRDefault="00BB07D4" w:rsidP="00E17C57">
      <w:pPr>
        <w:ind w:left="2268"/>
        <w:rPr>
          <w:rFonts w:ascii="Verdana" w:hAnsi="Verdana"/>
          <w:sz w:val="18"/>
          <w:szCs w:val="18"/>
        </w:rPr>
      </w:pPr>
    </w:p>
    <w:p w:rsidR="00BB07D4" w:rsidRDefault="00BB07D4" w:rsidP="00E17C57">
      <w:pPr>
        <w:keepNext/>
        <w:keepLines/>
        <w:ind w:left="2268"/>
        <w:rPr>
          <w:rFonts w:ascii="Verdana" w:hAnsi="Verdana"/>
          <w:sz w:val="18"/>
          <w:szCs w:val="18"/>
        </w:rPr>
      </w:pPr>
      <w:r>
        <w:rPr>
          <w:rFonts w:ascii="Verdana" w:hAnsi="Verdana"/>
          <w:sz w:val="18"/>
        </w:rPr>
        <w:t>D</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rFonts w:ascii="Verdana" w:hAnsi="Verdana"/>
          <w:sz w:val="18"/>
          <w:szCs w:val="18"/>
        </w:rPr>
      </w:pPr>
      <w:r>
        <w:rPr>
          <w:rFonts w:ascii="Verdana" w:hAnsi="Verdana"/>
          <w:sz w:val="18"/>
        </w:rPr>
        <w:t>The Annex is amended as follows:</w:t>
      </w:r>
    </w:p>
    <w:p w:rsidR="00F6533C" w:rsidRDefault="00F6533C" w:rsidP="00E17C57">
      <w:pPr>
        <w:pStyle w:val="ListParagraph"/>
        <w:numPr>
          <w:ilvl w:val="0"/>
          <w:numId w:val="23"/>
        </w:numPr>
        <w:rPr>
          <w:rFonts w:ascii="Verdana" w:hAnsi="Verdana"/>
          <w:sz w:val="18"/>
          <w:szCs w:val="18"/>
        </w:rPr>
      </w:pPr>
      <w:r>
        <w:rPr>
          <w:rFonts w:ascii="Verdana" w:hAnsi="Verdana"/>
          <w:sz w:val="18"/>
        </w:rPr>
        <w:t>The sentence ‘This Annex corresponds to Article 4.’ is replaced with ‘This Annex corresponds to Article 4(3).’.</w:t>
      </w:r>
    </w:p>
    <w:p w:rsidR="00F6533C" w:rsidRDefault="00BB02A9" w:rsidP="00E17C57">
      <w:pPr>
        <w:pStyle w:val="ListParagraph"/>
        <w:numPr>
          <w:ilvl w:val="0"/>
          <w:numId w:val="23"/>
        </w:numPr>
        <w:rPr>
          <w:rFonts w:ascii="Verdana" w:hAnsi="Verdana"/>
          <w:sz w:val="18"/>
          <w:szCs w:val="18"/>
        </w:rPr>
      </w:pPr>
      <w:r>
        <w:rPr>
          <w:rFonts w:ascii="Verdana" w:hAnsi="Verdana"/>
          <w:sz w:val="18"/>
        </w:rPr>
        <w:t>Part I is now removed.</w:t>
      </w:r>
    </w:p>
    <w:p w:rsidR="00F6533C" w:rsidRDefault="00BB07D4" w:rsidP="00E17C57">
      <w:pPr>
        <w:pStyle w:val="ListParagraph"/>
        <w:numPr>
          <w:ilvl w:val="0"/>
          <w:numId w:val="23"/>
        </w:numPr>
        <w:rPr>
          <w:rFonts w:ascii="Verdana" w:hAnsi="Verdana"/>
          <w:sz w:val="18"/>
          <w:szCs w:val="18"/>
        </w:rPr>
      </w:pPr>
      <w:r>
        <w:rPr>
          <w:rFonts w:ascii="Verdana" w:hAnsi="Verdana"/>
          <w:sz w:val="18"/>
        </w:rPr>
        <w:t xml:space="preserve">The text </w:t>
      </w:r>
      <w:r w:rsidR="00F1392F">
        <w:rPr>
          <w:rFonts w:ascii="Verdana" w:hAnsi="Verdana"/>
          <w:sz w:val="18"/>
        </w:rPr>
        <w:t>‘</w:t>
      </w:r>
      <w:r>
        <w:rPr>
          <w:rFonts w:ascii="Verdana" w:hAnsi="Verdana"/>
          <w:sz w:val="18"/>
        </w:rPr>
        <w:t>II. The following plants and fungi:” is replaced with ‘The plants and fungi referred to in Article 4(3):</w:t>
      </w:r>
      <w:r w:rsidR="00F1392F">
        <w:rPr>
          <w:rFonts w:ascii="Verdana" w:hAnsi="Verdana"/>
          <w:sz w:val="18"/>
        </w:rPr>
        <w:t>’</w:t>
      </w:r>
      <w:r>
        <w:rPr>
          <w:rFonts w:ascii="Verdana" w:hAnsi="Verdana"/>
          <w:sz w:val="18"/>
        </w:rPr>
        <w:t>.</w:t>
      </w:r>
    </w:p>
    <w:p w:rsidR="00740EC3" w:rsidRDefault="00740EC3" w:rsidP="00E17C57">
      <w:pPr>
        <w:pStyle w:val="ListParagraph"/>
        <w:keepNext/>
        <w:keepLines/>
        <w:numPr>
          <w:ilvl w:val="0"/>
          <w:numId w:val="23"/>
        </w:numPr>
        <w:rPr>
          <w:rFonts w:ascii="Verdana" w:hAnsi="Verdana"/>
          <w:sz w:val="18"/>
          <w:szCs w:val="18"/>
        </w:rPr>
      </w:pPr>
      <w:r>
        <w:rPr>
          <w:rFonts w:ascii="Verdana" w:hAnsi="Verdana"/>
          <w:sz w:val="18"/>
        </w:rPr>
        <w:t>The following are inserted in alphabetical order:</w:t>
      </w:r>
    </w:p>
    <w:p w:rsidR="00183469" w:rsidRPr="00A27E62" w:rsidRDefault="00740EC3" w:rsidP="00E17C57">
      <w:pPr>
        <w:ind w:left="1919" w:firstLine="709"/>
        <w:rPr>
          <w:rFonts w:ascii="Verdana" w:hAnsi="Verdana"/>
          <w:sz w:val="18"/>
          <w:szCs w:val="18"/>
        </w:rPr>
      </w:pPr>
      <w:r>
        <w:rPr>
          <w:rFonts w:ascii="Verdana" w:hAnsi="Verdana"/>
          <w:sz w:val="18"/>
        </w:rPr>
        <w:t>Aconitum carmichaelii;</w:t>
      </w:r>
    </w:p>
    <w:p w:rsidR="00740EC3" w:rsidRPr="00A27E62" w:rsidRDefault="00740EC3" w:rsidP="00E17C57">
      <w:pPr>
        <w:ind w:left="1919" w:firstLine="709"/>
        <w:rPr>
          <w:rFonts w:ascii="Verdana" w:hAnsi="Verdana"/>
          <w:sz w:val="18"/>
          <w:szCs w:val="18"/>
        </w:rPr>
      </w:pPr>
      <w:r>
        <w:rPr>
          <w:rFonts w:ascii="Verdana" w:hAnsi="Verdana"/>
          <w:sz w:val="18"/>
        </w:rPr>
        <w:t>Aconitum kusnezoffii;</w:t>
      </w:r>
    </w:p>
    <w:p w:rsidR="00740EC3" w:rsidRPr="00A27E62" w:rsidRDefault="00740EC3" w:rsidP="00E17C57">
      <w:pPr>
        <w:ind w:left="1919" w:firstLine="709"/>
        <w:rPr>
          <w:rFonts w:ascii="Verdana" w:hAnsi="Verdana"/>
          <w:sz w:val="18"/>
          <w:szCs w:val="18"/>
        </w:rPr>
      </w:pPr>
      <w:r>
        <w:rPr>
          <w:rFonts w:ascii="Verdana" w:hAnsi="Verdana"/>
          <w:sz w:val="18"/>
        </w:rPr>
        <w:t>Pilocarpus jaborandi.</w:t>
      </w:r>
    </w:p>
    <w:p w:rsidR="00183469" w:rsidRPr="00E17C57" w:rsidRDefault="00BB551C" w:rsidP="00147025">
      <w:pPr>
        <w:pStyle w:val="ListParagraph"/>
        <w:numPr>
          <w:ilvl w:val="0"/>
          <w:numId w:val="23"/>
        </w:numPr>
        <w:rPr>
          <w:rFonts w:ascii="Verdana" w:hAnsi="Verdana"/>
          <w:sz w:val="18"/>
          <w:szCs w:val="18"/>
        </w:rPr>
      </w:pPr>
      <w:r>
        <w:rPr>
          <w:rFonts w:ascii="Verdana" w:hAnsi="Verdana"/>
          <w:sz w:val="18"/>
        </w:rPr>
        <w:t>‘Brassica nigra (black mustard), aside from use in foods of the seeds of Bryonia alba (wild hop)’ is replaced with ‘Brassica nigra (black mustard), aside from use in foods of the seeds of Bryonia alba (wild hop)’.</w:t>
      </w:r>
    </w:p>
    <w:p w:rsidR="00740EC3" w:rsidRDefault="00740EC3" w:rsidP="00E17C57">
      <w:pPr>
        <w:pStyle w:val="ListParagraph"/>
        <w:numPr>
          <w:ilvl w:val="0"/>
          <w:numId w:val="23"/>
        </w:numPr>
        <w:rPr>
          <w:rFonts w:ascii="Verdana" w:hAnsi="Verdana"/>
          <w:sz w:val="18"/>
          <w:szCs w:val="18"/>
        </w:rPr>
      </w:pPr>
      <w:r>
        <w:rPr>
          <w:rFonts w:ascii="Verdana" w:hAnsi="Verdana"/>
          <w:sz w:val="18"/>
        </w:rPr>
        <w:lastRenderedPageBreak/>
        <w:t>‘Citrullus colocynthidis’ is replaced with ‘Citrullus colocynthis’.</w:t>
      </w:r>
    </w:p>
    <w:p w:rsidR="00740EC3" w:rsidRDefault="00740EC3" w:rsidP="00E17C57">
      <w:pPr>
        <w:pStyle w:val="ListParagraph"/>
        <w:numPr>
          <w:ilvl w:val="0"/>
          <w:numId w:val="23"/>
        </w:numPr>
        <w:rPr>
          <w:rFonts w:ascii="Verdana" w:hAnsi="Verdana"/>
          <w:sz w:val="18"/>
          <w:szCs w:val="18"/>
        </w:rPr>
      </w:pPr>
      <w:r>
        <w:rPr>
          <w:rFonts w:ascii="Verdana" w:hAnsi="Verdana"/>
          <w:sz w:val="18"/>
        </w:rPr>
        <w:t>‘Mallotus philipinensis’ is replaced with ‘Mallotus philippensis’.</w:t>
      </w:r>
    </w:p>
    <w:p w:rsidR="00740EC3" w:rsidRDefault="00740EC3" w:rsidP="00E17C57">
      <w:pPr>
        <w:pStyle w:val="ListParagraph"/>
        <w:numPr>
          <w:ilvl w:val="0"/>
          <w:numId w:val="23"/>
        </w:numPr>
        <w:rPr>
          <w:rFonts w:ascii="Verdana" w:hAnsi="Verdana"/>
          <w:sz w:val="18"/>
          <w:szCs w:val="18"/>
        </w:rPr>
      </w:pPr>
      <w:r>
        <w:rPr>
          <w:rFonts w:ascii="Verdana" w:hAnsi="Verdana"/>
          <w:sz w:val="18"/>
        </w:rPr>
        <w:t>‘Mandragora officinalis’ is replaced with ‘Mandragora officinarum’.</w:t>
      </w:r>
    </w:p>
    <w:p w:rsidR="00BB551C" w:rsidRPr="00C5642F" w:rsidRDefault="00740EC3" w:rsidP="00E17C57">
      <w:pPr>
        <w:pStyle w:val="ListParagraph"/>
        <w:numPr>
          <w:ilvl w:val="0"/>
          <w:numId w:val="23"/>
        </w:numPr>
        <w:rPr>
          <w:rFonts w:ascii="Verdana" w:hAnsi="Verdana"/>
          <w:sz w:val="18"/>
          <w:szCs w:val="18"/>
        </w:rPr>
      </w:pPr>
      <w:r>
        <w:rPr>
          <w:rFonts w:ascii="Verdana" w:hAnsi="Verdana"/>
          <w:sz w:val="18"/>
        </w:rPr>
        <w:t>‘Pausinystalia yohimbe or Coynanthe yohimbe</w:t>
      </w:r>
      <w:r w:rsidR="00F1392F">
        <w:rPr>
          <w:rFonts w:ascii="Verdana" w:hAnsi="Verdana"/>
          <w:sz w:val="18"/>
        </w:rPr>
        <w:t>’</w:t>
      </w:r>
      <w:r>
        <w:rPr>
          <w:rFonts w:ascii="Verdana" w:hAnsi="Verdana"/>
          <w:sz w:val="18"/>
        </w:rPr>
        <w:t xml:space="preserve"> is replaced with ‘Pausinystalia johimbe or Corynanthe johimbe’.</w:t>
      </w:r>
    </w:p>
    <w:p w:rsidR="00740EC3" w:rsidRPr="00C5642F" w:rsidRDefault="00BB551C" w:rsidP="00E17C57">
      <w:pPr>
        <w:pStyle w:val="ListParagraph"/>
        <w:numPr>
          <w:ilvl w:val="0"/>
          <w:numId w:val="23"/>
        </w:numPr>
        <w:rPr>
          <w:rFonts w:ascii="Verdana" w:hAnsi="Verdana"/>
          <w:sz w:val="18"/>
          <w:szCs w:val="18"/>
        </w:rPr>
      </w:pPr>
      <w:r>
        <w:rPr>
          <w:rFonts w:ascii="Verdana" w:hAnsi="Verdana"/>
          <w:sz w:val="18"/>
        </w:rPr>
        <w:t>The second column containing the numbers ‘1’s is now removed.</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rFonts w:ascii="Verdana" w:hAnsi="Verdana"/>
          <w:b/>
          <w:sz w:val="18"/>
          <w:szCs w:val="18"/>
        </w:rPr>
      </w:pPr>
      <w:r>
        <w:rPr>
          <w:rFonts w:ascii="Verdana" w:hAnsi="Verdana"/>
          <w:b/>
          <w:sz w:val="18"/>
        </w:rPr>
        <w:t>Article II</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rFonts w:ascii="Verdana" w:hAnsi="Verdana"/>
          <w:sz w:val="18"/>
          <w:szCs w:val="18"/>
        </w:rPr>
      </w:pPr>
      <w:r>
        <w:rPr>
          <w:rFonts w:ascii="Verdana" w:hAnsi="Verdana"/>
          <w:sz w:val="18"/>
        </w:rPr>
        <w:t>In heading C-22 of the Annex to the Commodities Act Decree on administrative penalties [Warenwetbesluit bestuurlijke boeten], the following section is inserted after Section C-22.4:</w:t>
      </w:r>
    </w:p>
    <w:tbl>
      <w:tblPr>
        <w:tblStyle w:val="TableGrid"/>
        <w:tblW w:w="0" w:type="auto"/>
        <w:tblInd w:w="2268" w:type="dxa"/>
        <w:tblLook w:val="04A0" w:firstRow="1" w:lastRow="0" w:firstColumn="1" w:lastColumn="0" w:noHBand="0" w:noVBand="1"/>
      </w:tblPr>
      <w:tblGrid>
        <w:gridCol w:w="1055"/>
        <w:gridCol w:w="3430"/>
        <w:gridCol w:w="1059"/>
        <w:gridCol w:w="1237"/>
        <w:gridCol w:w="396"/>
      </w:tblGrid>
      <w:tr w:rsidR="001960C4" w:rsidTr="00E17C57">
        <w:trPr>
          <w:cantSplit/>
        </w:trPr>
        <w:tc>
          <w:tcPr>
            <w:tcW w:w="1101" w:type="dxa"/>
          </w:tcPr>
          <w:p w:rsidR="001960C4" w:rsidRDefault="001960C4" w:rsidP="00E17C57">
            <w:pPr>
              <w:rPr>
                <w:rFonts w:ascii="Verdana" w:hAnsi="Verdana"/>
                <w:sz w:val="18"/>
                <w:szCs w:val="18"/>
              </w:rPr>
            </w:pPr>
            <w:r>
              <w:rPr>
                <w:rFonts w:ascii="Verdana" w:hAnsi="Verdana"/>
                <w:sz w:val="18"/>
              </w:rPr>
              <w:t>C-22.4.1</w:t>
            </w:r>
          </w:p>
        </w:tc>
        <w:tc>
          <w:tcPr>
            <w:tcW w:w="3827" w:type="dxa"/>
          </w:tcPr>
          <w:p w:rsidR="001960C4" w:rsidRDefault="001960C4" w:rsidP="00E17C57">
            <w:pPr>
              <w:rPr>
                <w:rFonts w:ascii="Verdana" w:hAnsi="Verdana"/>
                <w:sz w:val="18"/>
                <w:szCs w:val="18"/>
              </w:rPr>
            </w:pPr>
            <w:r>
              <w:rPr>
                <w:rFonts w:ascii="Verdana" w:hAnsi="Verdana"/>
                <w:sz w:val="18"/>
              </w:rPr>
              <w:t>Article 2 in conjunction with Article 4(4)</w:t>
            </w:r>
          </w:p>
        </w:tc>
        <w:tc>
          <w:tcPr>
            <w:tcW w:w="842" w:type="dxa"/>
          </w:tcPr>
          <w:p w:rsidR="001960C4" w:rsidRDefault="001960C4" w:rsidP="00E17C57">
            <w:pPr>
              <w:rPr>
                <w:rFonts w:ascii="Verdana" w:hAnsi="Verdana"/>
                <w:sz w:val="18"/>
                <w:szCs w:val="18"/>
              </w:rPr>
            </w:pPr>
            <w:r>
              <w:rPr>
                <w:rFonts w:ascii="Verdana" w:hAnsi="Verdana"/>
                <w:sz w:val="18"/>
              </w:rPr>
              <w:t>EUR 525.</w:t>
            </w:r>
          </w:p>
        </w:tc>
        <w:tc>
          <w:tcPr>
            <w:tcW w:w="1001" w:type="dxa"/>
          </w:tcPr>
          <w:p w:rsidR="001960C4" w:rsidRDefault="001960C4" w:rsidP="00E17C57">
            <w:pPr>
              <w:rPr>
                <w:rFonts w:ascii="Verdana" w:hAnsi="Verdana"/>
                <w:sz w:val="18"/>
                <w:szCs w:val="18"/>
              </w:rPr>
            </w:pPr>
            <w:r>
              <w:rPr>
                <w:rFonts w:ascii="Verdana" w:hAnsi="Verdana"/>
                <w:sz w:val="18"/>
              </w:rPr>
              <w:t>EUR 1 050.</w:t>
            </w:r>
          </w:p>
        </w:tc>
        <w:tc>
          <w:tcPr>
            <w:tcW w:w="406" w:type="dxa"/>
          </w:tcPr>
          <w:p w:rsidR="001960C4" w:rsidRDefault="001960C4" w:rsidP="00E17C57">
            <w:pPr>
              <w:rPr>
                <w:rFonts w:ascii="Verdana" w:hAnsi="Verdana"/>
                <w:sz w:val="18"/>
                <w:szCs w:val="18"/>
              </w:rPr>
            </w:pPr>
            <w:r>
              <w:rPr>
                <w:rFonts w:ascii="Verdana" w:hAnsi="Verdana"/>
                <w:sz w:val="18"/>
              </w:rPr>
              <w:t>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rFonts w:ascii="Verdana" w:hAnsi="Verdana"/>
          <w:b/>
          <w:sz w:val="18"/>
          <w:szCs w:val="18"/>
        </w:rPr>
      </w:pPr>
      <w:r>
        <w:rPr>
          <w:rFonts w:ascii="Verdana" w:hAnsi="Verdana"/>
          <w:b/>
          <w:sz w:val="18"/>
        </w:rPr>
        <w:t>Article III</w:t>
      </w:r>
    </w:p>
    <w:p w:rsidR="00B56093" w:rsidRDefault="00B56093" w:rsidP="00E17C57">
      <w:pPr>
        <w:keepNext/>
        <w:keepLines/>
        <w:ind w:left="2268"/>
        <w:rPr>
          <w:rFonts w:ascii="Verdana" w:hAnsi="Verdana"/>
          <w:sz w:val="18"/>
          <w:szCs w:val="18"/>
        </w:rPr>
      </w:pPr>
    </w:p>
    <w:p w:rsidR="00D9610F" w:rsidRDefault="00D9610F" w:rsidP="00E17C57">
      <w:pPr>
        <w:ind w:left="2836" w:hanging="568"/>
        <w:rPr>
          <w:rFonts w:ascii="Verdana" w:hAnsi="Verdana"/>
          <w:sz w:val="18"/>
          <w:szCs w:val="18"/>
        </w:rPr>
      </w:pPr>
      <w:r>
        <w:rPr>
          <w:rFonts w:ascii="Verdana" w:hAnsi="Verdana"/>
          <w:sz w:val="18"/>
        </w:rPr>
        <w:t>This De</w:t>
      </w:r>
      <w:r w:rsidR="00F1392F">
        <w:rPr>
          <w:rFonts w:ascii="Verdana" w:hAnsi="Verdana"/>
          <w:sz w:val="18"/>
        </w:rPr>
        <w:t xml:space="preserve">cree shall enter into force on </w:t>
      </w:r>
      <w:r>
        <w:rPr>
          <w:rFonts w:ascii="Verdana" w:hAnsi="Verdana"/>
          <w:sz w:val="18"/>
        </w:rPr>
        <w:t>1</w:t>
      </w:r>
      <w:r w:rsidR="00F1392F">
        <w:rPr>
          <w:rFonts w:ascii="Verdana" w:hAnsi="Verdana"/>
          <w:sz w:val="18"/>
        </w:rPr>
        <w:t> </w:t>
      </w:r>
      <w:r>
        <w:rPr>
          <w:rFonts w:ascii="Verdana" w:hAnsi="Verdana"/>
          <w:sz w:val="18"/>
        </w:rPr>
        <w:t>January</w:t>
      </w:r>
      <w:r w:rsidR="00F1392F">
        <w:rPr>
          <w:rFonts w:ascii="Verdana" w:hAnsi="Verdana"/>
          <w:sz w:val="18"/>
        </w:rPr>
        <w:t> </w:t>
      </w:r>
      <w:r>
        <w:rPr>
          <w:rFonts w:ascii="Verdana" w:hAnsi="Verdana"/>
          <w:sz w:val="18"/>
        </w:rPr>
        <w:t>2020.</w:t>
      </w:r>
    </w:p>
    <w:p w:rsidR="003143CD" w:rsidRPr="008F0589" w:rsidRDefault="003143CD" w:rsidP="00E17C57">
      <w:pPr>
        <w:ind w:left="2268"/>
        <w:rPr>
          <w:rFonts w:ascii="Verdana" w:hAnsi="Verdana"/>
          <w:sz w:val="18"/>
          <w:szCs w:val="18"/>
        </w:rPr>
      </w:pPr>
    </w:p>
    <w:p w:rsidR="003143CD" w:rsidRDefault="007E7D62" w:rsidP="00E17C57">
      <w:pPr>
        <w:ind w:left="2268"/>
        <w:rPr>
          <w:rFonts w:ascii="Verdana" w:hAnsi="Verdana"/>
          <w:snapToGrid w:val="0"/>
          <w:sz w:val="18"/>
          <w:szCs w:val="18"/>
        </w:rPr>
      </w:pPr>
      <w:r>
        <w:rPr>
          <w:rFonts w:ascii="Verdana" w:hAnsi="Verdana"/>
          <w:snapToGrid w:val="0"/>
          <w:sz w:val="18"/>
        </w:rPr>
        <w:t>I hereby order this Decree, together with its associated explanatory memorandum, to be published in the Bulletin of Acts and Decrees.</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The Minister for Medical Care,</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t>B. J. Bruins</w:t>
      </w:r>
    </w:p>
    <w:p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lastRenderedPageBreak/>
        <w:t>Explanatory memorandum</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1. General</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rFonts w:ascii="Verdana" w:hAnsi="Verdana"/>
          <w:kern w:val="2"/>
          <w:sz w:val="18"/>
          <w:szCs w:val="18"/>
        </w:rPr>
      </w:pPr>
      <w:r>
        <w:rPr>
          <w:rFonts w:ascii="Verdana" w:hAnsi="Verdana"/>
          <w:kern w:val="2"/>
          <w:sz w:val="18"/>
        </w:rPr>
        <w:t>The Commodities Act Decree on Herbal Preparations sets requirements on herbal preparations, to protect public health. Based on risk assessments on plants, a prohibition on certain plants is now added to the decree. Moreover, it was decided to add a prohibition on harmful substances from plants and fungi in herbal preparations to the decree (Article I, Part A, under 2). This improves the enforceability of the Commodities Act Decree on Herbal Preparations. Consequently, consumers will be better protected from products that could damage their health.</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rFonts w:ascii="Verdana" w:hAnsi="Verdana"/>
          <w:kern w:val="2"/>
          <w:sz w:val="18"/>
          <w:szCs w:val="18"/>
        </w:rPr>
      </w:pPr>
      <w:r>
        <w:rPr>
          <w:rFonts w:ascii="Verdana" w:hAnsi="Verdana"/>
          <w:kern w:val="2"/>
          <w:sz w:val="18"/>
        </w:rPr>
        <w:t>Article 13d of the Commodities Act [Warenwet] contains a mutual recognition clause. The mutual recognition principle entails that an EU Member State shall not ban the sale of goods that have been legally brought onto the market in another EU Member State in its own territory on the grounds that the goods do not meet its own national regulations. It is critical here that goods from another EU Member State offer at least an equivalent level of protection. Thus, trade in goods originating from other EU Member States falling under the scope of this Decree shall not be prohibited by virtue of the requirements set out in this Decree.</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rFonts w:ascii="Verdana" w:hAnsi="Verdana"/>
          <w:kern w:val="2"/>
          <w:sz w:val="18"/>
          <w:szCs w:val="18"/>
        </w:rPr>
      </w:pPr>
      <w:r>
        <w:rPr>
          <w:rFonts w:ascii="Verdana" w:hAnsi="Verdana"/>
          <w:kern w:val="2"/>
          <w:sz w:val="18"/>
        </w:rPr>
        <w:t>The requirements on goods set out in this Decree are justified in the interests of protecting consumers from unsafe products.</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2. Impact on regulatory burden</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This Decree is expected to have a limited impact on the regulatory burden on the business community. Information from the sector indicates that the amount of products that will require modification is limited. Given the long period of preparation for this change, including repeated consultations with the parties, producers have had ample time to bring their products into line with the new requirements. The information costs are zero. The Dutch Advisory Board on Regulatory Burden [ATR] supports the analysis and conclusion on the impact on the regulatory burden.</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3. Regular Commodities Act Consultation Group</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The draft version of this Decree has been submitted to the participants in the Regular Commodities Act Consultation Group [ROW]</w:t>
      </w:r>
      <w:r>
        <w:rPr>
          <w:rStyle w:val="FootnoteReference"/>
          <w:rFonts w:ascii="Verdana" w:hAnsi="Verdana"/>
          <w:kern w:val="2"/>
          <w:sz w:val="18"/>
        </w:rPr>
        <w:footnoteReference w:id="1"/>
      </w:r>
      <w:r>
        <w:rPr>
          <w:rFonts w:ascii="Verdana" w:hAnsi="Verdana"/>
          <w:kern w:val="2"/>
          <w:sz w:val="18"/>
        </w:rPr>
        <w:t xml:space="preserve">. This discussion found that a prohibition on the presence of synephrine in herbal preparations was not possible, given that this natural substance also occurs in food (e.g. orange marmalade). To ensure that consumers are not exposed to levels of synephrine that are harmful to their health, the Dutch National Institute for Public Health and the Environment [RIVM] and the Risk Assessment &amp; Research Office [BuRO] of the Netherlands Food and Consumer Product Safety Authority [NVWA] were asked to submit a recommendation on the maximum level of synephrine in herbal </w:t>
      </w:r>
      <w:r>
        <w:rPr>
          <w:rFonts w:ascii="Verdana" w:hAnsi="Verdana"/>
          <w:kern w:val="2"/>
          <w:sz w:val="18"/>
        </w:rPr>
        <w:lastRenderedPageBreak/>
        <w:t>preparations. Based on the report of the RIVM</w:t>
      </w:r>
      <w:r>
        <w:rPr>
          <w:rStyle w:val="FootnoteReference"/>
          <w:rFonts w:ascii="Verdana" w:hAnsi="Verdana"/>
          <w:kern w:val="2"/>
          <w:sz w:val="18"/>
        </w:rPr>
        <w:footnoteReference w:id="2"/>
      </w:r>
      <w:r>
        <w:rPr>
          <w:rFonts w:ascii="Verdana" w:hAnsi="Verdana"/>
          <w:kern w:val="2"/>
          <w:sz w:val="18"/>
        </w:rPr>
        <w:t>, the BuRO</w:t>
      </w:r>
      <w:r>
        <w:rPr>
          <w:rStyle w:val="FootnoteReference"/>
          <w:rFonts w:ascii="Verdana" w:hAnsi="Verdana"/>
          <w:kern w:val="2"/>
          <w:sz w:val="18"/>
        </w:rPr>
        <w:footnoteReference w:id="3"/>
      </w:r>
      <w:r>
        <w:rPr>
          <w:rFonts w:ascii="Verdana" w:hAnsi="Verdana"/>
          <w:kern w:val="2"/>
          <w:sz w:val="18"/>
        </w:rPr>
        <w:t xml:space="preserve"> advises limiting the maximum amount of synephrine in herbal preparations to an intake of 27 mg of p-synephrine per day, in accordance with the instructions for use. In addition, the use of m and o-synephrine in herbal preparations is not permitted.</w:t>
      </w:r>
    </w:p>
    <w:p w:rsidR="008E734A" w:rsidRDefault="00586978" w:rsidP="00E17C57">
      <w:pPr>
        <w:tabs>
          <w:tab w:val="left" w:pos="2268"/>
        </w:tabs>
        <w:ind w:left="2268"/>
        <w:rPr>
          <w:rFonts w:ascii="Verdana" w:hAnsi="Verdana"/>
          <w:kern w:val="2"/>
          <w:sz w:val="18"/>
          <w:szCs w:val="18"/>
        </w:rPr>
      </w:pPr>
      <w:r>
        <w:rPr>
          <w:rFonts w:ascii="Verdana" w:hAnsi="Verdana"/>
          <w:kern w:val="2"/>
          <w:sz w:val="18"/>
        </w:rPr>
        <w:t>In addition, the ROW is still discussing the proper interpretation of the term ‘derivatives’. The question has been raised whether this addition is actually necessary and if so, how the term should be defined. This matter was examined and given that many variants of harmful substances are possible, it was decided to continue using the term. This refers to substances derived from another substance.</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4. Enforceability and feasibility</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rFonts w:ascii="Verdana" w:hAnsi="Verdana"/>
          <w:kern w:val="2"/>
          <w:sz w:val="18"/>
          <w:szCs w:val="18"/>
        </w:rPr>
      </w:pPr>
      <w:r>
        <w:rPr>
          <w:rFonts w:ascii="Verdana" w:hAnsi="Verdana"/>
          <w:kern w:val="2"/>
          <w:sz w:val="18"/>
        </w:rPr>
        <w:t xml:space="preserve">The NVWA evaluated this </w:t>
      </w:r>
      <w:r w:rsidR="00F1392F">
        <w:rPr>
          <w:rFonts w:ascii="Verdana" w:hAnsi="Verdana"/>
          <w:kern w:val="2"/>
          <w:sz w:val="18"/>
        </w:rPr>
        <w:t>d</w:t>
      </w:r>
      <w:r>
        <w:rPr>
          <w:rFonts w:ascii="Verdana" w:hAnsi="Verdana"/>
          <w:kern w:val="2"/>
          <w:sz w:val="18"/>
        </w:rPr>
        <w:t>raft Decree for enforceability, feasibility and fraud</w:t>
      </w:r>
      <w:r w:rsidR="00F1392F">
        <w:rPr>
          <w:rFonts w:ascii="Verdana" w:hAnsi="Verdana"/>
          <w:kern w:val="2"/>
          <w:sz w:val="18"/>
        </w:rPr>
        <w:t xml:space="preserve"> </w:t>
      </w:r>
      <w:r>
        <w:rPr>
          <w:rFonts w:ascii="Verdana" w:hAnsi="Verdana"/>
          <w:kern w:val="2"/>
          <w:sz w:val="18"/>
        </w:rPr>
        <w:t xml:space="preserve">resistance. The NVWA deems the </w:t>
      </w:r>
      <w:r w:rsidR="00F1392F">
        <w:rPr>
          <w:rFonts w:ascii="Verdana" w:hAnsi="Verdana"/>
          <w:kern w:val="2"/>
          <w:sz w:val="18"/>
        </w:rPr>
        <w:t>d</w:t>
      </w:r>
      <w:r>
        <w:rPr>
          <w:rFonts w:ascii="Verdana" w:hAnsi="Verdana"/>
          <w:kern w:val="2"/>
          <w:sz w:val="18"/>
        </w:rPr>
        <w:t xml:space="preserve">raft Decree to be enforceable and feasible. The </w:t>
      </w:r>
      <w:r w:rsidR="00F1392F">
        <w:rPr>
          <w:rFonts w:ascii="Verdana" w:hAnsi="Verdana"/>
          <w:kern w:val="2"/>
          <w:sz w:val="18"/>
        </w:rPr>
        <w:t>d</w:t>
      </w:r>
      <w:r>
        <w:rPr>
          <w:rFonts w:ascii="Verdana" w:hAnsi="Verdana"/>
          <w:kern w:val="2"/>
          <w:sz w:val="18"/>
        </w:rPr>
        <w:t>raft Decree does not give cause for any comments regarding fraud resistance.</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5. Preliminary scrutiny</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rFonts w:ascii="Verdana" w:hAnsi="Verdana"/>
          <w:kern w:val="2"/>
          <w:sz w:val="18"/>
          <w:szCs w:val="18"/>
        </w:rPr>
      </w:pPr>
      <w:r>
        <w:rPr>
          <w:rFonts w:ascii="Verdana" w:hAnsi="Verdana"/>
          <w:kern w:val="2"/>
          <w:sz w:val="18"/>
        </w:rPr>
        <w:t xml:space="preserve">In accordance with Article 32b(2) of the Commodities Act, a draft of this general administrative regulation was sent on </w:t>
      </w:r>
      <w:r>
        <w:rPr>
          <w:rFonts w:ascii="Verdana" w:hAnsi="Verdana"/>
          <w:b/>
          <w:kern w:val="2"/>
          <w:sz w:val="18"/>
        </w:rPr>
        <w:t>(date)</w:t>
      </w:r>
      <w:r>
        <w:rPr>
          <w:rFonts w:ascii="Verdana" w:hAnsi="Verdana"/>
          <w:kern w:val="2"/>
          <w:sz w:val="18"/>
        </w:rPr>
        <w:t xml:space="preserve"> to both houses of the Dutch Parliament (Parliamentary Papers </w:t>
      </w:r>
      <w:r>
        <w:rPr>
          <w:rFonts w:ascii="Verdana" w:hAnsi="Verdana"/>
          <w:b/>
          <w:kern w:val="2"/>
          <w:sz w:val="18"/>
        </w:rPr>
        <w:t>PM</w:t>
      </w:r>
      <w:r>
        <w:rPr>
          <w:rFonts w:ascii="Verdana" w:hAnsi="Verdana"/>
          <w:kern w:val="2"/>
          <w:sz w:val="18"/>
        </w:rPr>
        <w:t>).</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kern w:val="2"/>
          <w:sz w:val="18"/>
        </w:rPr>
        <w:t>6. Notification</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rFonts w:ascii="Verdana" w:hAnsi="Verdana"/>
          <w:sz w:val="18"/>
          <w:szCs w:val="18"/>
        </w:rPr>
      </w:pPr>
      <w:r>
        <w:rPr>
          <w:rFonts w:ascii="Verdana" w:hAnsi="Verdana"/>
          <w:sz w:val="18"/>
        </w:rPr>
        <w:t>The draft of this Decree was notified on … to the European Commission pursuant to Article 5(1) of Directive (EU) 2015/1535</w:t>
      </w:r>
      <w:r>
        <w:rPr>
          <w:rStyle w:val="FootnoteReference"/>
          <w:rFonts w:ascii="Verdana" w:hAnsi="Verdana"/>
          <w:sz w:val="18"/>
        </w:rPr>
        <w:footnoteReference w:id="4"/>
      </w:r>
      <w:r>
        <w:rPr>
          <w:rFonts w:ascii="Verdana" w:hAnsi="Verdana"/>
          <w:sz w:val="18"/>
        </w:rPr>
        <w:t>. Notification to the European Commission is required, as Article I of this Decree contains technical regulations as defined by Directive (EU) 2015/1535. Further to this notification</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rFonts w:ascii="Verdana" w:hAnsi="Verdana"/>
          <w:kern w:val="2"/>
          <w:sz w:val="18"/>
          <w:szCs w:val="18"/>
        </w:rPr>
      </w:pPr>
      <w:r>
        <w:rPr>
          <w:rFonts w:ascii="Verdana" w:hAnsi="Verdana"/>
          <w:kern w:val="2"/>
          <w:sz w:val="18"/>
        </w:rPr>
        <w:t xml:space="preserve">Where this </w:t>
      </w:r>
      <w:r w:rsidR="00F1392F">
        <w:rPr>
          <w:rFonts w:ascii="Verdana" w:hAnsi="Verdana"/>
          <w:kern w:val="2"/>
          <w:sz w:val="18"/>
        </w:rPr>
        <w:t>d</w:t>
      </w:r>
      <w:r>
        <w:rPr>
          <w:rFonts w:ascii="Verdana" w:hAnsi="Verdana"/>
          <w:kern w:val="2"/>
          <w:sz w:val="18"/>
        </w:rPr>
        <w:t>raft Decree contains quantitative import restrictions or measures with equivalent effect in the sense of Article 34 of the Treaty on the Functioning of the European Union, these measures are justified in the interest of public health by virtue of Article 36 of the Treaty.</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7. By article</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kern w:val="2"/>
          <w:sz w:val="18"/>
        </w:rPr>
        <w:t>Article I, Part A, under 1 and 4, and Part D, under 2</w:t>
      </w:r>
    </w:p>
    <w:p w:rsidR="00670294" w:rsidRDefault="00FC0162" w:rsidP="00E17C57">
      <w:pPr>
        <w:tabs>
          <w:tab w:val="left" w:pos="2268"/>
        </w:tabs>
        <w:ind w:left="2268"/>
        <w:rPr>
          <w:rFonts w:ascii="Verdana" w:hAnsi="Verdana"/>
          <w:kern w:val="2"/>
          <w:sz w:val="18"/>
          <w:szCs w:val="18"/>
        </w:rPr>
      </w:pPr>
      <w:r>
        <w:rPr>
          <w:rFonts w:ascii="Verdana" w:hAnsi="Verdana"/>
          <w:kern w:val="2"/>
          <w:sz w:val="18"/>
        </w:rPr>
        <w:t>This amendment improves enforceability. Before entry into force of this Decree, Article 4(1) of the Commodities Act Decree on Herbal Preparations read as follows:</w:t>
      </w:r>
    </w:p>
    <w:p w:rsidR="00670294" w:rsidRPr="009345F8" w:rsidRDefault="00670294" w:rsidP="00E17C57">
      <w:pPr>
        <w:tabs>
          <w:tab w:val="left" w:pos="2268"/>
        </w:tabs>
        <w:ind w:left="2268"/>
        <w:rPr>
          <w:rFonts w:ascii="Verdana" w:hAnsi="Verdana"/>
          <w:i/>
          <w:kern w:val="2"/>
          <w:sz w:val="18"/>
          <w:szCs w:val="18"/>
        </w:rPr>
      </w:pPr>
      <w:r>
        <w:rPr>
          <w:rFonts w:ascii="Verdana" w:hAnsi="Verdana"/>
          <w:i/>
          <w:kern w:val="2"/>
          <w:sz w:val="18"/>
        </w:rPr>
        <w:t xml:space="preserve">The amount of toxic pyrrolizidine alkaloids from herbal preparations that consist of material originating in whole or in part from plants, as referred to in Part I of the Annex, of from other plants assumed to contain toxic </w:t>
      </w:r>
      <w:r>
        <w:rPr>
          <w:rFonts w:ascii="Verdana" w:hAnsi="Verdana"/>
          <w:i/>
          <w:kern w:val="2"/>
          <w:sz w:val="18"/>
        </w:rPr>
        <w:lastRenderedPageBreak/>
        <w:t>pyrrolizidine alkaloids, shall not exceed 1 µg per kg or per litre, respectively.</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rFonts w:ascii="Verdana" w:hAnsi="Verdana"/>
          <w:kern w:val="2"/>
          <w:sz w:val="18"/>
          <w:szCs w:val="18"/>
        </w:rPr>
      </w:pPr>
      <w:r>
        <w:rPr>
          <w:rFonts w:ascii="Verdana" w:hAnsi="Verdana"/>
          <w:kern w:val="2"/>
          <w:sz w:val="18"/>
        </w:rPr>
        <w:t>Given this wording, the official tasked with supervision cannot simply set an excessively high level of toxic pyrrolizidine alkaloids in herbal preparations. The official must also demonstrate their origins. This resulted in issues with supervision of compliance with this provision.</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rFonts w:ascii="Verdana" w:hAnsi="Verdana"/>
          <w:kern w:val="2"/>
          <w:sz w:val="18"/>
          <w:szCs w:val="18"/>
        </w:rPr>
      </w:pPr>
      <w:r>
        <w:rPr>
          <w:rFonts w:ascii="Verdana" w:hAnsi="Verdana"/>
          <w:kern w:val="2"/>
          <w:sz w:val="18"/>
        </w:rPr>
        <w:t>Article I, Part A, under 1 of this Decree amends Article 4(1) to resolve the issues referred to in the preceding paragraph. Paragraph 1 now sets a maximum amount of toxic pyrrolizidine alkaloids in herbal preparations, regardless of their origin. Part I of the Annex can therefore be removed (Article I, Part D, under 2).</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rFonts w:ascii="Verdana" w:hAnsi="Verdana"/>
          <w:sz w:val="18"/>
          <w:szCs w:val="18"/>
        </w:rPr>
      </w:pPr>
      <w:r>
        <w:rPr>
          <w:rFonts w:ascii="Verdana" w:hAnsi="Verdana"/>
          <w:sz w:val="18"/>
        </w:rPr>
        <w:t>In short term, requirements on the maximum amount of pyrrolizidine alkaloids in food supplements and herbal preparations are expected to be added to Regulation (EC) 1881/2006</w:t>
      </w:r>
      <w:r>
        <w:rPr>
          <w:rStyle w:val="FootnoteReference"/>
          <w:rFonts w:ascii="Verdana" w:hAnsi="Verdana"/>
          <w:sz w:val="18"/>
        </w:rPr>
        <w:footnoteReference w:id="5"/>
      </w:r>
      <w:r>
        <w:rPr>
          <w:rFonts w:ascii="Verdana" w:hAnsi="Verdana"/>
          <w:sz w:val="18"/>
        </w:rPr>
        <w:t>. In anticipation, a new Article 4(6) is added to the Commodities Act Decree on Herbal Preparations, such that paragraph 1 no longer applies to any matters covered by the provisions of Regulation (EC) 1881/2006. This provision anticipates future expansions to the provisions of Regulation (EC) 1881/2006 on pyrrolizidine alkaloids.</w:t>
      </w:r>
    </w:p>
    <w:p w:rsidR="00430B87" w:rsidRPr="0042448A" w:rsidRDefault="00430B87" w:rsidP="00E17C57">
      <w:pPr>
        <w:ind w:left="2268"/>
        <w:rPr>
          <w:rFonts w:ascii="Verdana" w:hAnsi="Verdana"/>
          <w:sz w:val="18"/>
          <w:szCs w:val="18"/>
        </w:rPr>
      </w:pPr>
    </w:p>
    <w:p w:rsidR="00430B87" w:rsidRDefault="00430B87" w:rsidP="00E17C57">
      <w:pPr>
        <w:ind w:left="2268"/>
        <w:rPr>
          <w:rFonts w:ascii="Verdana" w:hAnsi="Verdana"/>
          <w:sz w:val="18"/>
          <w:szCs w:val="18"/>
        </w:rPr>
      </w:pPr>
      <w:r>
        <w:rPr>
          <w:rFonts w:ascii="Verdana" w:hAnsi="Verdana"/>
          <w:sz w:val="18"/>
        </w:rPr>
        <w:t>For other herbal preparations not covered in the Annex to Regulation (EC) 1881/2006, the maximum limit in Article 4(1) of the Commodities Act Decree on Herbal Preparations shall remain applicable, i.e.: 1 µg/kg or per litre, respectively.</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kern w:val="2"/>
          <w:sz w:val="18"/>
        </w:rPr>
        <w:t>Article I, Part A, under 2</w:t>
      </w:r>
    </w:p>
    <w:p w:rsidR="00FC0162" w:rsidRDefault="00FC0162" w:rsidP="00E17C57">
      <w:pPr>
        <w:tabs>
          <w:tab w:val="left" w:pos="2268"/>
        </w:tabs>
        <w:ind w:left="2268"/>
        <w:rPr>
          <w:rFonts w:ascii="Verdana" w:hAnsi="Verdana"/>
          <w:kern w:val="2"/>
          <w:sz w:val="18"/>
          <w:szCs w:val="18"/>
        </w:rPr>
      </w:pPr>
      <w:r>
        <w:rPr>
          <w:rFonts w:ascii="Verdana" w:hAnsi="Verdana"/>
          <w:kern w:val="2"/>
          <w:sz w:val="18"/>
        </w:rPr>
        <w:t>Article 4(2) of the Commodities Act Decree on Herbal Preparations names several substances that cannot be present in herbal preparations, in the interest of public health. Based on studies,</w:t>
      </w:r>
      <w:r>
        <w:rPr>
          <w:rStyle w:val="FootnoteReference"/>
          <w:rFonts w:ascii="Verdana" w:hAnsi="Verdana"/>
          <w:kern w:val="2"/>
          <w:sz w:val="18"/>
        </w:rPr>
        <w:footnoteReference w:id="6"/>
      </w:r>
      <w:r>
        <w:rPr>
          <w:rFonts w:ascii="Verdana" w:hAnsi="Verdana"/>
          <w:kern w:val="2"/>
          <w:sz w:val="18"/>
        </w:rPr>
        <w:t xml:space="preserve"> the RIVM has recommended expanding the list with several other substances that appear to have toxic, or even acutely toxic, properties. These recommendations have been applied. The substances in questions have therefore been added to Article 4(2) of the Commodities Act Decree on Herbal Preparations. Former subparagraphs a and b (aristolochic acids and yohimbine alkaloids or derivatives thereof) were then added to the new list in alphabetical order.</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rFonts w:ascii="Verdana" w:hAnsi="Verdana"/>
          <w:kern w:val="2"/>
          <w:sz w:val="18"/>
          <w:szCs w:val="18"/>
        </w:rPr>
      </w:pPr>
      <w:r>
        <w:rPr>
          <w:rFonts w:ascii="Verdana" w:hAnsi="Verdana"/>
          <w:kern w:val="2"/>
          <w:sz w:val="18"/>
        </w:rPr>
        <w:t xml:space="preserve">The new subparagraph g pertains to oil from Artemisia absinthium. This subparagraph states that the prohibition on this oil in herbal preparations does not apply to the presence of thujone in beverages of the Artemisia </w:t>
      </w:r>
      <w:r>
        <w:rPr>
          <w:rFonts w:ascii="Verdana" w:hAnsi="Verdana"/>
          <w:kern w:val="2"/>
          <w:sz w:val="18"/>
        </w:rPr>
        <w:lastRenderedPageBreak/>
        <w:t>type if its presence is permitted in Article 6(2) and Annex III, Part B of Regulation (EC) 1334/2008</w:t>
      </w:r>
      <w:r>
        <w:rPr>
          <w:rStyle w:val="FootnoteReference"/>
          <w:rFonts w:ascii="Verdana" w:hAnsi="Verdana"/>
          <w:kern w:val="2"/>
          <w:sz w:val="18"/>
        </w:rPr>
        <w:footnoteReference w:id="7"/>
      </w:r>
      <w:r>
        <w:rPr>
          <w:rFonts w:ascii="Verdana" w:hAnsi="Verdana"/>
          <w:kern w:val="2"/>
          <w:sz w:val="18"/>
        </w:rPr>
        <w:t>.</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kern w:val="2"/>
          <w:sz w:val="18"/>
        </w:rPr>
        <w:t>Article I, Part A, under 3, and Part D, under 1 and 3</w:t>
      </w:r>
    </w:p>
    <w:p w:rsidR="00670294" w:rsidRDefault="005D7072" w:rsidP="00E17C57">
      <w:pPr>
        <w:tabs>
          <w:tab w:val="left" w:pos="2268"/>
        </w:tabs>
        <w:ind w:left="2268"/>
        <w:rPr>
          <w:rFonts w:ascii="Verdana" w:hAnsi="Verdana"/>
          <w:kern w:val="2"/>
          <w:sz w:val="18"/>
          <w:szCs w:val="18"/>
        </w:rPr>
      </w:pPr>
      <w:r>
        <w:rPr>
          <w:rFonts w:ascii="Verdana" w:hAnsi="Verdana"/>
          <w:kern w:val="2"/>
          <w:sz w:val="18"/>
        </w:rPr>
        <w:t>At the time of entry into force of this Decree, the Annex to the Commodities Act Decree on Herbal Preparations only contains what was formerly Part II, which is now ‘the Annex’. The reference to Part II of the Annex in Article 4(3) of the Commodities Act Decree on Herbal Preparations is therefore changed to a reference to ‘the Annex’.</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kern w:val="2"/>
          <w:sz w:val="18"/>
        </w:rPr>
        <w:t>Article I, Part A, under 4</w:t>
      </w:r>
    </w:p>
    <w:p w:rsidR="003C006F" w:rsidRPr="00C5642F" w:rsidRDefault="003C006F" w:rsidP="00E17C57">
      <w:pPr>
        <w:tabs>
          <w:tab w:val="left" w:pos="2268"/>
        </w:tabs>
        <w:ind w:left="2268"/>
        <w:rPr>
          <w:rFonts w:ascii="Verdana" w:hAnsi="Verdana"/>
          <w:kern w:val="2"/>
          <w:sz w:val="18"/>
          <w:szCs w:val="18"/>
        </w:rPr>
      </w:pPr>
      <w:r>
        <w:rPr>
          <w:rFonts w:ascii="Verdana" w:hAnsi="Verdana"/>
          <w:kern w:val="2"/>
          <w:sz w:val="18"/>
        </w:rPr>
        <w:t>Based on the aforementioned RIVM report and the BuRO recommendation on synephrine, based on the former, it has been decided to ban the addition of m and o-synephrine to herbal preparations. A maximum daily amount of 27 mg of p-synephrine based on intake from food has been derived from the BuRO recommendation. This maximum has been included in Article 4(4).</w:t>
      </w:r>
    </w:p>
    <w:p w:rsidR="008250DF" w:rsidRPr="008250DF" w:rsidRDefault="008250DF" w:rsidP="00E17C57">
      <w:pPr>
        <w:tabs>
          <w:tab w:val="left" w:pos="2268"/>
        </w:tabs>
        <w:ind w:left="2268"/>
        <w:rPr>
          <w:rFonts w:ascii="Verdana" w:hAnsi="Verdana"/>
          <w:kern w:val="2"/>
          <w:sz w:val="18"/>
          <w:szCs w:val="18"/>
        </w:rPr>
      </w:pPr>
      <w:r>
        <w:rPr>
          <w:rFonts w:ascii="Verdana" w:hAnsi="Verdana"/>
          <w:kern w:val="2"/>
          <w:sz w:val="18"/>
        </w:rPr>
        <w:t>Ricinus communis was included in Part II of the Commodities Act Decree on Herbal Preparations. The current Article 4(3) stipulates that herbal preparations shall not contain any materials originating in whole or in part from Ricinus communis. The RIVM</w:t>
      </w:r>
      <w:r>
        <w:rPr>
          <w:rStyle w:val="FootnoteReference"/>
          <w:rFonts w:ascii="Verdana" w:hAnsi="Verdana"/>
          <w:kern w:val="2"/>
          <w:sz w:val="18"/>
        </w:rPr>
        <w:footnoteReference w:id="8"/>
      </w:r>
      <w:r>
        <w:rPr>
          <w:rFonts w:ascii="Verdana" w:hAnsi="Verdana"/>
          <w:kern w:val="2"/>
          <w:sz w:val="18"/>
        </w:rPr>
        <w:t xml:space="preserve"> study also indicates that the intake of up to 0.4 g per day of oil extracted from Ricinus communis seeds is not harmful to public health. For this reason, a new Article 4(5) is added to the Commodities Act Decree on Herbal Preparations to enable the fact described above.</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kern w:val="2"/>
          <w:sz w:val="18"/>
        </w:rPr>
        <w:t>Article I, Part B</w:t>
      </w:r>
    </w:p>
    <w:p w:rsidR="002714CE" w:rsidRPr="003D0C77" w:rsidRDefault="002714CE" w:rsidP="00E17C57">
      <w:pPr>
        <w:tabs>
          <w:tab w:val="left" w:pos="2268"/>
        </w:tabs>
        <w:ind w:left="2268"/>
        <w:rPr>
          <w:rFonts w:ascii="Verdana" w:hAnsi="Verdana"/>
          <w:kern w:val="2"/>
          <w:sz w:val="18"/>
          <w:szCs w:val="18"/>
        </w:rPr>
      </w:pPr>
      <w:r>
        <w:rPr>
          <w:rFonts w:ascii="Verdana" w:hAnsi="Verdana"/>
          <w:kern w:val="2"/>
          <w:sz w:val="18"/>
        </w:rPr>
        <w:t>A new paragraph 3 is added to Article 6. This creates the option to issue a ministerial order setting out further rules on the recommended use and dosages, referred to in paragraphs 1 and 2. This will be used for substances that may have an adverse impact on health under certain use and dosage conditions. The recommended use and dosage can be used to warn consumers of this.</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kern w:val="2"/>
          <w:sz w:val="18"/>
        </w:rPr>
        <w:t>Article I, Part C, and Part D, under 10</w:t>
      </w:r>
    </w:p>
    <w:p w:rsidR="003143CD" w:rsidRDefault="003143CD" w:rsidP="00E17C57">
      <w:pPr>
        <w:tabs>
          <w:tab w:val="left" w:pos="2268"/>
        </w:tabs>
        <w:ind w:left="2268"/>
        <w:rPr>
          <w:rFonts w:ascii="Verdana" w:hAnsi="Verdana"/>
          <w:kern w:val="2"/>
          <w:sz w:val="18"/>
          <w:szCs w:val="18"/>
        </w:rPr>
      </w:pPr>
      <w:r>
        <w:rPr>
          <w:rFonts w:ascii="Verdana" w:hAnsi="Verdana"/>
          <w:kern w:val="2"/>
          <w:sz w:val="18"/>
        </w:rPr>
        <w:t>This amendment involves detailed transitional provisions.</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kern w:val="2"/>
          <w:sz w:val="18"/>
        </w:rPr>
        <w:t>Article I, Part D, under 4 to 9</w:t>
      </w:r>
    </w:p>
    <w:p w:rsidR="007C6E9D" w:rsidRDefault="007C6E9D" w:rsidP="00E17C57">
      <w:pPr>
        <w:tabs>
          <w:tab w:val="left" w:pos="2268"/>
        </w:tabs>
        <w:ind w:left="2268"/>
        <w:rPr>
          <w:rFonts w:ascii="Verdana" w:hAnsi="Verdana"/>
          <w:kern w:val="2"/>
          <w:sz w:val="18"/>
          <w:szCs w:val="18"/>
        </w:rPr>
      </w:pPr>
      <w:r>
        <w:rPr>
          <w:rFonts w:ascii="Verdana" w:hAnsi="Verdana"/>
          <w:kern w:val="2"/>
          <w:sz w:val="18"/>
        </w:rPr>
        <w:t>The amended Article 4(3) of the Commodities Act Decree on Herbal Preparations stipulates that the herbal preparations shall not contain any materials originating in whole or in part from plants and fungi indicated in the Annex. Several plants are now added to the Annex (formerly Part II of the Annex), given their potentially serious harmful impact on human health (Article I, Part D, under 4).</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rFonts w:ascii="Verdana" w:hAnsi="Verdana"/>
          <w:kern w:val="2"/>
          <w:sz w:val="18"/>
          <w:szCs w:val="18"/>
        </w:rPr>
      </w:pPr>
      <w:r>
        <w:rPr>
          <w:rFonts w:ascii="Verdana" w:hAnsi="Verdana"/>
          <w:kern w:val="2"/>
          <w:sz w:val="18"/>
        </w:rPr>
        <w:t xml:space="preserve">Article I, Part D, under 5 to 9 of this Decree takes the opportunity to correct several shortcomings in the former Part II of the Annex. First, several typos </w:t>
      </w:r>
      <w:r>
        <w:rPr>
          <w:rFonts w:ascii="Verdana" w:hAnsi="Verdana"/>
          <w:kern w:val="2"/>
          <w:sz w:val="18"/>
        </w:rPr>
        <w:lastRenderedPageBreak/>
        <w:t>are now corrected. Second, it is now clearly stated that the poisonous herb Bryonia alba has nothing to do with Brassica nigra (black mustard). They were formerly unintentionally placed next to each other in the Annex. They now appear one above the other, to clarify that they are two separate plants.</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kern w:val="2"/>
          <w:sz w:val="18"/>
        </w:rPr>
        <w:t>Article II</w:t>
      </w:r>
    </w:p>
    <w:p w:rsidR="003143CD" w:rsidRPr="00C93CDF" w:rsidRDefault="00C93CDF" w:rsidP="00E17C57">
      <w:pPr>
        <w:ind w:left="2268"/>
        <w:rPr>
          <w:rFonts w:ascii="Verdana" w:hAnsi="Verdana"/>
          <w:sz w:val="18"/>
          <w:szCs w:val="18"/>
        </w:rPr>
      </w:pPr>
      <w:r>
        <w:rPr>
          <w:rFonts w:ascii="Verdana" w:hAnsi="Verdana"/>
          <w:sz w:val="18"/>
        </w:rPr>
        <w:t>Article 4(5) of the Commodities Act Decree on Herbal Preparations is added to the Annex to the Commodities Act Decree on administrative penalties so that breach of the former can be penalised with an administrative penalty.</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The Minister for Medical Care,</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bookmarkStart w:id="0" w:name="_GoBack"/>
      <w:bookmarkEnd w:id="0"/>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t>B. 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413" w:rsidRDefault="000B1413">
      <w:r>
        <w:separator/>
      </w:r>
    </w:p>
  </w:endnote>
  <w:endnote w:type="continuationSeparator" w:id="0">
    <w:p w:rsidR="000B1413" w:rsidRDefault="000B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255630">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25563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413" w:rsidRDefault="000B1413">
      <w:r>
        <w:separator/>
      </w:r>
    </w:p>
  </w:footnote>
  <w:footnote w:type="continuationSeparator" w:id="0">
    <w:p w:rsidR="000B1413" w:rsidRDefault="000B1413">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The ROW is composed of representatives from businesses (industry and trade), consumers, ministries (particularly the Ministry for Public Health, Welfare and Sport, and the Ministry for Agriculture, Nature and Food Quality) and the Netherlands Food and Consumer Product Safety Authority [NVWA].</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Risk assessment of synephrine, RIVM, 14 March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Recommendation of the BuRO on maximum intake of synephrine from herbal preparations, 26 March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Directive (EU) 2015/1535 of the European Parliament and of the Council of 9 September 2015 laying down a procedure for the provision of information in the field of technical regulations and of rules on Information Society services (codification) (OJ L 241, 2015).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Commission Regulation (EC) No 1881/2006 of 19 December 2006 setting maximum levels for certain contaminants in foodstuffs (OJ L 364, 2006).</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Assessment of Chinese aconite types [Beoordeling Chinese monnikskapsoorten]. RIVM, Centre for Substances and Integral Risk Assessment [SIR], Bilthoven, 5 December 2008.</w:t>
      </w:r>
    </w:p>
    <w:p w:rsidR="002E5EAB" w:rsidRPr="004B6695" w:rsidRDefault="002E5EAB" w:rsidP="00FC0162">
      <w:pPr>
        <w:pStyle w:val="FootnoteText"/>
        <w:rPr>
          <w:rFonts w:ascii="Verdana" w:hAnsi="Verdana"/>
          <w:sz w:val="16"/>
          <w:szCs w:val="16"/>
        </w:rPr>
      </w:pPr>
      <w:r>
        <w:rPr>
          <w:rFonts w:ascii="Verdana" w:hAnsi="Verdana"/>
          <w:sz w:val="16"/>
        </w:rPr>
        <w:t>RIVM (2011); Assessment of health risks of several specific substances in herbal preparations [Beoordeling van de gezondheidsrisico’s van een aantal specifieke stoffen in kruidenpreparaten]. RIVM, Centre for Substances and Integral Risk Assessment [SIR], Bilthoven, 30 March 2011.</w:t>
      </w:r>
    </w:p>
    <w:p w:rsidR="002E5EAB" w:rsidRPr="004B6695" w:rsidRDefault="002E5EAB" w:rsidP="00FC0162">
      <w:pPr>
        <w:pStyle w:val="FootnoteText"/>
        <w:rPr>
          <w:rFonts w:ascii="Verdana" w:hAnsi="Verdana"/>
          <w:sz w:val="16"/>
          <w:szCs w:val="16"/>
        </w:rPr>
      </w:pPr>
      <w:r>
        <w:rPr>
          <w:rFonts w:ascii="Verdana" w:hAnsi="Verdana"/>
          <w:sz w:val="16"/>
        </w:rPr>
        <w:t>RIVM (2009); Assessment of the health risks of ‘banned herbs’ [Beoordeling van de gezondheidsrisico’s van ‘verboden kruiden’]; report number 320011002. RIVM, Centre for Substances and Integral Risk Assessment [SIR], Bilthoven, 15 June 2009.</w:t>
      </w:r>
    </w:p>
    <w:p w:rsidR="002E5EAB" w:rsidRPr="004B6695" w:rsidRDefault="002E5EAB" w:rsidP="00FC0162">
      <w:pPr>
        <w:pStyle w:val="FootnoteText"/>
        <w:rPr>
          <w:rFonts w:ascii="Verdana" w:hAnsi="Verdana"/>
          <w:sz w:val="16"/>
          <w:szCs w:val="16"/>
        </w:rPr>
      </w:pPr>
      <w:r>
        <w:rPr>
          <w:rFonts w:ascii="Verdana" w:hAnsi="Verdana"/>
          <w:sz w:val="16"/>
        </w:rPr>
        <w:t>RIVM (2009); Risk assessment on Pilocarpus jaborandi [Risicobeoordeling Pilocarpus jaborandi]. RIVM, Centre for Substances and Integral Risk Assessment [SIR], Bilthoven, 14 December 2009.</w:t>
      </w:r>
    </w:p>
    <w:p w:rsidR="002E5EAB" w:rsidRPr="004B6695" w:rsidRDefault="002E5EAB" w:rsidP="008E734A">
      <w:pPr>
        <w:pStyle w:val="FootnoteText"/>
        <w:rPr>
          <w:rFonts w:ascii="Verdana" w:hAnsi="Verdana"/>
          <w:sz w:val="16"/>
          <w:szCs w:val="16"/>
        </w:rPr>
      </w:pPr>
      <w:r>
        <w:rPr>
          <w:rFonts w:ascii="Verdana" w:hAnsi="Verdana"/>
          <w:sz w:val="16"/>
        </w:rPr>
        <w:t>RIVM (2010); Assessment of an application for exemption under the Commodities Act Decree for Herbal Preparations for castor oil [Beoordeling ontheffingsaanvraag Warenwetbesluit Kruidenpreparaten voor ricinusolie]. RIVM, Centre for Substances and Integral Risk Assessment [SIR], Bilthoven, 20 December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Regulation (EC) No 1334/2008 of the European Parliament and of the Council of 16 December 2008 on flavourings and certain food ingredients with flavouring properties for use in and on foods and amending Council Regulation (EEC) No 1601/91, Regulation (EC) No 2232/96, Regulation (EC) No 110/2008 and Directive 2000/13/EC (OJ (EC) 2008, L 354).</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Assessment of an application for exemption under the Commodities Act Decree for Herbal Preparations for castor oil [Beoordeling ontheffingsaanvraag Warenwetbesluit Kruidenpreparaten voor ricinusolie]. RIVM, Centre for Substances and Integral Risk Assessment [SIR], Bilthoven, 20 December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1413"/>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5630"/>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3FF8A0-3B43-41FD-9710-AD98DCBC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2E0C-6065-4544-A78B-180D2E9F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14</TotalTime>
  <Pages>8</Pages>
  <Words>2207</Words>
  <Characters>12585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Ke, Tingting</cp:lastModifiedBy>
  <cp:revision>4</cp:revision>
  <cp:lastPrinted>2019-05-29T13:48:00Z</cp:lastPrinted>
  <dcterms:created xsi:type="dcterms:W3CDTF">2019-07-08T12:56:00Z</dcterms:created>
  <dcterms:modified xsi:type="dcterms:W3CDTF">2019-07-18T02:09:00Z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