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57" w:rsidRPr="00814C17" w:rsidRDefault="00E17C57" w:rsidP="00E17C57">
      <w:pPr>
        <w:spacing w:after="120"/>
        <w:jc w:val="center"/>
        <w:rPr>
          <w:rFonts w:ascii="Courier New" w:hAnsi="Courier New"/>
        </w:rPr>
      </w:pPr>
      <w:r>
        <w:rPr>
          <w:rFonts w:ascii="Courier New" w:hAnsi="Courier New"/>
        </w:rPr>
        <w:t>1. ------IND- 2019 0331 NL- PT- ------ 20190722 --- --- PROJET</w:t>
      </w:r>
    </w:p>
    <w:p w:rsidR="00E27C82" w:rsidRDefault="00E27C82" w:rsidP="00E17C57"/>
    <w:p w:rsidR="00E27C82" w:rsidRPr="00E27C82" w:rsidRDefault="00E27C82" w:rsidP="00E17C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tblGrid>
      <w:tr w:rsidR="007E7D62" w:rsidTr="00E17C57">
        <w:trPr>
          <w:cantSplit/>
        </w:trPr>
        <w:tc>
          <w:tcPr>
            <w:tcW w:w="3189" w:type="dxa"/>
            <w:tcBorders>
              <w:top w:val="nil"/>
              <w:left w:val="nil"/>
              <w:bottom w:val="nil"/>
              <w:right w:val="nil"/>
            </w:tcBorders>
          </w:tcPr>
          <w:p w:rsidR="007E7D62" w:rsidRDefault="007E7D62" w:rsidP="003D0C77">
            <w:pPr>
              <w:ind w:left="567"/>
            </w:pPr>
            <w:r>
              <w:br w:type="page"/>
            </w:r>
            <w:r>
              <w:rPr>
                <w:rFonts w:ascii="Verdana" w:hAnsi="Verdana"/>
                <w:sz w:val="18"/>
              </w:rPr>
              <w:t>Decisão de</w:t>
            </w:r>
            <w:r>
              <w:rPr>
                <w:rFonts w:ascii="Verdana" w:hAnsi="Verdana"/>
                <w:sz w:val="18"/>
              </w:rPr>
              <w:br/>
            </w:r>
            <w:r>
              <w:rPr>
                <w:rFonts w:ascii="Verdana" w:hAnsi="Verdana"/>
                <w:sz w:val="18"/>
              </w:rPr>
              <w:br/>
            </w:r>
            <w:r>
              <w:rPr>
                <w:rFonts w:ascii="Verdana" w:hAnsi="Verdana"/>
                <w:sz w:val="18"/>
              </w:rPr>
              <w:br/>
            </w:r>
            <w:r>
              <w:rPr>
                <w:rFonts w:ascii="Verdana" w:hAnsi="Verdana"/>
                <w:sz w:val="18"/>
              </w:rPr>
              <w:br/>
              <w:t>que altera a decisão relativa à lei das mercadorias no que se refere a preparações à base de plantas e a decisão relativa à lei das mercadorias no que se refere a sanções administrativas relativamente à adição de determinadas preparações à base de plantas prejudiciais (e substâncias prejudiciais em preparações à base de plantas) e que aplica determinadas alterações técnicas</w:t>
            </w:r>
          </w:p>
        </w:tc>
      </w:tr>
      <w:tr w:rsidR="00732703" w:rsidTr="00E17C57">
        <w:trPr>
          <w:cantSplit/>
        </w:trPr>
        <w:tc>
          <w:tcPr>
            <w:tcW w:w="3189" w:type="dxa"/>
            <w:tcBorders>
              <w:top w:val="nil"/>
              <w:left w:val="nil"/>
              <w:bottom w:val="nil"/>
              <w:right w:val="nil"/>
            </w:tcBorders>
          </w:tcPr>
          <w:p w:rsidR="00732703" w:rsidRDefault="00732703" w:rsidP="00E17C57"/>
        </w:tc>
      </w:tr>
    </w:tbl>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pStyle w:val="Ondertekening"/>
        <w:spacing w:before="0"/>
        <w:ind w:left="567"/>
      </w:pPr>
    </w:p>
    <w:p w:rsidR="007E7D62" w:rsidRPr="008E734A" w:rsidRDefault="007E7D62" w:rsidP="00E17C57">
      <w:pPr>
        <w:ind w:left="2268"/>
        <w:rPr>
          <w:rFonts w:ascii="Verdana" w:hAnsi="Verdana"/>
          <w:sz w:val="18"/>
          <w:szCs w:val="18"/>
        </w:rPr>
      </w:pPr>
      <w:r>
        <w:rPr>
          <w:rFonts w:ascii="Verdana" w:hAnsi="Verdana"/>
          <w:sz w:val="18"/>
        </w:rPr>
        <w:t>Por proposta do ministro dos Cuidados Médicos, de 2019, -VGP,</w:t>
      </w:r>
    </w:p>
    <w:p w:rsidR="007E7D62" w:rsidRPr="008E734A" w:rsidRDefault="007E7D62" w:rsidP="00E17C57">
      <w:pPr>
        <w:ind w:left="2268"/>
        <w:rPr>
          <w:rFonts w:ascii="Verdana" w:hAnsi="Verdana"/>
          <w:sz w:val="18"/>
          <w:szCs w:val="18"/>
        </w:rPr>
      </w:pPr>
    </w:p>
    <w:p w:rsidR="007E7D62" w:rsidRPr="008E734A" w:rsidRDefault="007E7D62" w:rsidP="00E17C57">
      <w:pPr>
        <w:ind w:left="2268"/>
        <w:rPr>
          <w:rFonts w:ascii="Verdana" w:hAnsi="Verdana"/>
          <w:sz w:val="18"/>
          <w:szCs w:val="18"/>
        </w:rPr>
      </w:pPr>
      <w:r>
        <w:rPr>
          <w:rFonts w:ascii="Verdana" w:hAnsi="Verdana"/>
          <w:sz w:val="18"/>
        </w:rPr>
        <w:t>Tendo em conta o artigo 4.º, n.º 1, o artigo 8.º, n.º 1, alínea c), e o artigo 14.º da lei das mercadorias,</w:t>
      </w:r>
    </w:p>
    <w:p w:rsidR="007E7D62" w:rsidRPr="008E734A" w:rsidRDefault="007E7D62" w:rsidP="00E17C57">
      <w:pPr>
        <w:ind w:left="2268"/>
        <w:rPr>
          <w:rFonts w:ascii="Verdana" w:hAnsi="Verdana"/>
          <w:sz w:val="18"/>
          <w:szCs w:val="18"/>
        </w:rPr>
      </w:pPr>
    </w:p>
    <w:p w:rsidR="007E7D62" w:rsidRPr="008E734A" w:rsidRDefault="007E7D62" w:rsidP="00E17C57">
      <w:pPr>
        <w:ind w:left="2268"/>
        <w:rPr>
          <w:rFonts w:ascii="Verdana" w:hAnsi="Verdana"/>
          <w:sz w:val="18"/>
          <w:szCs w:val="18"/>
        </w:rPr>
      </w:pPr>
      <w:r>
        <w:rPr>
          <w:rFonts w:ascii="Verdana" w:hAnsi="Verdana"/>
          <w:sz w:val="18"/>
        </w:rPr>
        <w:t>Tendo ouvido a Secção de Assessoria do Conselho de Estado (parecer de , com o n.º  ),</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r>
        <w:rPr>
          <w:rFonts w:ascii="Verdana" w:hAnsi="Verdana"/>
          <w:sz w:val="18"/>
        </w:rPr>
        <w:t>À luz do relatório circunstanciado do ministro dos Cuidados Médicos, de 2019, -VGP;</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r>
        <w:rPr>
          <w:rFonts w:ascii="Verdana" w:hAnsi="Verdana"/>
          <w:sz w:val="18"/>
        </w:rPr>
        <w:t>Aprovei e, pelo presente, decreto o seguinte:</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p>
    <w:p w:rsidR="007E7D62" w:rsidRPr="008F0589" w:rsidRDefault="007E7D62" w:rsidP="00E17C57">
      <w:pPr>
        <w:keepNext/>
        <w:keepLines/>
        <w:ind w:left="2268"/>
        <w:rPr>
          <w:rFonts w:ascii="Verdana" w:hAnsi="Verdana"/>
          <w:b/>
          <w:sz w:val="18"/>
          <w:szCs w:val="18"/>
        </w:rPr>
      </w:pPr>
      <w:r>
        <w:rPr>
          <w:rFonts w:ascii="Verdana" w:hAnsi="Verdana"/>
          <w:b/>
          <w:sz w:val="18"/>
        </w:rPr>
        <w:t>Artigo 1.º</w:t>
      </w:r>
    </w:p>
    <w:p w:rsidR="007E7D62" w:rsidRPr="008F0589" w:rsidRDefault="007E7D62" w:rsidP="00E17C57">
      <w:pPr>
        <w:keepNext/>
        <w:keepLines/>
        <w:ind w:left="2268"/>
        <w:rPr>
          <w:rFonts w:ascii="Verdana" w:hAnsi="Verdana"/>
          <w:sz w:val="18"/>
          <w:szCs w:val="18"/>
        </w:rPr>
      </w:pPr>
    </w:p>
    <w:p w:rsidR="007E7D62" w:rsidRDefault="007E7D62" w:rsidP="00E17C57">
      <w:pPr>
        <w:ind w:left="2268"/>
        <w:rPr>
          <w:rFonts w:ascii="Verdana" w:hAnsi="Verdana"/>
          <w:sz w:val="18"/>
          <w:szCs w:val="18"/>
        </w:rPr>
      </w:pPr>
      <w:r>
        <w:rPr>
          <w:rFonts w:ascii="Verdana" w:hAnsi="Verdana"/>
          <w:sz w:val="18"/>
        </w:rPr>
        <w:t>A decisão relativa à lei das mercadorias no que se refere a preparações à base de plantas é alterada do seguinte modo:</w:t>
      </w:r>
    </w:p>
    <w:p w:rsidR="00060A6E" w:rsidRDefault="00060A6E" w:rsidP="00E17C57">
      <w:pPr>
        <w:ind w:left="2268"/>
        <w:rPr>
          <w:rFonts w:ascii="Verdana" w:hAnsi="Verdana"/>
          <w:sz w:val="18"/>
          <w:szCs w:val="18"/>
        </w:rPr>
      </w:pPr>
    </w:p>
    <w:p w:rsidR="00060A6E" w:rsidRDefault="00060A6E" w:rsidP="00E17C57">
      <w:pPr>
        <w:keepNext/>
        <w:keepLines/>
        <w:ind w:left="2268"/>
        <w:rPr>
          <w:rFonts w:ascii="Verdana" w:hAnsi="Verdana"/>
          <w:sz w:val="18"/>
          <w:szCs w:val="18"/>
        </w:rPr>
      </w:pPr>
      <w:r>
        <w:rPr>
          <w:rFonts w:ascii="Verdana" w:hAnsi="Verdana"/>
          <w:sz w:val="18"/>
        </w:rPr>
        <w:lastRenderedPageBreak/>
        <w:t>A</w:t>
      </w:r>
    </w:p>
    <w:p w:rsidR="00093369" w:rsidRDefault="00093369" w:rsidP="00E17C57">
      <w:pPr>
        <w:keepNext/>
        <w:keepLines/>
        <w:ind w:left="2268"/>
        <w:rPr>
          <w:rFonts w:ascii="Verdana" w:hAnsi="Verdana"/>
          <w:sz w:val="18"/>
          <w:szCs w:val="18"/>
        </w:rPr>
      </w:pPr>
    </w:p>
    <w:p w:rsidR="000C18E4" w:rsidRDefault="00732703" w:rsidP="00E17C57">
      <w:pPr>
        <w:keepNext/>
        <w:keepLines/>
        <w:ind w:left="2268"/>
        <w:rPr>
          <w:rFonts w:ascii="Verdana" w:hAnsi="Verdana"/>
          <w:sz w:val="18"/>
          <w:szCs w:val="18"/>
        </w:rPr>
      </w:pPr>
      <w:r>
        <w:rPr>
          <w:rFonts w:ascii="Verdana" w:hAnsi="Verdana"/>
          <w:sz w:val="18"/>
        </w:rPr>
        <w:t>O artigo 4.º é a</w:t>
      </w:r>
      <w:bookmarkStart w:id="0" w:name="_GoBack"/>
      <w:bookmarkEnd w:id="0"/>
      <w:r>
        <w:rPr>
          <w:rFonts w:ascii="Verdana" w:hAnsi="Verdana"/>
          <w:sz w:val="18"/>
        </w:rPr>
        <w:t>lterado do seguinte modo:</w:t>
      </w:r>
    </w:p>
    <w:p w:rsidR="00443563" w:rsidRPr="00443563" w:rsidRDefault="00443563" w:rsidP="00E17C57">
      <w:pPr>
        <w:pStyle w:val="ListParagraph"/>
        <w:keepNext/>
        <w:keepLines/>
        <w:numPr>
          <w:ilvl w:val="0"/>
          <w:numId w:val="29"/>
        </w:numPr>
        <w:rPr>
          <w:rFonts w:ascii="Verdana" w:hAnsi="Verdana"/>
          <w:sz w:val="18"/>
          <w:szCs w:val="18"/>
        </w:rPr>
      </w:pPr>
      <w:r>
        <w:rPr>
          <w:rFonts w:ascii="Verdana" w:hAnsi="Verdana"/>
          <w:sz w:val="18"/>
        </w:rPr>
        <w:t>O n.º 1 passa a ter a seguinte redação:</w:t>
      </w:r>
    </w:p>
    <w:p w:rsidR="000C18E4" w:rsidRPr="00443563" w:rsidRDefault="0043098B" w:rsidP="00E17C57">
      <w:pPr>
        <w:pStyle w:val="ListParagraph"/>
        <w:numPr>
          <w:ilvl w:val="0"/>
          <w:numId w:val="30"/>
        </w:numPr>
        <w:rPr>
          <w:rFonts w:ascii="Verdana" w:hAnsi="Verdana"/>
          <w:sz w:val="18"/>
          <w:szCs w:val="18"/>
        </w:rPr>
      </w:pPr>
      <w:r>
        <w:rPr>
          <w:rFonts w:ascii="Verdana" w:hAnsi="Verdana"/>
          <w:sz w:val="18"/>
        </w:rPr>
        <w:t>A quantidade de alcaloides tóxicos de pirrolizidina contidos nas preparações à base de plantas não pode exceder 1 µg por quilograma ou por litro, respetivamente.»;</w:t>
      </w:r>
    </w:p>
    <w:p w:rsidR="000C18E4" w:rsidRPr="0043098B" w:rsidRDefault="0043098B" w:rsidP="00E17C57">
      <w:pPr>
        <w:keepNext/>
        <w:keepLines/>
        <w:tabs>
          <w:tab w:val="left" w:pos="2835"/>
        </w:tabs>
        <w:ind w:left="2268"/>
        <w:rPr>
          <w:rFonts w:ascii="Verdana" w:hAnsi="Verdana"/>
          <w:sz w:val="18"/>
          <w:szCs w:val="18"/>
        </w:rPr>
      </w:pPr>
      <w:r>
        <w:rPr>
          <w:rFonts w:ascii="Verdana" w:hAnsi="Verdana"/>
          <w:sz w:val="18"/>
        </w:rPr>
        <w:t>2)</w:t>
      </w:r>
      <w:r>
        <w:tab/>
      </w:r>
      <w:r>
        <w:rPr>
          <w:rFonts w:ascii="Verdana" w:hAnsi="Verdana"/>
          <w:sz w:val="18"/>
        </w:rPr>
        <w:t>O n.º 2 passa a ter a seguinte redação:</w:t>
      </w:r>
    </w:p>
    <w:p w:rsidR="00732703" w:rsidRPr="000C18E4" w:rsidRDefault="000C18E4" w:rsidP="00E17C57">
      <w:pPr>
        <w:keepNext/>
        <w:keepLines/>
        <w:ind w:left="2780" w:firstLine="56"/>
        <w:rPr>
          <w:rFonts w:ascii="Verdana" w:hAnsi="Verdana"/>
          <w:sz w:val="18"/>
          <w:szCs w:val="18"/>
        </w:rPr>
      </w:pPr>
      <w:r>
        <w:t>«</w:t>
      </w:r>
      <w:r>
        <w:rPr>
          <w:rFonts w:ascii="Verdana" w:hAnsi="Verdana"/>
          <w:sz w:val="18"/>
        </w:rPr>
        <w:t>2.</w:t>
      </w:r>
      <w:r>
        <w:tab/>
      </w:r>
      <w:r>
        <w:rPr>
          <w:rFonts w:ascii="Verdana" w:hAnsi="Verdana"/>
          <w:sz w:val="18"/>
        </w:rPr>
        <w:t>As preparações à base de plantas não podem conter:</w:t>
      </w:r>
    </w:p>
    <w:p w:rsidR="00060A6E" w:rsidRPr="005016F0" w:rsidRDefault="00BF3143" w:rsidP="00E17C57">
      <w:pPr>
        <w:pStyle w:val="ListParagraph"/>
        <w:numPr>
          <w:ilvl w:val="1"/>
          <w:numId w:val="22"/>
        </w:numPr>
        <w:rPr>
          <w:rFonts w:ascii="Verdana" w:hAnsi="Verdana"/>
          <w:sz w:val="18"/>
          <w:szCs w:val="18"/>
        </w:rPr>
      </w:pPr>
      <w:r>
        <w:rPr>
          <w:rFonts w:ascii="Verdana" w:hAnsi="Verdana"/>
          <w:sz w:val="18"/>
        </w:rPr>
        <w:t>aconitina ou respetivos derivados;</w:t>
      </w:r>
    </w:p>
    <w:p w:rsidR="005016F0" w:rsidRDefault="00BF3143" w:rsidP="00E17C57">
      <w:pPr>
        <w:pStyle w:val="ListParagraph"/>
        <w:numPr>
          <w:ilvl w:val="1"/>
          <w:numId w:val="22"/>
        </w:numPr>
        <w:rPr>
          <w:rFonts w:ascii="Verdana" w:hAnsi="Verdana"/>
          <w:sz w:val="18"/>
          <w:szCs w:val="18"/>
        </w:rPr>
      </w:pPr>
      <w:r>
        <w:rPr>
          <w:rFonts w:ascii="Verdana" w:hAnsi="Verdana"/>
          <w:sz w:val="18"/>
        </w:rPr>
        <w:t>ácidos aristolóquicos ou respetivos derivados;</w:t>
      </w:r>
    </w:p>
    <w:p w:rsidR="005016F0" w:rsidRDefault="00BF3143" w:rsidP="00E17C57">
      <w:pPr>
        <w:pStyle w:val="ListParagraph"/>
        <w:numPr>
          <w:ilvl w:val="1"/>
          <w:numId w:val="22"/>
        </w:numPr>
        <w:rPr>
          <w:rFonts w:ascii="Verdana" w:hAnsi="Verdana"/>
          <w:sz w:val="18"/>
          <w:szCs w:val="18"/>
        </w:rPr>
      </w:pPr>
      <w:r>
        <w:rPr>
          <w:rFonts w:ascii="Verdana" w:hAnsi="Verdana"/>
          <w:sz w:val="18"/>
        </w:rPr>
        <w:t>atropina ou respetivos derivados;</w:t>
      </w:r>
    </w:p>
    <w:p w:rsidR="005016F0" w:rsidRDefault="005016F0" w:rsidP="00E17C57">
      <w:pPr>
        <w:pStyle w:val="ListParagraph"/>
        <w:numPr>
          <w:ilvl w:val="1"/>
          <w:numId w:val="22"/>
        </w:numPr>
        <w:rPr>
          <w:rFonts w:ascii="Verdana" w:hAnsi="Verdana"/>
          <w:sz w:val="18"/>
          <w:szCs w:val="18"/>
        </w:rPr>
      </w:pPr>
      <w:r>
        <w:rPr>
          <w:rFonts w:ascii="Verdana" w:hAnsi="Verdana"/>
          <w:sz w:val="18"/>
        </w:rPr>
        <w:t>colquicina ou respetivos derivados;</w:t>
      </w:r>
    </w:p>
    <w:p w:rsidR="005016F0" w:rsidRDefault="005016F0" w:rsidP="00E17C57">
      <w:pPr>
        <w:pStyle w:val="ListParagraph"/>
        <w:numPr>
          <w:ilvl w:val="1"/>
          <w:numId w:val="22"/>
        </w:numPr>
        <w:rPr>
          <w:rFonts w:ascii="Verdana" w:hAnsi="Verdana"/>
          <w:sz w:val="18"/>
          <w:szCs w:val="18"/>
        </w:rPr>
      </w:pPr>
      <w:r>
        <w:rPr>
          <w:rFonts w:ascii="Verdana" w:hAnsi="Verdana"/>
          <w:sz w:val="18"/>
        </w:rPr>
        <w:t>hiosciamina ou respetivos derivados;</w:t>
      </w:r>
    </w:p>
    <w:p w:rsidR="005016F0" w:rsidRDefault="00BF3143" w:rsidP="00E17C57">
      <w:pPr>
        <w:pStyle w:val="ListParagraph"/>
        <w:numPr>
          <w:ilvl w:val="1"/>
          <w:numId w:val="22"/>
        </w:numPr>
        <w:rPr>
          <w:rFonts w:ascii="Verdana" w:hAnsi="Verdana"/>
          <w:sz w:val="18"/>
          <w:szCs w:val="18"/>
        </w:rPr>
      </w:pPr>
      <w:r>
        <w:rPr>
          <w:rFonts w:ascii="Verdana" w:hAnsi="Verdana"/>
          <w:sz w:val="18"/>
        </w:rPr>
        <w:t>m-sinefrina e o-sinefrina ou respetivos derivados;</w:t>
      </w:r>
    </w:p>
    <w:p w:rsidR="00BF3143" w:rsidRPr="005016F0" w:rsidRDefault="00BF3143" w:rsidP="00E17C57">
      <w:pPr>
        <w:pStyle w:val="ListParagraph"/>
        <w:numPr>
          <w:ilvl w:val="1"/>
          <w:numId w:val="22"/>
        </w:numPr>
        <w:rPr>
          <w:rFonts w:ascii="Verdana" w:hAnsi="Verdana"/>
          <w:sz w:val="18"/>
          <w:szCs w:val="18"/>
        </w:rPr>
      </w:pPr>
      <w:r>
        <w:rPr>
          <w:rFonts w:ascii="Verdana" w:hAnsi="Verdana"/>
          <w:sz w:val="18"/>
        </w:rPr>
        <w:t xml:space="preserve">óleo de </w:t>
      </w:r>
      <w:r>
        <w:rPr>
          <w:rFonts w:ascii="Verdana" w:hAnsi="Verdana"/>
          <w:i/>
          <w:sz w:val="18"/>
        </w:rPr>
        <w:t>Artemisia absinthium</w:t>
      </w:r>
      <w:r>
        <w:rPr>
          <w:rFonts w:ascii="Verdana" w:hAnsi="Verdana"/>
          <w:sz w:val="18"/>
        </w:rPr>
        <w:t xml:space="preserve"> (absinto), sem prejuízo do disposto no artigo 6.º, n.º 2, e no anexo III, parte B, do Regulamento (CE) n.º 1334/2008, no que concerne à permissão da presença de tuiona em certos géneros alimentícios compostos;</w:t>
      </w:r>
    </w:p>
    <w:p w:rsidR="005016F0" w:rsidRPr="00BF3143" w:rsidRDefault="005016F0" w:rsidP="00E17C57">
      <w:pPr>
        <w:pStyle w:val="ListParagraph"/>
        <w:numPr>
          <w:ilvl w:val="1"/>
          <w:numId w:val="22"/>
        </w:numPr>
        <w:rPr>
          <w:rFonts w:ascii="Verdana" w:hAnsi="Verdana"/>
          <w:sz w:val="18"/>
          <w:szCs w:val="18"/>
        </w:rPr>
      </w:pPr>
      <w:r>
        <w:rPr>
          <w:rFonts w:ascii="Verdana" w:hAnsi="Verdana"/>
          <w:sz w:val="18"/>
        </w:rPr>
        <w:t>pilocarpina ou respetivos derivados;</w:t>
      </w:r>
    </w:p>
    <w:p w:rsidR="005016F0" w:rsidRDefault="005016F0" w:rsidP="00E17C57">
      <w:pPr>
        <w:pStyle w:val="ListParagraph"/>
        <w:numPr>
          <w:ilvl w:val="1"/>
          <w:numId w:val="22"/>
        </w:numPr>
        <w:rPr>
          <w:rFonts w:ascii="Verdana" w:hAnsi="Verdana"/>
          <w:sz w:val="18"/>
          <w:szCs w:val="18"/>
        </w:rPr>
      </w:pPr>
      <w:r>
        <w:rPr>
          <w:rFonts w:ascii="Verdana" w:hAnsi="Verdana"/>
          <w:sz w:val="18"/>
        </w:rPr>
        <w:t>escopolamina ou respetivos derivados;</w:t>
      </w:r>
    </w:p>
    <w:p w:rsidR="005016F0" w:rsidRDefault="005016F0" w:rsidP="00E17C57">
      <w:pPr>
        <w:pStyle w:val="ListParagraph"/>
        <w:numPr>
          <w:ilvl w:val="1"/>
          <w:numId w:val="22"/>
        </w:numPr>
        <w:rPr>
          <w:rFonts w:ascii="Verdana" w:hAnsi="Verdana"/>
          <w:sz w:val="18"/>
          <w:szCs w:val="18"/>
        </w:rPr>
      </w:pPr>
      <w:r>
        <w:rPr>
          <w:rFonts w:ascii="Verdana" w:hAnsi="Verdana"/>
          <w:sz w:val="18"/>
        </w:rPr>
        <w:t>estricnina ou respetivos derivados; e</w:t>
      </w:r>
    </w:p>
    <w:p w:rsidR="00BF3143" w:rsidRDefault="00BF3143" w:rsidP="00E17C57">
      <w:pPr>
        <w:pStyle w:val="ListParagraph"/>
        <w:numPr>
          <w:ilvl w:val="1"/>
          <w:numId w:val="22"/>
        </w:numPr>
        <w:rPr>
          <w:rFonts w:ascii="Verdana" w:hAnsi="Verdana"/>
          <w:sz w:val="18"/>
          <w:szCs w:val="18"/>
        </w:rPr>
      </w:pPr>
      <w:r>
        <w:rPr>
          <w:rFonts w:ascii="Verdana" w:hAnsi="Verdana"/>
          <w:sz w:val="18"/>
        </w:rPr>
        <w:t>alcaloides de ioimbina ou respetivos derivados.»;</w:t>
      </w:r>
    </w:p>
    <w:p w:rsidR="000E0515" w:rsidRPr="0043098B" w:rsidRDefault="0043098B" w:rsidP="00E17C57">
      <w:pPr>
        <w:ind w:left="2835" w:hanging="567"/>
        <w:rPr>
          <w:rFonts w:ascii="Verdana" w:hAnsi="Verdana"/>
          <w:sz w:val="18"/>
          <w:szCs w:val="18"/>
        </w:rPr>
      </w:pPr>
      <w:r>
        <w:rPr>
          <w:rFonts w:ascii="Verdana" w:hAnsi="Verdana"/>
          <w:sz w:val="18"/>
        </w:rPr>
        <w:t>3)</w:t>
      </w:r>
      <w:r>
        <w:tab/>
      </w:r>
      <w:r>
        <w:rPr>
          <w:rFonts w:ascii="Verdana" w:hAnsi="Verdana"/>
          <w:sz w:val="18"/>
        </w:rPr>
        <w:t>No n.º 3, a expressão «plantas mencionadas na parte II do anexo» é substituída por «plantas e fungos mencionados no anexo»;</w:t>
      </w:r>
    </w:p>
    <w:p w:rsidR="0043098B" w:rsidRDefault="00E17C57" w:rsidP="00E17C57">
      <w:pPr>
        <w:keepNext/>
        <w:keepLines/>
        <w:ind w:left="2836" w:hanging="568"/>
        <w:rPr>
          <w:rFonts w:ascii="Verdana" w:hAnsi="Verdana"/>
          <w:sz w:val="18"/>
          <w:szCs w:val="18"/>
        </w:rPr>
      </w:pPr>
      <w:r>
        <w:rPr>
          <w:rFonts w:ascii="Verdana" w:hAnsi="Verdana"/>
          <w:sz w:val="18"/>
        </w:rPr>
        <w:t>4)</w:t>
      </w:r>
      <w:r>
        <w:tab/>
      </w:r>
      <w:r>
        <w:rPr>
          <w:rFonts w:ascii="Verdana" w:hAnsi="Verdana"/>
          <w:sz w:val="18"/>
        </w:rPr>
        <w:t>São aditados três números novos, com a seguinte redação:</w:t>
      </w:r>
    </w:p>
    <w:p w:rsidR="0043098B" w:rsidRDefault="0043098B" w:rsidP="00E17C57">
      <w:pPr>
        <w:ind w:left="3544" w:hanging="708"/>
        <w:rPr>
          <w:rFonts w:ascii="Verdana" w:hAnsi="Verdana"/>
          <w:sz w:val="18"/>
          <w:szCs w:val="18"/>
        </w:rPr>
      </w:pPr>
      <w:r>
        <w:rPr>
          <w:rFonts w:ascii="Verdana" w:hAnsi="Verdana"/>
          <w:sz w:val="18"/>
        </w:rPr>
        <w:t>«4.</w:t>
      </w:r>
      <w:r>
        <w:tab/>
      </w:r>
      <w:r>
        <w:rPr>
          <w:rFonts w:ascii="Verdana" w:hAnsi="Verdana"/>
          <w:sz w:val="18"/>
        </w:rPr>
        <w:t>As preparações à base de plantas devem conter uma ingestão máxima diária de 27 mg de p-sinefrina, de acordo com as instruções de utilização.</w:t>
      </w:r>
    </w:p>
    <w:p w:rsidR="0095665C" w:rsidRDefault="0043098B" w:rsidP="00E17C57">
      <w:pPr>
        <w:ind w:left="3544" w:hanging="708"/>
        <w:rPr>
          <w:rFonts w:ascii="Verdana" w:hAnsi="Verdana"/>
          <w:sz w:val="18"/>
          <w:szCs w:val="18"/>
        </w:rPr>
      </w:pPr>
      <w:r>
        <w:rPr>
          <w:rFonts w:ascii="Verdana" w:hAnsi="Verdana"/>
          <w:sz w:val="18"/>
        </w:rPr>
        <w:t>5.</w:t>
      </w:r>
      <w:r>
        <w:tab/>
      </w:r>
      <w:r>
        <w:rPr>
          <w:rFonts w:ascii="Verdana" w:hAnsi="Verdana"/>
          <w:sz w:val="18"/>
        </w:rPr>
        <w:t xml:space="preserve">Ao contrário do disposto no n.º 3, as preparações à base de plantas podem conter óleo extraído das sementes de </w:t>
      </w:r>
      <w:r>
        <w:rPr>
          <w:rFonts w:ascii="Verdana" w:hAnsi="Verdana"/>
          <w:i/>
          <w:sz w:val="18"/>
        </w:rPr>
        <w:t>Ricinus communis</w:t>
      </w:r>
      <w:r>
        <w:rPr>
          <w:rFonts w:ascii="Verdana" w:hAnsi="Verdana"/>
          <w:sz w:val="18"/>
        </w:rPr>
        <w:t>, desde que a utilização e as doses recomendadas prescritas, mencionadas no artigo 6.º, n.º 1, não resultem numa ingestão de óleo superior a 0,4 g por dia.</w:t>
      </w:r>
    </w:p>
    <w:p w:rsidR="00AB3B66" w:rsidRDefault="00AB3B66" w:rsidP="00E17C57">
      <w:pPr>
        <w:ind w:left="3544" w:hanging="708"/>
        <w:rPr>
          <w:rFonts w:ascii="Verdana" w:hAnsi="Verdana"/>
          <w:sz w:val="18"/>
          <w:szCs w:val="18"/>
        </w:rPr>
      </w:pPr>
      <w:r>
        <w:rPr>
          <w:rFonts w:ascii="Verdana" w:hAnsi="Verdana"/>
          <w:sz w:val="18"/>
        </w:rPr>
        <w:t>6.</w:t>
      </w:r>
      <w:r>
        <w:tab/>
      </w:r>
      <w:r>
        <w:rPr>
          <w:rFonts w:ascii="Verdana" w:hAnsi="Verdana"/>
          <w:sz w:val="18"/>
        </w:rPr>
        <w:t>O n.º 1 não se aplica às matérias abrangidas pelas disposições do Regulamento (CE) n.º 1881/2006.»</w:t>
      </w:r>
    </w:p>
    <w:p w:rsidR="00D9610F" w:rsidRDefault="00D9610F" w:rsidP="00E17C57">
      <w:pPr>
        <w:ind w:left="2268"/>
        <w:rPr>
          <w:rFonts w:ascii="Verdana" w:hAnsi="Verdana"/>
          <w:sz w:val="18"/>
          <w:szCs w:val="18"/>
        </w:rPr>
      </w:pPr>
    </w:p>
    <w:p w:rsidR="00AB4972" w:rsidRPr="00AB4972" w:rsidRDefault="00AB4972" w:rsidP="00E17C57">
      <w:pPr>
        <w:keepNext/>
        <w:keepLines/>
        <w:ind w:left="2268"/>
        <w:rPr>
          <w:rFonts w:ascii="Verdana" w:hAnsi="Verdana"/>
          <w:sz w:val="18"/>
          <w:szCs w:val="18"/>
        </w:rPr>
      </w:pPr>
      <w:r>
        <w:rPr>
          <w:rFonts w:ascii="Verdana" w:hAnsi="Verdana"/>
          <w:sz w:val="18"/>
        </w:rPr>
        <w:t>B</w:t>
      </w:r>
    </w:p>
    <w:p w:rsidR="00AB4972" w:rsidRDefault="00AB4972" w:rsidP="00E17C57">
      <w:pPr>
        <w:keepNext/>
        <w:keepLines/>
        <w:ind w:left="2268"/>
        <w:rPr>
          <w:rFonts w:ascii="Verdana" w:hAnsi="Verdana"/>
          <w:sz w:val="18"/>
          <w:szCs w:val="18"/>
        </w:rPr>
      </w:pPr>
    </w:p>
    <w:p w:rsidR="003825F1" w:rsidRDefault="003825F1" w:rsidP="00E17C57">
      <w:pPr>
        <w:keepNext/>
        <w:keepLines/>
        <w:ind w:left="2268"/>
        <w:rPr>
          <w:rFonts w:ascii="Verdana" w:hAnsi="Verdana"/>
          <w:sz w:val="18"/>
          <w:szCs w:val="18"/>
        </w:rPr>
      </w:pPr>
      <w:r>
        <w:rPr>
          <w:rFonts w:ascii="Verdana" w:hAnsi="Verdana"/>
          <w:sz w:val="18"/>
        </w:rPr>
        <w:t>No artigo 6.º, é aditado um novo número com a seguinte redação:</w:t>
      </w:r>
    </w:p>
    <w:p w:rsidR="003825F1" w:rsidRDefault="003825F1" w:rsidP="00E17C57">
      <w:pPr>
        <w:ind w:left="2836" w:hanging="568"/>
        <w:rPr>
          <w:rFonts w:ascii="Verdana" w:hAnsi="Verdana"/>
          <w:sz w:val="18"/>
          <w:szCs w:val="18"/>
        </w:rPr>
      </w:pPr>
      <w:r>
        <w:t>«</w:t>
      </w:r>
      <w:r>
        <w:rPr>
          <w:rFonts w:ascii="Verdana" w:hAnsi="Verdana"/>
          <w:sz w:val="18"/>
        </w:rPr>
        <w:t xml:space="preserve">3. </w:t>
      </w:r>
      <w:r>
        <w:tab/>
      </w:r>
      <w:r>
        <w:rPr>
          <w:rFonts w:ascii="Verdana" w:hAnsi="Verdana"/>
          <w:sz w:val="18"/>
        </w:rPr>
        <w:t>O ministro pode emitir um despacho que institua regras adicionais relativas à utilização e às doses recomendadas mencionadas nos n.</w:t>
      </w:r>
      <w:r>
        <w:rPr>
          <w:rFonts w:ascii="Verdana" w:hAnsi="Verdana"/>
          <w:sz w:val="18"/>
          <w:vertAlign w:val="superscript"/>
        </w:rPr>
        <w:t>os</w:t>
      </w:r>
      <w:r>
        <w:rPr>
          <w:rFonts w:ascii="Verdana" w:hAnsi="Verdana"/>
          <w:sz w:val="18"/>
        </w:rPr>
        <w:t> 1 e 2.»</w:t>
      </w:r>
    </w:p>
    <w:p w:rsidR="003825F1" w:rsidRDefault="003825F1" w:rsidP="00E17C57">
      <w:pPr>
        <w:ind w:left="2268"/>
        <w:rPr>
          <w:rFonts w:ascii="Verdana" w:hAnsi="Verdana"/>
          <w:sz w:val="18"/>
          <w:szCs w:val="18"/>
        </w:rPr>
      </w:pPr>
    </w:p>
    <w:p w:rsidR="003825F1" w:rsidRDefault="003825F1" w:rsidP="00E17C57">
      <w:pPr>
        <w:keepNext/>
        <w:keepLines/>
        <w:ind w:left="2268"/>
        <w:rPr>
          <w:rFonts w:ascii="Verdana" w:hAnsi="Verdana"/>
          <w:sz w:val="18"/>
          <w:szCs w:val="18"/>
        </w:rPr>
      </w:pPr>
      <w:r>
        <w:rPr>
          <w:rFonts w:ascii="Verdana" w:hAnsi="Verdana"/>
          <w:sz w:val="18"/>
        </w:rPr>
        <w:t>C</w:t>
      </w:r>
    </w:p>
    <w:p w:rsidR="003825F1" w:rsidRDefault="003825F1" w:rsidP="00E17C57">
      <w:pPr>
        <w:keepNext/>
        <w:keepLines/>
        <w:ind w:left="2268"/>
        <w:rPr>
          <w:rFonts w:ascii="Verdana" w:hAnsi="Verdana"/>
          <w:sz w:val="18"/>
          <w:szCs w:val="18"/>
        </w:rPr>
      </w:pPr>
    </w:p>
    <w:p w:rsidR="00BB07D4" w:rsidRDefault="00BB07D4" w:rsidP="00E17C57">
      <w:pPr>
        <w:ind w:left="2268"/>
        <w:rPr>
          <w:rFonts w:ascii="Verdana" w:hAnsi="Verdana"/>
          <w:sz w:val="18"/>
          <w:szCs w:val="18"/>
        </w:rPr>
      </w:pPr>
      <w:r>
        <w:rPr>
          <w:rFonts w:ascii="Verdana" w:hAnsi="Verdana"/>
          <w:sz w:val="18"/>
        </w:rPr>
        <w:t>No artigo 7.º, n.º 1, é suprimido o texto seguinte: «, com a salvaguarda de que o artigo 4.º, n.</w:t>
      </w:r>
      <w:r>
        <w:rPr>
          <w:rFonts w:ascii="Verdana" w:hAnsi="Verdana"/>
          <w:sz w:val="18"/>
          <w:vertAlign w:val="superscript"/>
        </w:rPr>
        <w:t>os</w:t>
      </w:r>
      <w:r>
        <w:rPr>
          <w:rFonts w:ascii="Verdana" w:hAnsi="Verdana"/>
          <w:sz w:val="18"/>
        </w:rPr>
        <w:t> 1 e 3, entra em vigor em 1 de agosto de 2001 para as preparações à base de plantas – que não alimentos e bebidas – destinadas exclusivamente a serem colocadas em contacto com diferentes partes da superfície do corpo humano e que não contenham plantas diferentes das indicadas pelo código 1 na última coluna do anexo».</w:t>
      </w:r>
    </w:p>
    <w:p w:rsidR="00BB07D4" w:rsidRDefault="00BB07D4" w:rsidP="00E17C57">
      <w:pPr>
        <w:ind w:left="2268"/>
        <w:rPr>
          <w:rFonts w:ascii="Verdana" w:hAnsi="Verdana"/>
          <w:sz w:val="18"/>
          <w:szCs w:val="18"/>
        </w:rPr>
      </w:pPr>
    </w:p>
    <w:p w:rsidR="00BB07D4" w:rsidRDefault="00BB07D4" w:rsidP="00E17C57">
      <w:pPr>
        <w:keepNext/>
        <w:keepLines/>
        <w:ind w:left="2268"/>
        <w:rPr>
          <w:rFonts w:ascii="Verdana" w:hAnsi="Verdana"/>
          <w:sz w:val="18"/>
          <w:szCs w:val="18"/>
        </w:rPr>
      </w:pPr>
      <w:r>
        <w:rPr>
          <w:rFonts w:ascii="Verdana" w:hAnsi="Verdana"/>
          <w:sz w:val="18"/>
        </w:rPr>
        <w:t>D</w:t>
      </w:r>
    </w:p>
    <w:p w:rsidR="00BB07D4" w:rsidRDefault="00BB07D4" w:rsidP="00E17C57">
      <w:pPr>
        <w:keepNext/>
        <w:keepLines/>
        <w:ind w:left="2268"/>
        <w:rPr>
          <w:rFonts w:ascii="Verdana" w:hAnsi="Verdana"/>
          <w:sz w:val="18"/>
          <w:szCs w:val="18"/>
        </w:rPr>
      </w:pPr>
    </w:p>
    <w:p w:rsidR="00BB11AA" w:rsidRDefault="00F6533C" w:rsidP="00E17C57">
      <w:pPr>
        <w:keepNext/>
        <w:keepLines/>
        <w:ind w:left="2268"/>
        <w:rPr>
          <w:rFonts w:ascii="Verdana" w:hAnsi="Verdana"/>
          <w:sz w:val="18"/>
          <w:szCs w:val="18"/>
        </w:rPr>
      </w:pPr>
      <w:r>
        <w:rPr>
          <w:rFonts w:ascii="Verdana" w:hAnsi="Verdana"/>
          <w:sz w:val="18"/>
        </w:rPr>
        <w:t>O anexo I é alterado do seguinte modo:</w:t>
      </w:r>
    </w:p>
    <w:p w:rsidR="00F6533C" w:rsidRDefault="00F6533C" w:rsidP="00E17C57">
      <w:pPr>
        <w:pStyle w:val="ListParagraph"/>
        <w:numPr>
          <w:ilvl w:val="0"/>
          <w:numId w:val="23"/>
        </w:numPr>
        <w:rPr>
          <w:rFonts w:ascii="Verdana" w:hAnsi="Verdana"/>
          <w:sz w:val="18"/>
          <w:szCs w:val="18"/>
        </w:rPr>
      </w:pPr>
      <w:r>
        <w:rPr>
          <w:rFonts w:ascii="Verdana" w:hAnsi="Verdana"/>
          <w:sz w:val="18"/>
        </w:rPr>
        <w:t>A frase «O presente anexo corresponde ao artigo 4.º.» é substituída por «O presente anexo corresponde ao artigo 4.º, n.º 3.»;</w:t>
      </w:r>
    </w:p>
    <w:p w:rsidR="00F6533C" w:rsidRDefault="00BB02A9" w:rsidP="00E17C57">
      <w:pPr>
        <w:pStyle w:val="ListParagraph"/>
        <w:numPr>
          <w:ilvl w:val="0"/>
          <w:numId w:val="23"/>
        </w:numPr>
        <w:rPr>
          <w:rFonts w:ascii="Verdana" w:hAnsi="Verdana"/>
          <w:sz w:val="18"/>
          <w:szCs w:val="18"/>
        </w:rPr>
      </w:pPr>
      <w:r>
        <w:rPr>
          <w:rFonts w:ascii="Verdana" w:hAnsi="Verdana"/>
          <w:sz w:val="18"/>
        </w:rPr>
        <w:t>A parte I é agora suprimida;</w:t>
      </w:r>
    </w:p>
    <w:p w:rsidR="00F6533C" w:rsidRDefault="00BB07D4" w:rsidP="00E17C57">
      <w:pPr>
        <w:pStyle w:val="ListParagraph"/>
        <w:numPr>
          <w:ilvl w:val="0"/>
          <w:numId w:val="23"/>
        </w:numPr>
        <w:rPr>
          <w:rFonts w:ascii="Verdana" w:hAnsi="Verdana"/>
          <w:sz w:val="18"/>
          <w:szCs w:val="18"/>
        </w:rPr>
      </w:pPr>
      <w:r>
        <w:rPr>
          <w:rFonts w:ascii="Verdana" w:hAnsi="Verdana"/>
          <w:sz w:val="18"/>
        </w:rPr>
        <w:t>O texto «II. As plantas e os fungos seguintes:» é substituído por «As plantas e os fungos mencionados no artigo 4.º, n.º 3:»;</w:t>
      </w:r>
    </w:p>
    <w:p w:rsidR="00740EC3" w:rsidRDefault="00740EC3" w:rsidP="00E17C57">
      <w:pPr>
        <w:pStyle w:val="ListParagraph"/>
        <w:keepNext/>
        <w:keepLines/>
        <w:numPr>
          <w:ilvl w:val="0"/>
          <w:numId w:val="23"/>
        </w:numPr>
        <w:rPr>
          <w:rFonts w:ascii="Verdana" w:hAnsi="Verdana"/>
          <w:sz w:val="18"/>
          <w:szCs w:val="18"/>
        </w:rPr>
      </w:pPr>
      <w:r>
        <w:rPr>
          <w:rFonts w:ascii="Verdana" w:hAnsi="Verdana"/>
          <w:sz w:val="18"/>
        </w:rPr>
        <w:t>É aditado o seguinte por ordem alfabética:</w:t>
      </w:r>
    </w:p>
    <w:p w:rsidR="00183469" w:rsidRPr="00A27E62" w:rsidRDefault="00740EC3" w:rsidP="00E17C57">
      <w:pPr>
        <w:ind w:left="1919" w:firstLine="709"/>
        <w:rPr>
          <w:rFonts w:ascii="Verdana" w:hAnsi="Verdana"/>
          <w:sz w:val="18"/>
          <w:szCs w:val="18"/>
        </w:rPr>
      </w:pPr>
      <w:r>
        <w:rPr>
          <w:rFonts w:ascii="Verdana" w:hAnsi="Verdana"/>
          <w:sz w:val="18"/>
        </w:rPr>
        <w:t>«</w:t>
      </w:r>
      <w:r>
        <w:rPr>
          <w:rFonts w:ascii="Verdana" w:hAnsi="Verdana"/>
          <w:i/>
          <w:sz w:val="18"/>
        </w:rPr>
        <w:t>Aconitum carmichaelii</w:t>
      </w:r>
      <w:r>
        <w:rPr>
          <w:rFonts w:ascii="Verdana" w:hAnsi="Verdana"/>
          <w:sz w:val="18"/>
        </w:rPr>
        <w:t>;</w:t>
      </w:r>
    </w:p>
    <w:p w:rsidR="00740EC3" w:rsidRPr="00A27E62" w:rsidRDefault="00740EC3" w:rsidP="00E17C57">
      <w:pPr>
        <w:ind w:left="1919" w:firstLine="709"/>
        <w:rPr>
          <w:rFonts w:ascii="Verdana" w:hAnsi="Verdana"/>
          <w:sz w:val="18"/>
          <w:szCs w:val="18"/>
        </w:rPr>
      </w:pPr>
      <w:r>
        <w:rPr>
          <w:rFonts w:ascii="Verdana" w:hAnsi="Verdana"/>
          <w:i/>
          <w:sz w:val="18"/>
        </w:rPr>
        <w:t>Aconitum kusnezoffii</w:t>
      </w:r>
      <w:r>
        <w:rPr>
          <w:rFonts w:ascii="Verdana" w:hAnsi="Verdana"/>
          <w:sz w:val="18"/>
        </w:rPr>
        <w:t>;</w:t>
      </w:r>
    </w:p>
    <w:p w:rsidR="00740EC3" w:rsidRPr="00A27E62" w:rsidRDefault="00740EC3" w:rsidP="00E17C57">
      <w:pPr>
        <w:ind w:left="1919" w:firstLine="709"/>
        <w:rPr>
          <w:rFonts w:ascii="Verdana" w:hAnsi="Verdana"/>
          <w:sz w:val="18"/>
          <w:szCs w:val="18"/>
        </w:rPr>
      </w:pPr>
      <w:r>
        <w:rPr>
          <w:rFonts w:ascii="Verdana" w:hAnsi="Verdana"/>
          <w:i/>
          <w:sz w:val="18"/>
        </w:rPr>
        <w:t>Pilocarpus jaborandi</w:t>
      </w:r>
      <w:r>
        <w:rPr>
          <w:rFonts w:ascii="Verdana" w:hAnsi="Verdana"/>
          <w:sz w:val="18"/>
        </w:rPr>
        <w:t>»;</w:t>
      </w:r>
    </w:p>
    <w:p w:rsidR="00183469" w:rsidRPr="00E17C57" w:rsidRDefault="00BB551C" w:rsidP="00147025">
      <w:pPr>
        <w:pStyle w:val="ListParagraph"/>
        <w:numPr>
          <w:ilvl w:val="0"/>
          <w:numId w:val="23"/>
        </w:numPr>
        <w:rPr>
          <w:rFonts w:ascii="Verdana" w:hAnsi="Verdana"/>
          <w:sz w:val="18"/>
          <w:szCs w:val="18"/>
        </w:rPr>
      </w:pPr>
      <w:r>
        <w:rPr>
          <w:rFonts w:ascii="Verdana" w:hAnsi="Verdana"/>
          <w:sz w:val="18"/>
        </w:rPr>
        <w:t>A expressão «</w:t>
      </w:r>
      <w:r>
        <w:rPr>
          <w:rFonts w:ascii="Verdana" w:hAnsi="Verdana"/>
          <w:i/>
          <w:sz w:val="18"/>
        </w:rPr>
        <w:t>Brassica nigra</w:t>
      </w:r>
      <w:r>
        <w:rPr>
          <w:rFonts w:ascii="Verdana" w:hAnsi="Verdana"/>
          <w:sz w:val="18"/>
        </w:rPr>
        <w:t xml:space="preserve"> (mostarda-preta), para além da utilização das sementes de </w:t>
      </w:r>
      <w:r>
        <w:rPr>
          <w:rFonts w:ascii="Verdana" w:hAnsi="Verdana"/>
          <w:i/>
          <w:sz w:val="18"/>
        </w:rPr>
        <w:t>Bryonia alba</w:t>
      </w:r>
      <w:r>
        <w:rPr>
          <w:rFonts w:ascii="Verdana" w:hAnsi="Verdana"/>
          <w:sz w:val="18"/>
        </w:rPr>
        <w:t xml:space="preserve"> (briónia-branca) em géneros alimentícios» é substituída por «</w:t>
      </w:r>
      <w:r>
        <w:rPr>
          <w:rFonts w:ascii="Verdana" w:hAnsi="Verdana"/>
          <w:i/>
          <w:sz w:val="18"/>
        </w:rPr>
        <w:t>Brassica nigra</w:t>
      </w:r>
      <w:r>
        <w:rPr>
          <w:rFonts w:ascii="Verdana" w:hAnsi="Verdana"/>
          <w:sz w:val="18"/>
        </w:rPr>
        <w:t xml:space="preserve"> (mostarda-preta), para além da utilização das sementes de </w:t>
      </w:r>
      <w:r>
        <w:rPr>
          <w:rFonts w:ascii="Verdana" w:hAnsi="Verdana"/>
          <w:i/>
          <w:sz w:val="18"/>
        </w:rPr>
        <w:t>Bryonia alba</w:t>
      </w:r>
      <w:r>
        <w:rPr>
          <w:rFonts w:ascii="Verdana" w:hAnsi="Verdana"/>
          <w:sz w:val="18"/>
        </w:rPr>
        <w:t xml:space="preserve"> (briónia-branca) em géneros alimentícios»;</w:t>
      </w:r>
    </w:p>
    <w:p w:rsidR="00740EC3" w:rsidRDefault="00740EC3" w:rsidP="00E17C57">
      <w:pPr>
        <w:pStyle w:val="ListParagraph"/>
        <w:numPr>
          <w:ilvl w:val="0"/>
          <w:numId w:val="23"/>
        </w:numPr>
        <w:rPr>
          <w:rFonts w:ascii="Verdana" w:hAnsi="Verdana"/>
          <w:sz w:val="18"/>
          <w:szCs w:val="18"/>
        </w:rPr>
      </w:pPr>
      <w:r>
        <w:rPr>
          <w:rFonts w:ascii="Verdana" w:hAnsi="Verdana"/>
          <w:sz w:val="18"/>
        </w:rPr>
        <w:t>A expressão «</w:t>
      </w:r>
      <w:r>
        <w:rPr>
          <w:rFonts w:ascii="Verdana" w:hAnsi="Verdana"/>
          <w:i/>
          <w:sz w:val="18"/>
        </w:rPr>
        <w:t>Citrullus colocynthidis</w:t>
      </w:r>
      <w:r>
        <w:rPr>
          <w:rFonts w:ascii="Verdana" w:hAnsi="Verdana"/>
          <w:sz w:val="18"/>
        </w:rPr>
        <w:t>» é substituída por «</w:t>
      </w:r>
      <w:r>
        <w:rPr>
          <w:rFonts w:ascii="Verdana" w:hAnsi="Verdana"/>
          <w:i/>
          <w:sz w:val="18"/>
        </w:rPr>
        <w:t>Citrullus colocynthis</w:t>
      </w:r>
      <w:r>
        <w:rPr>
          <w:rFonts w:ascii="Verdana" w:hAnsi="Verdana"/>
          <w:sz w:val="18"/>
        </w:rPr>
        <w:t>»;</w:t>
      </w:r>
    </w:p>
    <w:p w:rsidR="00740EC3" w:rsidRDefault="00740EC3" w:rsidP="00E17C57">
      <w:pPr>
        <w:pStyle w:val="ListParagraph"/>
        <w:numPr>
          <w:ilvl w:val="0"/>
          <w:numId w:val="23"/>
        </w:numPr>
        <w:rPr>
          <w:rFonts w:ascii="Verdana" w:hAnsi="Verdana"/>
          <w:sz w:val="18"/>
          <w:szCs w:val="18"/>
        </w:rPr>
      </w:pPr>
      <w:r>
        <w:rPr>
          <w:rFonts w:ascii="Verdana" w:hAnsi="Verdana"/>
          <w:sz w:val="18"/>
        </w:rPr>
        <w:t>A expressão «</w:t>
      </w:r>
      <w:r>
        <w:rPr>
          <w:rFonts w:ascii="Verdana" w:hAnsi="Verdana"/>
          <w:i/>
          <w:sz w:val="18"/>
        </w:rPr>
        <w:t>Mallotus philipinensis</w:t>
      </w:r>
      <w:r>
        <w:rPr>
          <w:rFonts w:ascii="Verdana" w:hAnsi="Verdana"/>
          <w:sz w:val="18"/>
        </w:rPr>
        <w:t>» é substituída por «</w:t>
      </w:r>
      <w:r>
        <w:rPr>
          <w:rFonts w:ascii="Verdana" w:hAnsi="Verdana"/>
          <w:i/>
          <w:sz w:val="18"/>
        </w:rPr>
        <w:t>Mallotus philippensis</w:t>
      </w:r>
      <w:r>
        <w:rPr>
          <w:rFonts w:ascii="Verdana" w:hAnsi="Verdana"/>
          <w:sz w:val="18"/>
        </w:rPr>
        <w:t>»;</w:t>
      </w:r>
    </w:p>
    <w:p w:rsidR="00740EC3" w:rsidRDefault="00740EC3" w:rsidP="00E17C57">
      <w:pPr>
        <w:pStyle w:val="ListParagraph"/>
        <w:numPr>
          <w:ilvl w:val="0"/>
          <w:numId w:val="23"/>
        </w:numPr>
        <w:rPr>
          <w:rFonts w:ascii="Verdana" w:hAnsi="Verdana"/>
          <w:sz w:val="18"/>
          <w:szCs w:val="18"/>
        </w:rPr>
      </w:pPr>
      <w:r>
        <w:rPr>
          <w:rFonts w:ascii="Verdana" w:hAnsi="Verdana"/>
          <w:sz w:val="18"/>
        </w:rPr>
        <w:t>A expressão «</w:t>
      </w:r>
      <w:r>
        <w:rPr>
          <w:rFonts w:ascii="Verdana" w:hAnsi="Verdana"/>
          <w:i/>
          <w:sz w:val="18"/>
        </w:rPr>
        <w:t>Mandragora officinalis</w:t>
      </w:r>
      <w:r>
        <w:rPr>
          <w:rFonts w:ascii="Verdana" w:hAnsi="Verdana"/>
          <w:sz w:val="18"/>
        </w:rPr>
        <w:t>» é substituída por «</w:t>
      </w:r>
      <w:r>
        <w:rPr>
          <w:rFonts w:ascii="Verdana" w:hAnsi="Verdana"/>
          <w:i/>
          <w:sz w:val="18"/>
        </w:rPr>
        <w:t>Mandragora officinarum</w:t>
      </w:r>
      <w:r>
        <w:rPr>
          <w:rFonts w:ascii="Verdana" w:hAnsi="Verdana"/>
          <w:sz w:val="18"/>
        </w:rPr>
        <w:t>»;</w:t>
      </w:r>
    </w:p>
    <w:p w:rsidR="00BB551C" w:rsidRPr="00C5642F" w:rsidRDefault="00740EC3" w:rsidP="00E17C57">
      <w:pPr>
        <w:pStyle w:val="ListParagraph"/>
        <w:numPr>
          <w:ilvl w:val="0"/>
          <w:numId w:val="23"/>
        </w:numPr>
        <w:rPr>
          <w:rFonts w:ascii="Verdana" w:hAnsi="Verdana"/>
          <w:sz w:val="18"/>
          <w:szCs w:val="18"/>
        </w:rPr>
      </w:pPr>
      <w:r>
        <w:rPr>
          <w:rFonts w:ascii="Verdana" w:hAnsi="Verdana"/>
          <w:sz w:val="18"/>
        </w:rPr>
        <w:t>A expressão «</w:t>
      </w:r>
      <w:r>
        <w:rPr>
          <w:rFonts w:ascii="Verdana" w:hAnsi="Verdana"/>
          <w:i/>
          <w:sz w:val="18"/>
        </w:rPr>
        <w:t>Pausinystalia yohimbe</w:t>
      </w:r>
      <w:r>
        <w:rPr>
          <w:rFonts w:ascii="Verdana" w:hAnsi="Verdana"/>
          <w:sz w:val="18"/>
        </w:rPr>
        <w:t xml:space="preserve"> ou </w:t>
      </w:r>
      <w:r>
        <w:rPr>
          <w:rFonts w:ascii="Verdana" w:hAnsi="Verdana"/>
          <w:i/>
          <w:sz w:val="18"/>
        </w:rPr>
        <w:t>Coynanthe yohimbe</w:t>
      </w:r>
      <w:r>
        <w:rPr>
          <w:rFonts w:ascii="Verdana" w:hAnsi="Verdana"/>
          <w:sz w:val="18"/>
        </w:rPr>
        <w:t>» é substituída por «</w:t>
      </w:r>
      <w:r>
        <w:rPr>
          <w:rFonts w:ascii="Verdana" w:hAnsi="Verdana"/>
          <w:i/>
          <w:sz w:val="18"/>
        </w:rPr>
        <w:t>Pausinystalia johimbe</w:t>
      </w:r>
      <w:r>
        <w:rPr>
          <w:rFonts w:ascii="Verdana" w:hAnsi="Verdana"/>
          <w:sz w:val="18"/>
        </w:rPr>
        <w:t xml:space="preserve"> ou </w:t>
      </w:r>
      <w:r>
        <w:rPr>
          <w:rFonts w:ascii="Verdana" w:hAnsi="Verdana"/>
          <w:i/>
          <w:sz w:val="18"/>
        </w:rPr>
        <w:t>Corynanthe johimbe</w:t>
      </w:r>
      <w:r>
        <w:rPr>
          <w:rFonts w:ascii="Verdana" w:hAnsi="Verdana"/>
          <w:sz w:val="18"/>
        </w:rPr>
        <w:t>»;</w:t>
      </w:r>
    </w:p>
    <w:p w:rsidR="00740EC3" w:rsidRPr="00C5642F" w:rsidRDefault="00BB551C" w:rsidP="00E17C57">
      <w:pPr>
        <w:pStyle w:val="ListParagraph"/>
        <w:numPr>
          <w:ilvl w:val="0"/>
          <w:numId w:val="23"/>
        </w:numPr>
        <w:rPr>
          <w:rFonts w:ascii="Verdana" w:hAnsi="Verdana"/>
          <w:sz w:val="18"/>
          <w:szCs w:val="18"/>
        </w:rPr>
      </w:pPr>
      <w:r>
        <w:rPr>
          <w:rFonts w:ascii="Verdana" w:hAnsi="Verdana"/>
          <w:sz w:val="18"/>
        </w:rPr>
        <w:t>A segunda coluna, que contém os números «1», é agora suprimida.</w:t>
      </w:r>
    </w:p>
    <w:p w:rsidR="007E7D62" w:rsidRDefault="007E7D62" w:rsidP="00E17C57">
      <w:pPr>
        <w:ind w:left="2268"/>
        <w:rPr>
          <w:rFonts w:ascii="Verdana" w:hAnsi="Verdana"/>
          <w:sz w:val="18"/>
          <w:szCs w:val="18"/>
        </w:rPr>
      </w:pPr>
    </w:p>
    <w:p w:rsidR="00E17C57" w:rsidRDefault="00E17C57" w:rsidP="00E17C57">
      <w:pPr>
        <w:ind w:left="2268"/>
        <w:rPr>
          <w:rFonts w:ascii="Verdana" w:hAnsi="Verdana"/>
          <w:sz w:val="18"/>
          <w:szCs w:val="18"/>
        </w:rPr>
      </w:pPr>
    </w:p>
    <w:p w:rsidR="00F517C1" w:rsidRPr="00F517C1" w:rsidRDefault="00F517C1" w:rsidP="00E17C57">
      <w:pPr>
        <w:keepNext/>
        <w:keepLines/>
        <w:ind w:left="2268"/>
        <w:rPr>
          <w:rFonts w:ascii="Verdana" w:hAnsi="Verdana"/>
          <w:b/>
          <w:sz w:val="18"/>
          <w:szCs w:val="18"/>
        </w:rPr>
      </w:pPr>
      <w:r>
        <w:rPr>
          <w:rFonts w:ascii="Verdana" w:hAnsi="Verdana"/>
          <w:b/>
          <w:sz w:val="18"/>
        </w:rPr>
        <w:t>Artigo 2.º</w:t>
      </w:r>
    </w:p>
    <w:p w:rsidR="00F517C1" w:rsidRDefault="00F517C1" w:rsidP="00E17C57">
      <w:pPr>
        <w:keepNext/>
        <w:keepLines/>
        <w:ind w:left="2268"/>
        <w:rPr>
          <w:rFonts w:ascii="Verdana" w:hAnsi="Verdana"/>
          <w:sz w:val="18"/>
          <w:szCs w:val="18"/>
        </w:rPr>
      </w:pPr>
    </w:p>
    <w:p w:rsidR="00F517C1" w:rsidRDefault="008E734A" w:rsidP="00E17C57">
      <w:pPr>
        <w:keepNext/>
        <w:keepLines/>
        <w:ind w:left="2268"/>
        <w:rPr>
          <w:rFonts w:ascii="Verdana" w:hAnsi="Verdana"/>
          <w:sz w:val="18"/>
          <w:szCs w:val="18"/>
        </w:rPr>
      </w:pPr>
      <w:r>
        <w:rPr>
          <w:rFonts w:ascii="Verdana" w:hAnsi="Verdana"/>
          <w:sz w:val="18"/>
        </w:rPr>
        <w:t>No título C-22 do anexo da decisão relativa à lei das mercadorias no que se refere a sanções administrativas, após a secção C-22.4, é aditada a seguinte secção:</w:t>
      </w:r>
    </w:p>
    <w:tbl>
      <w:tblPr>
        <w:tblStyle w:val="TableGrid"/>
        <w:tblW w:w="0" w:type="auto"/>
        <w:tblInd w:w="2268" w:type="dxa"/>
        <w:tblLook w:val="04A0" w:firstRow="1" w:lastRow="0" w:firstColumn="1" w:lastColumn="0" w:noHBand="0" w:noVBand="1"/>
      </w:tblPr>
      <w:tblGrid>
        <w:gridCol w:w="1049"/>
        <w:gridCol w:w="3376"/>
        <w:gridCol w:w="1059"/>
        <w:gridCol w:w="1237"/>
        <w:gridCol w:w="456"/>
      </w:tblGrid>
      <w:tr w:rsidR="001960C4" w:rsidTr="00E17C57">
        <w:trPr>
          <w:cantSplit/>
        </w:trPr>
        <w:tc>
          <w:tcPr>
            <w:tcW w:w="1101" w:type="dxa"/>
          </w:tcPr>
          <w:p w:rsidR="001960C4" w:rsidRDefault="001960C4" w:rsidP="00E17C57">
            <w:pPr>
              <w:rPr>
                <w:rFonts w:ascii="Verdana" w:hAnsi="Verdana"/>
                <w:sz w:val="18"/>
                <w:szCs w:val="18"/>
              </w:rPr>
            </w:pPr>
            <w:r>
              <w:rPr>
                <w:rFonts w:ascii="Verdana" w:hAnsi="Verdana"/>
                <w:sz w:val="18"/>
              </w:rPr>
              <w:t>«C-22.4.1</w:t>
            </w:r>
          </w:p>
        </w:tc>
        <w:tc>
          <w:tcPr>
            <w:tcW w:w="3827" w:type="dxa"/>
          </w:tcPr>
          <w:p w:rsidR="001960C4" w:rsidRDefault="001960C4" w:rsidP="00E17C57">
            <w:pPr>
              <w:rPr>
                <w:rFonts w:ascii="Verdana" w:hAnsi="Verdana"/>
                <w:sz w:val="18"/>
                <w:szCs w:val="18"/>
              </w:rPr>
            </w:pPr>
            <w:r>
              <w:rPr>
                <w:rFonts w:ascii="Verdana" w:hAnsi="Verdana"/>
                <w:sz w:val="18"/>
              </w:rPr>
              <w:t>Artigo 2.º em conjugação com o artigo 4.º, n.º 4</w:t>
            </w:r>
          </w:p>
        </w:tc>
        <w:tc>
          <w:tcPr>
            <w:tcW w:w="842" w:type="dxa"/>
          </w:tcPr>
          <w:p w:rsidR="001960C4" w:rsidRDefault="001960C4" w:rsidP="00E17C57">
            <w:pPr>
              <w:rPr>
                <w:rFonts w:ascii="Verdana" w:hAnsi="Verdana"/>
                <w:sz w:val="18"/>
                <w:szCs w:val="18"/>
              </w:rPr>
            </w:pPr>
            <w:r>
              <w:rPr>
                <w:rFonts w:ascii="Verdana" w:hAnsi="Verdana"/>
                <w:sz w:val="18"/>
              </w:rPr>
              <w:t>525 EUR.</w:t>
            </w:r>
          </w:p>
        </w:tc>
        <w:tc>
          <w:tcPr>
            <w:tcW w:w="1001" w:type="dxa"/>
          </w:tcPr>
          <w:p w:rsidR="001960C4" w:rsidRDefault="001960C4" w:rsidP="00E17C57">
            <w:pPr>
              <w:rPr>
                <w:rFonts w:ascii="Verdana" w:hAnsi="Verdana"/>
                <w:sz w:val="18"/>
                <w:szCs w:val="18"/>
              </w:rPr>
            </w:pPr>
            <w:r>
              <w:rPr>
                <w:rFonts w:ascii="Verdana" w:hAnsi="Verdana"/>
                <w:sz w:val="18"/>
              </w:rPr>
              <w:t>1 050 EUR.</w:t>
            </w:r>
          </w:p>
        </w:tc>
        <w:tc>
          <w:tcPr>
            <w:tcW w:w="406" w:type="dxa"/>
          </w:tcPr>
          <w:p w:rsidR="001960C4" w:rsidRDefault="001960C4" w:rsidP="00E17C57">
            <w:pPr>
              <w:rPr>
                <w:rFonts w:ascii="Verdana" w:hAnsi="Verdana"/>
                <w:sz w:val="18"/>
                <w:szCs w:val="18"/>
              </w:rPr>
            </w:pPr>
            <w:r>
              <w:rPr>
                <w:rFonts w:ascii="Verdana" w:hAnsi="Verdana"/>
                <w:sz w:val="18"/>
              </w:rPr>
              <w:t>X»</w:t>
            </w:r>
          </w:p>
        </w:tc>
      </w:tr>
    </w:tbl>
    <w:p w:rsidR="00B67E83" w:rsidRDefault="00B67E83" w:rsidP="00E17C57">
      <w:pPr>
        <w:ind w:left="2268"/>
        <w:rPr>
          <w:rFonts w:ascii="Verdana" w:hAnsi="Verdana"/>
          <w:sz w:val="18"/>
          <w:szCs w:val="18"/>
        </w:rPr>
      </w:pPr>
    </w:p>
    <w:p w:rsidR="001960C4" w:rsidRDefault="001960C4" w:rsidP="00E17C57">
      <w:pPr>
        <w:ind w:left="2268"/>
        <w:rPr>
          <w:rFonts w:ascii="Verdana" w:hAnsi="Verdana"/>
          <w:sz w:val="18"/>
          <w:szCs w:val="18"/>
        </w:rPr>
      </w:pPr>
    </w:p>
    <w:p w:rsidR="00B56093" w:rsidRPr="00B56093" w:rsidRDefault="00F517C1" w:rsidP="00E17C57">
      <w:pPr>
        <w:keepNext/>
        <w:keepLines/>
        <w:ind w:left="2268"/>
        <w:rPr>
          <w:rFonts w:ascii="Verdana" w:hAnsi="Verdana"/>
          <w:b/>
          <w:sz w:val="18"/>
          <w:szCs w:val="18"/>
        </w:rPr>
      </w:pPr>
      <w:r>
        <w:rPr>
          <w:rFonts w:ascii="Verdana" w:hAnsi="Verdana"/>
          <w:b/>
          <w:sz w:val="18"/>
        </w:rPr>
        <w:t>Artigo 3.º</w:t>
      </w:r>
    </w:p>
    <w:p w:rsidR="00B56093" w:rsidRDefault="00B56093" w:rsidP="00E17C57">
      <w:pPr>
        <w:keepNext/>
        <w:keepLines/>
        <w:ind w:left="2268"/>
        <w:rPr>
          <w:rFonts w:ascii="Verdana" w:hAnsi="Verdana"/>
          <w:sz w:val="18"/>
          <w:szCs w:val="18"/>
        </w:rPr>
      </w:pPr>
    </w:p>
    <w:p w:rsidR="00D9610F" w:rsidRDefault="00D9610F" w:rsidP="00E17C57">
      <w:pPr>
        <w:ind w:left="2836" w:hanging="568"/>
        <w:rPr>
          <w:rFonts w:ascii="Verdana" w:hAnsi="Verdana"/>
          <w:sz w:val="18"/>
          <w:szCs w:val="18"/>
        </w:rPr>
      </w:pPr>
      <w:r>
        <w:rPr>
          <w:rFonts w:ascii="Verdana" w:hAnsi="Verdana"/>
          <w:sz w:val="18"/>
        </w:rPr>
        <w:t>A presente decisão entra em vigor em 1 de janeiro de 2020.</w:t>
      </w:r>
    </w:p>
    <w:p w:rsidR="003143CD" w:rsidRPr="008F0589" w:rsidRDefault="003143CD" w:rsidP="00E17C57">
      <w:pPr>
        <w:ind w:left="2268"/>
        <w:rPr>
          <w:rFonts w:ascii="Verdana" w:hAnsi="Verdana"/>
          <w:sz w:val="18"/>
          <w:szCs w:val="18"/>
        </w:rPr>
      </w:pPr>
    </w:p>
    <w:p w:rsidR="003143CD" w:rsidRDefault="007E7D62" w:rsidP="00E17C57">
      <w:pPr>
        <w:ind w:left="2268"/>
        <w:rPr>
          <w:rFonts w:ascii="Verdana" w:hAnsi="Verdana"/>
          <w:snapToGrid w:val="0"/>
          <w:sz w:val="18"/>
          <w:szCs w:val="18"/>
        </w:rPr>
      </w:pPr>
      <w:r>
        <w:rPr>
          <w:rFonts w:ascii="Verdana" w:hAnsi="Verdana"/>
          <w:snapToGrid w:val="0"/>
          <w:sz w:val="18"/>
        </w:rPr>
        <w:t>Pelo presente, ordeno que a presente decisão, juntamente com a respetiva exposição de motivos, seja publicada no Diário Oficial.</w:t>
      </w:r>
    </w:p>
    <w:p w:rsidR="003143CD" w:rsidRDefault="003143CD" w:rsidP="00E17C57">
      <w:pPr>
        <w:ind w:left="2268"/>
        <w:rPr>
          <w:rFonts w:ascii="Verdana" w:hAnsi="Verdana"/>
          <w:snapToGrid w:val="0"/>
          <w:sz w:val="18"/>
          <w:szCs w:val="18"/>
        </w:rPr>
      </w:pPr>
    </w:p>
    <w:p w:rsidR="003143CD" w:rsidRDefault="003143CD" w:rsidP="00E17C57">
      <w:pPr>
        <w:tabs>
          <w:tab w:val="left" w:pos="2268"/>
        </w:tabs>
        <w:ind w:left="2268"/>
        <w:rPr>
          <w:rFonts w:ascii="Verdana" w:hAnsi="Verdana"/>
          <w:kern w:val="2"/>
          <w:sz w:val="18"/>
          <w:szCs w:val="18"/>
        </w:rPr>
      </w:pPr>
      <w:r>
        <w:rPr>
          <w:rFonts w:ascii="Verdana" w:hAnsi="Verdana"/>
          <w:kern w:val="2"/>
          <w:sz w:val="18"/>
        </w:rPr>
        <w:t>O ministro dos Cuidados Médicos,</w:t>
      </w: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Pr="005B4FAB" w:rsidRDefault="003143CD" w:rsidP="00E17C57">
      <w:pPr>
        <w:tabs>
          <w:tab w:val="left" w:pos="2268"/>
        </w:tabs>
        <w:ind w:left="2268"/>
        <w:rPr>
          <w:rFonts w:ascii="Verdana" w:hAnsi="Verdana"/>
          <w:kern w:val="2"/>
          <w:sz w:val="18"/>
          <w:szCs w:val="18"/>
        </w:rPr>
      </w:pPr>
      <w:r>
        <w:rPr>
          <w:rFonts w:ascii="Verdana" w:hAnsi="Verdana"/>
          <w:kern w:val="2"/>
          <w:sz w:val="18"/>
        </w:rPr>
        <w:t>B. J. Bruins</w:t>
      </w:r>
    </w:p>
    <w:p w:rsidR="005B43ED" w:rsidRPr="00176336" w:rsidRDefault="007E7D62" w:rsidP="00E17C57">
      <w:pPr>
        <w:keepNext/>
        <w:keepLines/>
        <w:pageBreakBefore/>
        <w:tabs>
          <w:tab w:val="left" w:pos="2268"/>
        </w:tabs>
        <w:ind w:left="2268"/>
        <w:rPr>
          <w:rFonts w:ascii="Verdana" w:hAnsi="Verdana"/>
          <w:sz w:val="18"/>
          <w:szCs w:val="18"/>
        </w:rPr>
      </w:pPr>
      <w:r>
        <w:rPr>
          <w:rFonts w:ascii="Verdana" w:hAnsi="Verdana"/>
          <w:b/>
          <w:sz w:val="18"/>
        </w:rPr>
        <w:lastRenderedPageBreak/>
        <w:t>Exposição de motivos</w:t>
      </w:r>
    </w:p>
    <w:p w:rsidR="00B24606" w:rsidRPr="00176336" w:rsidRDefault="00B24606" w:rsidP="00E17C57">
      <w:pPr>
        <w:keepNext/>
        <w:keepLines/>
        <w:tabs>
          <w:tab w:val="left" w:pos="2268"/>
        </w:tabs>
        <w:ind w:left="2268"/>
        <w:rPr>
          <w:rFonts w:ascii="Verdana" w:hAnsi="Verdana"/>
          <w:kern w:val="2"/>
          <w:sz w:val="18"/>
          <w:szCs w:val="18"/>
        </w:rPr>
      </w:pPr>
    </w:p>
    <w:p w:rsidR="0064439B" w:rsidRPr="00F07731"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1. Aspetos gerais</w:t>
      </w:r>
    </w:p>
    <w:p w:rsidR="00B24606" w:rsidRPr="00176336" w:rsidRDefault="00B24606" w:rsidP="00E17C57">
      <w:pPr>
        <w:keepNext/>
        <w:keepLines/>
        <w:tabs>
          <w:tab w:val="left" w:pos="2268"/>
        </w:tabs>
        <w:ind w:left="2268"/>
        <w:rPr>
          <w:rFonts w:ascii="Verdana" w:hAnsi="Verdana"/>
          <w:kern w:val="2"/>
          <w:sz w:val="18"/>
          <w:szCs w:val="18"/>
        </w:rPr>
      </w:pPr>
    </w:p>
    <w:p w:rsidR="00B428D8" w:rsidRDefault="00B24606" w:rsidP="00E17C57">
      <w:pPr>
        <w:tabs>
          <w:tab w:val="left" w:pos="2268"/>
        </w:tabs>
        <w:ind w:left="2268"/>
        <w:rPr>
          <w:rFonts w:ascii="Verdana" w:hAnsi="Verdana"/>
          <w:kern w:val="2"/>
          <w:sz w:val="18"/>
          <w:szCs w:val="18"/>
        </w:rPr>
      </w:pPr>
      <w:r>
        <w:rPr>
          <w:rFonts w:ascii="Verdana" w:hAnsi="Verdana"/>
          <w:kern w:val="2"/>
          <w:sz w:val="18"/>
        </w:rPr>
        <w:t>A decisão relativa à lei das mercadorias no que se refere a preparações à base de plantas estabelece requisitos aplicáveis a preparações à base de plantas destinados à proteção da saúde pública. Com base em avaliações do risco no que se refere a plantas, é agora aditada à decisão uma proibição aplicável a determinadas plantas. Além disso, decidiu-se aditar à decisão uma proibição relativa à presença de substâncias prejudiciais de plantas e de fungos nas preparações à base de plantas (artigo 1.º, parte A, ponto 2). O que precede melhora a executoriedade da decisão relativa à lei das mercadorias no que se refere a preparações à base de plantas. Por conseguinte, os consumidores estarão mais protegidos de produtos suscetíveis de prejudicar a sua saúde.</w:t>
      </w:r>
    </w:p>
    <w:p w:rsidR="003B5162" w:rsidRDefault="003B5162" w:rsidP="00E17C57">
      <w:pPr>
        <w:tabs>
          <w:tab w:val="left" w:pos="2268"/>
        </w:tabs>
        <w:ind w:left="2268"/>
        <w:rPr>
          <w:rFonts w:ascii="Verdana" w:hAnsi="Verdana"/>
          <w:kern w:val="2"/>
          <w:sz w:val="18"/>
          <w:szCs w:val="18"/>
        </w:rPr>
      </w:pPr>
    </w:p>
    <w:p w:rsidR="003B5162" w:rsidRPr="003B5162" w:rsidRDefault="003B5162" w:rsidP="00E17C57">
      <w:pPr>
        <w:tabs>
          <w:tab w:val="left" w:pos="2268"/>
        </w:tabs>
        <w:ind w:left="2268"/>
        <w:rPr>
          <w:rFonts w:ascii="Verdana" w:hAnsi="Verdana"/>
          <w:kern w:val="2"/>
          <w:sz w:val="18"/>
          <w:szCs w:val="18"/>
        </w:rPr>
      </w:pPr>
      <w:r>
        <w:rPr>
          <w:rFonts w:ascii="Verdana" w:hAnsi="Verdana"/>
          <w:kern w:val="2"/>
          <w:sz w:val="18"/>
        </w:rPr>
        <w:t>O artigo 13.º-D da lei das mercadorias contém uma cláusula de reconhecimento mútuo. O princípio de reconhecimento mútuo implica que um Estado-Membro UE não pode proibir a venda no seu próprio território de bens que tenham sido legalmente colocados no mercado noutro Estado-Membro UE, justificando que os bens não cumprem as suas próprias regulamentações nacionais. A este respeito, é fundamental que os bens de outro Estado-Membro UE ofereçam pelo menos um nível equivalente de proteção. Por conseguinte, o comércio de bens originários de outros Estados-Membros UE que se enquadre no âmbito da presente decisão não pode ser proibido em virtude dos requisitos estabelecidos na presente decisão.</w:t>
      </w:r>
    </w:p>
    <w:p w:rsidR="003B5162" w:rsidRPr="003B5162" w:rsidRDefault="003B5162" w:rsidP="00E17C57">
      <w:pPr>
        <w:tabs>
          <w:tab w:val="left" w:pos="2268"/>
        </w:tabs>
        <w:ind w:left="2268"/>
        <w:rPr>
          <w:rFonts w:ascii="Verdana" w:hAnsi="Verdana"/>
          <w:kern w:val="2"/>
          <w:sz w:val="18"/>
          <w:szCs w:val="18"/>
        </w:rPr>
      </w:pPr>
    </w:p>
    <w:p w:rsidR="003B5162" w:rsidRDefault="003B5162" w:rsidP="00E17C57">
      <w:pPr>
        <w:tabs>
          <w:tab w:val="left" w:pos="2268"/>
        </w:tabs>
        <w:ind w:left="2268"/>
        <w:rPr>
          <w:rFonts w:ascii="Verdana" w:hAnsi="Verdana"/>
          <w:kern w:val="2"/>
          <w:sz w:val="18"/>
          <w:szCs w:val="18"/>
        </w:rPr>
      </w:pPr>
      <w:r>
        <w:rPr>
          <w:rFonts w:ascii="Verdana" w:hAnsi="Verdana"/>
          <w:kern w:val="2"/>
          <w:sz w:val="18"/>
        </w:rPr>
        <w:t>Os requisitos aplicáveis a bens estabelecidos na presente decisão são justificados pelo interesse da proteção dos consumidores contra produtos pouco seguros.</w:t>
      </w:r>
    </w:p>
    <w:p w:rsidR="00E17C57" w:rsidRPr="003B5162" w:rsidRDefault="00E17C57" w:rsidP="00E17C57">
      <w:pPr>
        <w:tabs>
          <w:tab w:val="left" w:pos="2268"/>
        </w:tabs>
        <w:ind w:left="2268"/>
        <w:rPr>
          <w:rFonts w:ascii="Verdana" w:hAnsi="Verdana"/>
          <w:kern w:val="2"/>
          <w:sz w:val="18"/>
          <w:szCs w:val="18"/>
        </w:rPr>
      </w:pPr>
    </w:p>
    <w:p w:rsidR="00B428D8" w:rsidRPr="00F07731"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2. Impacto nos encargos regulamentares</w:t>
      </w:r>
    </w:p>
    <w:p w:rsidR="00B428D8" w:rsidRDefault="00B428D8" w:rsidP="00E17C57">
      <w:pPr>
        <w:keepNext/>
        <w:keepLines/>
        <w:tabs>
          <w:tab w:val="left" w:pos="2268"/>
        </w:tabs>
        <w:ind w:left="2268"/>
        <w:rPr>
          <w:rFonts w:ascii="Verdana" w:hAnsi="Verdana"/>
          <w:kern w:val="2"/>
          <w:sz w:val="18"/>
          <w:szCs w:val="18"/>
        </w:rPr>
      </w:pPr>
    </w:p>
    <w:p w:rsidR="00B428D8" w:rsidRDefault="00B428D8" w:rsidP="00E17C57">
      <w:pPr>
        <w:tabs>
          <w:tab w:val="left" w:pos="2268"/>
        </w:tabs>
        <w:ind w:left="2268"/>
        <w:rPr>
          <w:rFonts w:ascii="Verdana" w:hAnsi="Verdana"/>
          <w:kern w:val="2"/>
          <w:sz w:val="18"/>
          <w:szCs w:val="18"/>
        </w:rPr>
      </w:pPr>
      <w:r>
        <w:rPr>
          <w:rFonts w:ascii="Verdana" w:hAnsi="Verdana"/>
          <w:kern w:val="2"/>
          <w:sz w:val="18"/>
        </w:rPr>
        <w:t>A presente decisão deverá ter um impacto limitado nos encargos regulamentares para a comunidade empresarial. As informações do setor indicam que a quantidade de produtos que necessitarão de modificação é limitada. Tendo em conta o longo período de preparação para a presente alteração, incluindo as consultas repetidas com as partes, os produtores tiveram bastante tempo para colocar os seus produtos em conformidade com os novos requisitos. Os custos de informação são nulos. O Conselho Consultivo Neerlandês sobre os Encargos Regulamentares [ATR] apoia a análise e a conclusão sobre o impacto nos encargos regulamentares.</w:t>
      </w:r>
    </w:p>
    <w:p w:rsidR="00B428D8" w:rsidRDefault="00B428D8" w:rsidP="00E17C57">
      <w:pPr>
        <w:tabs>
          <w:tab w:val="left" w:pos="2268"/>
        </w:tabs>
        <w:ind w:left="2268"/>
        <w:rPr>
          <w:rFonts w:ascii="Verdana" w:hAnsi="Verdana"/>
          <w:kern w:val="2"/>
          <w:sz w:val="18"/>
          <w:szCs w:val="18"/>
        </w:rPr>
      </w:pPr>
    </w:p>
    <w:p w:rsidR="00B428D8" w:rsidRPr="00F07731"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3. Grupo de Consulta Regular sobre a Lei das Mercadorias</w:t>
      </w:r>
    </w:p>
    <w:p w:rsidR="00B428D8" w:rsidRPr="008F0589" w:rsidRDefault="00B428D8" w:rsidP="00E17C57">
      <w:pPr>
        <w:keepNext/>
        <w:keepLines/>
        <w:tabs>
          <w:tab w:val="left" w:pos="2268"/>
        </w:tabs>
        <w:ind w:left="2268"/>
        <w:rPr>
          <w:rFonts w:ascii="Verdana" w:hAnsi="Verdana"/>
          <w:kern w:val="2"/>
          <w:sz w:val="18"/>
          <w:szCs w:val="18"/>
        </w:rPr>
      </w:pPr>
    </w:p>
    <w:p w:rsidR="00B428D8" w:rsidRDefault="00B428D8" w:rsidP="00E17C57">
      <w:pPr>
        <w:tabs>
          <w:tab w:val="left" w:pos="2268"/>
        </w:tabs>
        <w:ind w:left="2268"/>
        <w:rPr>
          <w:rFonts w:ascii="Verdana" w:hAnsi="Verdana"/>
          <w:kern w:val="2"/>
          <w:sz w:val="18"/>
          <w:szCs w:val="18"/>
        </w:rPr>
      </w:pPr>
      <w:r>
        <w:rPr>
          <w:rFonts w:ascii="Verdana" w:hAnsi="Verdana"/>
          <w:kern w:val="2"/>
          <w:sz w:val="18"/>
        </w:rPr>
        <w:t>A versão de projeto da presente decisão foi apresentada aos participantes do Grupo de Consulta Regular sobre a Lei das Mercadorias [ROW]</w:t>
      </w:r>
      <w:r>
        <w:rPr>
          <w:rStyle w:val="FootnoteReference"/>
          <w:rFonts w:ascii="Verdana" w:hAnsi="Verdana"/>
          <w:kern w:val="2"/>
          <w:sz w:val="18"/>
        </w:rPr>
        <w:footnoteReference w:id="1"/>
      </w:r>
      <w:r>
        <w:rPr>
          <w:rFonts w:ascii="Verdana" w:hAnsi="Verdana"/>
          <w:kern w:val="2"/>
          <w:sz w:val="18"/>
        </w:rPr>
        <w:t xml:space="preserve">. Estes concluíram que não era possível proibir a presença de sinefrina nas </w:t>
      </w:r>
      <w:r>
        <w:rPr>
          <w:rFonts w:ascii="Verdana" w:hAnsi="Verdana"/>
          <w:kern w:val="2"/>
          <w:sz w:val="18"/>
        </w:rPr>
        <w:lastRenderedPageBreak/>
        <w:t>preparações à base de plantas, uma vez que esta substância natural também está presente em géneros alimentícios (por exemplo, doce de laranja). A fim de garantir que os consumidores não são expostos a níveis de sinefrina prejudiciais à sua saúde, o Instituto Nacional Neerlandês para a Saúde Pública e o Ambiente [RIVM] e o Serviço de Investigação e Avaliação do Risco [BuRO] da Autoridade para a Segurança Alimentar e dos Produtos de Consumo dos Países Baixos [NVWA] foram convidados a apresentar uma recomendação sobre o nível máximo de sinefrina presente nas preparações à base de plantas. Com base no relatório do RIVM</w:t>
      </w:r>
      <w:r>
        <w:rPr>
          <w:rStyle w:val="FootnoteReference"/>
          <w:rFonts w:ascii="Verdana" w:hAnsi="Verdana"/>
          <w:kern w:val="2"/>
          <w:sz w:val="18"/>
        </w:rPr>
        <w:footnoteReference w:id="2"/>
      </w:r>
      <w:r>
        <w:rPr>
          <w:rFonts w:ascii="Verdana" w:hAnsi="Verdana"/>
          <w:kern w:val="2"/>
          <w:sz w:val="18"/>
        </w:rPr>
        <w:t>, o BuRO</w:t>
      </w:r>
      <w:r>
        <w:rPr>
          <w:rStyle w:val="FootnoteReference"/>
          <w:rFonts w:ascii="Verdana" w:hAnsi="Verdana"/>
          <w:kern w:val="2"/>
          <w:sz w:val="18"/>
        </w:rPr>
        <w:footnoteReference w:id="3"/>
      </w:r>
      <w:r>
        <w:rPr>
          <w:rFonts w:ascii="Verdana" w:hAnsi="Verdana"/>
          <w:kern w:val="2"/>
          <w:sz w:val="18"/>
        </w:rPr>
        <w:t xml:space="preserve"> aconselha a limitação da quantidade máxima de sinefrina presente nas preparações à base de plantas a uma ingestão de 27 mg de p-sinefrina por dia, em conformidade com as instruções de utilização. Além disso, a utilização de m-sinefrina e de o-sinefrina nas preparações à base de plantas não é permitida.</w:t>
      </w:r>
    </w:p>
    <w:p w:rsidR="008E734A" w:rsidRDefault="00586978" w:rsidP="00E17C57">
      <w:pPr>
        <w:tabs>
          <w:tab w:val="left" w:pos="2268"/>
        </w:tabs>
        <w:ind w:left="2268"/>
        <w:rPr>
          <w:rFonts w:ascii="Verdana" w:hAnsi="Verdana"/>
          <w:kern w:val="2"/>
          <w:sz w:val="18"/>
          <w:szCs w:val="18"/>
        </w:rPr>
      </w:pPr>
      <w:r>
        <w:rPr>
          <w:rFonts w:ascii="Verdana" w:hAnsi="Verdana"/>
          <w:kern w:val="2"/>
          <w:sz w:val="18"/>
        </w:rPr>
        <w:t>Além disso, o ROW encontra-se ainda a debater a interpretação correta do termo «derivados». Foi suscitada a questão da real necessidade do aditamento do termo, bem como sobre o modo segundo o qual deve ser definido, se for aditado. A matéria em causa foi analisada, tendo-se decidido continuar a utilizar o termo, uma vez que são possíveis muitas variantes de substâncias prejudiciais. O termo refere-se a substâncias derivadas de outra substância.</w:t>
      </w:r>
    </w:p>
    <w:p w:rsidR="00A27E62" w:rsidRDefault="00A27E62" w:rsidP="00E17C57">
      <w:pPr>
        <w:tabs>
          <w:tab w:val="left" w:pos="2268"/>
        </w:tabs>
        <w:ind w:left="2268"/>
        <w:rPr>
          <w:rFonts w:ascii="Verdana" w:hAnsi="Verdana"/>
          <w:kern w:val="2"/>
          <w:sz w:val="18"/>
          <w:szCs w:val="18"/>
        </w:rPr>
      </w:pPr>
    </w:p>
    <w:p w:rsidR="00A27E62"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4. Executoriedade e viabilidade</w:t>
      </w:r>
    </w:p>
    <w:p w:rsidR="00E17C57" w:rsidRDefault="00E17C57" w:rsidP="00E17C57">
      <w:pPr>
        <w:keepNext/>
        <w:keepLines/>
        <w:tabs>
          <w:tab w:val="left" w:pos="2268"/>
        </w:tabs>
        <w:ind w:left="2268"/>
        <w:rPr>
          <w:rFonts w:ascii="Verdana" w:hAnsi="Verdana"/>
          <w:kern w:val="2"/>
          <w:sz w:val="18"/>
          <w:szCs w:val="18"/>
        </w:rPr>
      </w:pPr>
    </w:p>
    <w:p w:rsidR="00A27E62" w:rsidRDefault="00A27E62" w:rsidP="00E17C57">
      <w:pPr>
        <w:tabs>
          <w:tab w:val="left" w:pos="2268"/>
        </w:tabs>
        <w:ind w:left="2268"/>
        <w:rPr>
          <w:rFonts w:ascii="Verdana" w:hAnsi="Verdana"/>
          <w:kern w:val="2"/>
          <w:sz w:val="18"/>
          <w:szCs w:val="18"/>
        </w:rPr>
      </w:pPr>
      <w:r>
        <w:rPr>
          <w:rFonts w:ascii="Verdana" w:hAnsi="Verdana"/>
          <w:kern w:val="2"/>
          <w:sz w:val="18"/>
        </w:rPr>
        <w:t>A Autoridade para a Segurança Alimentar e dos Produtos de Consumo dos Países Baixos avaliou o presente projeto de decisão no que concerne à executoriedade, viabilidade e resistência à fraude. A NVWA considera o projeto de decisão executável e viável. O projeto de decisão não suscita observações em matéria de resistência à fraude.</w:t>
      </w:r>
    </w:p>
    <w:p w:rsidR="00586978" w:rsidRDefault="00586978" w:rsidP="00E17C57">
      <w:pPr>
        <w:tabs>
          <w:tab w:val="left" w:pos="2268"/>
        </w:tabs>
        <w:ind w:left="2268"/>
        <w:rPr>
          <w:rFonts w:ascii="Verdana" w:hAnsi="Verdana"/>
          <w:kern w:val="2"/>
          <w:sz w:val="18"/>
          <w:szCs w:val="18"/>
        </w:rPr>
      </w:pPr>
    </w:p>
    <w:p w:rsidR="008E734A"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5. Controlo preliminar</w:t>
      </w:r>
    </w:p>
    <w:p w:rsidR="00E17C57" w:rsidRDefault="00E17C57" w:rsidP="00E17C57">
      <w:pPr>
        <w:keepNext/>
        <w:keepLines/>
        <w:tabs>
          <w:tab w:val="left" w:pos="2268"/>
        </w:tabs>
        <w:ind w:left="2268"/>
        <w:rPr>
          <w:rFonts w:ascii="Verdana" w:hAnsi="Verdana"/>
          <w:kern w:val="2"/>
          <w:sz w:val="18"/>
          <w:szCs w:val="18"/>
        </w:rPr>
      </w:pPr>
    </w:p>
    <w:p w:rsidR="008E734A" w:rsidRPr="008E734A" w:rsidRDefault="008E734A" w:rsidP="00E17C57">
      <w:pPr>
        <w:tabs>
          <w:tab w:val="left" w:pos="2268"/>
        </w:tabs>
        <w:ind w:left="2268"/>
        <w:rPr>
          <w:rFonts w:ascii="Verdana" w:hAnsi="Verdana"/>
          <w:kern w:val="2"/>
          <w:sz w:val="18"/>
          <w:szCs w:val="18"/>
        </w:rPr>
      </w:pPr>
      <w:r>
        <w:rPr>
          <w:rFonts w:ascii="Verdana" w:hAnsi="Verdana"/>
          <w:kern w:val="2"/>
          <w:sz w:val="18"/>
        </w:rPr>
        <w:t xml:space="preserve">Em conformidade com o artigo 32.º-B, n.º 2, da lei das mercadorias, em </w:t>
      </w:r>
      <w:r>
        <w:rPr>
          <w:rFonts w:ascii="Verdana" w:hAnsi="Verdana"/>
          <w:b/>
          <w:kern w:val="2"/>
          <w:sz w:val="18"/>
        </w:rPr>
        <w:t>(data)</w:t>
      </w:r>
      <w:r>
        <w:rPr>
          <w:rFonts w:ascii="Verdana" w:hAnsi="Verdana"/>
          <w:kern w:val="2"/>
          <w:sz w:val="18"/>
        </w:rPr>
        <w:t xml:space="preserve">, procedeu-se ao envio de um projeto da presente regulamentação administrativa de caráter geral a ambas as câmaras do Parlamento dos Países Baixos (Documentos Parlamentares </w:t>
      </w:r>
      <w:r>
        <w:rPr>
          <w:rFonts w:ascii="Verdana" w:hAnsi="Verdana"/>
          <w:b/>
          <w:kern w:val="2"/>
          <w:sz w:val="18"/>
        </w:rPr>
        <w:t>PM</w:t>
      </w:r>
      <w:r>
        <w:rPr>
          <w:rFonts w:ascii="Verdana" w:hAnsi="Verdana"/>
          <w:kern w:val="2"/>
          <w:sz w:val="18"/>
        </w:rPr>
        <w:t>).</w:t>
      </w:r>
    </w:p>
    <w:p w:rsidR="00610A2C" w:rsidRDefault="00610A2C" w:rsidP="00E17C57">
      <w:pPr>
        <w:tabs>
          <w:tab w:val="left" w:pos="2268"/>
        </w:tabs>
        <w:ind w:left="2268"/>
        <w:rPr>
          <w:rFonts w:ascii="Verdana" w:hAnsi="Verdana"/>
          <w:kern w:val="2"/>
          <w:sz w:val="18"/>
          <w:szCs w:val="18"/>
        </w:rPr>
      </w:pPr>
    </w:p>
    <w:p w:rsidR="00B428D8" w:rsidRPr="008F0589" w:rsidRDefault="00F07731" w:rsidP="00E17C57">
      <w:pPr>
        <w:keepNext/>
        <w:keepLines/>
        <w:tabs>
          <w:tab w:val="left" w:pos="2268"/>
        </w:tabs>
        <w:ind w:left="2268"/>
        <w:rPr>
          <w:rFonts w:ascii="Verdana" w:hAnsi="Verdana"/>
          <w:kern w:val="2"/>
          <w:sz w:val="18"/>
          <w:szCs w:val="18"/>
        </w:rPr>
      </w:pPr>
      <w:r>
        <w:rPr>
          <w:rFonts w:ascii="Verdana" w:hAnsi="Verdana"/>
          <w:b/>
          <w:kern w:val="2"/>
          <w:sz w:val="18"/>
        </w:rPr>
        <w:t>6. Notificação</w:t>
      </w:r>
    </w:p>
    <w:p w:rsidR="00E17C57" w:rsidRDefault="00E17C57" w:rsidP="00E17C57">
      <w:pPr>
        <w:keepNext/>
        <w:keepLines/>
        <w:tabs>
          <w:tab w:val="left" w:pos="2268"/>
        </w:tabs>
        <w:ind w:left="2268"/>
        <w:rPr>
          <w:rFonts w:ascii="Verdana" w:hAnsi="Verdana"/>
          <w:sz w:val="18"/>
          <w:szCs w:val="18"/>
        </w:rPr>
      </w:pPr>
    </w:p>
    <w:p w:rsidR="00B428D8" w:rsidRDefault="009345F8" w:rsidP="00E17C57">
      <w:pPr>
        <w:tabs>
          <w:tab w:val="left" w:pos="2268"/>
        </w:tabs>
        <w:ind w:left="2268"/>
        <w:rPr>
          <w:rFonts w:ascii="Verdana" w:hAnsi="Verdana"/>
          <w:sz w:val="18"/>
          <w:szCs w:val="18"/>
        </w:rPr>
      </w:pPr>
      <w:r>
        <w:rPr>
          <w:rFonts w:ascii="Verdana" w:hAnsi="Verdana"/>
          <w:sz w:val="18"/>
        </w:rPr>
        <w:t>A versão de projeto da presente decisão foi objeto de notificação à Comissão Europeia, em ..., em conformidade com o artigo 5.º, n.º 1, da Diretiva (UE) 2015/1535</w:t>
      </w:r>
      <w:r>
        <w:rPr>
          <w:rStyle w:val="FootnoteReference"/>
          <w:rFonts w:ascii="Verdana" w:hAnsi="Verdana"/>
          <w:sz w:val="18"/>
        </w:rPr>
        <w:footnoteReference w:id="4"/>
      </w:r>
      <w:r>
        <w:rPr>
          <w:rFonts w:ascii="Verdana" w:hAnsi="Verdana"/>
          <w:sz w:val="18"/>
        </w:rPr>
        <w:t>. A notificação à Comissão Europeia é necessária, uma vez que o artigo 1.º da presente decisão contém regulamentações técnicas na aceção da Diretiva (UE) 2015/1535. Na sequência da referida notificação</w:t>
      </w:r>
    </w:p>
    <w:p w:rsidR="00E17C57" w:rsidRPr="00BB02A9" w:rsidRDefault="00E17C57" w:rsidP="00E17C57">
      <w:pPr>
        <w:tabs>
          <w:tab w:val="left" w:pos="2268"/>
        </w:tabs>
        <w:ind w:left="2268"/>
        <w:rPr>
          <w:rFonts w:ascii="Verdana" w:hAnsi="Verdana"/>
          <w:kern w:val="2"/>
          <w:sz w:val="18"/>
          <w:szCs w:val="18"/>
        </w:rPr>
      </w:pPr>
    </w:p>
    <w:p w:rsidR="00B428D8" w:rsidRPr="008F0589" w:rsidRDefault="00B428D8" w:rsidP="00E17C57">
      <w:pPr>
        <w:tabs>
          <w:tab w:val="left" w:pos="2268"/>
        </w:tabs>
        <w:ind w:left="2268"/>
        <w:rPr>
          <w:rFonts w:ascii="Verdana" w:hAnsi="Verdana"/>
          <w:kern w:val="2"/>
          <w:sz w:val="18"/>
          <w:szCs w:val="18"/>
        </w:rPr>
      </w:pPr>
      <w:r>
        <w:rPr>
          <w:rFonts w:ascii="Verdana" w:hAnsi="Verdana"/>
          <w:kern w:val="2"/>
          <w:sz w:val="18"/>
        </w:rPr>
        <w:lastRenderedPageBreak/>
        <w:t>Na medida em que o presente projeto de decisão contenha restrições quantitativas à importação ou medidas de efeito equivalente na aceção do artigo 34.º do Tratado sobre o Funcionamento da União Europeia, as referidas medidas são justificadas pelo interesse da saúde pública em virtude do artigo 36.º do Tratado.</w:t>
      </w:r>
    </w:p>
    <w:p w:rsidR="005E47AF" w:rsidRPr="005C6A30" w:rsidRDefault="005E47AF" w:rsidP="00E17C57">
      <w:pPr>
        <w:tabs>
          <w:tab w:val="left" w:pos="2268"/>
        </w:tabs>
        <w:ind w:left="2268"/>
        <w:rPr>
          <w:rFonts w:ascii="Verdana" w:hAnsi="Verdana"/>
          <w:kern w:val="2"/>
          <w:sz w:val="18"/>
          <w:szCs w:val="18"/>
        </w:rPr>
      </w:pPr>
    </w:p>
    <w:p w:rsidR="00A82D46" w:rsidRPr="005C6A30" w:rsidRDefault="00F07731" w:rsidP="00E17C57">
      <w:pPr>
        <w:keepNext/>
        <w:keepLines/>
        <w:tabs>
          <w:tab w:val="left" w:pos="2268"/>
        </w:tabs>
        <w:ind w:left="2268"/>
        <w:rPr>
          <w:rFonts w:ascii="Verdana" w:hAnsi="Verdana"/>
          <w:b/>
          <w:kern w:val="2"/>
          <w:sz w:val="18"/>
          <w:szCs w:val="18"/>
        </w:rPr>
      </w:pPr>
      <w:r>
        <w:rPr>
          <w:rFonts w:ascii="Verdana" w:hAnsi="Verdana"/>
          <w:b/>
          <w:kern w:val="2"/>
          <w:sz w:val="18"/>
        </w:rPr>
        <w:t>7. Exposição de motivos por artigo</w:t>
      </w:r>
    </w:p>
    <w:p w:rsidR="00F120A1" w:rsidRPr="005C6A30" w:rsidRDefault="00F120A1" w:rsidP="00E17C57">
      <w:pPr>
        <w:keepNext/>
        <w:keepLines/>
        <w:tabs>
          <w:tab w:val="left" w:pos="2268"/>
        </w:tabs>
        <w:ind w:left="2268"/>
        <w:rPr>
          <w:rFonts w:ascii="Verdana" w:hAnsi="Verdana"/>
          <w:kern w:val="2"/>
          <w:sz w:val="18"/>
          <w:szCs w:val="18"/>
        </w:rPr>
      </w:pPr>
    </w:p>
    <w:p w:rsidR="0095665C" w:rsidRPr="00AD2E4A" w:rsidRDefault="0095665C" w:rsidP="00E17C57">
      <w:pPr>
        <w:keepNext/>
        <w:keepLines/>
        <w:tabs>
          <w:tab w:val="left" w:pos="2268"/>
        </w:tabs>
        <w:ind w:left="2268"/>
        <w:rPr>
          <w:rFonts w:ascii="Verdana" w:hAnsi="Verdana"/>
          <w:i/>
          <w:kern w:val="2"/>
          <w:sz w:val="18"/>
          <w:szCs w:val="18"/>
        </w:rPr>
      </w:pPr>
      <w:r>
        <w:rPr>
          <w:rFonts w:ascii="Verdana" w:hAnsi="Verdana"/>
          <w:i/>
          <w:kern w:val="2"/>
          <w:sz w:val="18"/>
        </w:rPr>
        <w:t>Artigo 1.º, parte A, pontos 1 e 4, e parte D, ponto 2</w:t>
      </w:r>
    </w:p>
    <w:p w:rsidR="00670294" w:rsidRDefault="00FC0162" w:rsidP="00E17C57">
      <w:pPr>
        <w:tabs>
          <w:tab w:val="left" w:pos="2268"/>
        </w:tabs>
        <w:ind w:left="2268"/>
        <w:rPr>
          <w:rFonts w:ascii="Verdana" w:hAnsi="Verdana"/>
          <w:kern w:val="2"/>
          <w:sz w:val="18"/>
          <w:szCs w:val="18"/>
        </w:rPr>
      </w:pPr>
      <w:r>
        <w:rPr>
          <w:rFonts w:ascii="Verdana" w:hAnsi="Verdana"/>
          <w:kern w:val="2"/>
          <w:sz w:val="18"/>
        </w:rPr>
        <w:t>A alteração em causa melhora a executoriedade. Antes da entrada em vigor da presente decisão, o artigo 4.º, n.º 1, da decisão relativa à lei das mercadorias no que se refere a preparações à base de plantas tinha a seguinte redação:</w:t>
      </w:r>
    </w:p>
    <w:p w:rsidR="00670294" w:rsidRPr="009345F8" w:rsidRDefault="00670294" w:rsidP="00E17C57">
      <w:pPr>
        <w:tabs>
          <w:tab w:val="left" w:pos="2268"/>
        </w:tabs>
        <w:ind w:left="2268"/>
        <w:rPr>
          <w:rFonts w:ascii="Verdana" w:hAnsi="Verdana"/>
          <w:i/>
          <w:kern w:val="2"/>
          <w:sz w:val="18"/>
          <w:szCs w:val="18"/>
        </w:rPr>
      </w:pPr>
      <w:r>
        <w:rPr>
          <w:rFonts w:ascii="Verdana" w:hAnsi="Verdana"/>
          <w:i/>
          <w:kern w:val="2"/>
          <w:sz w:val="18"/>
        </w:rPr>
        <w:t>A quantidade de alcaloides tóxicos de pirrolizidina de preparações à base de plantas que consistam em materiais, total ou parcialmente, provenientes de plantas, na aceção da parte I do anexo, ou de outras plantas que se pressupõe conterem alcaloides tóxicos de pirrolizidina, não pode exceder 1 µg por quilograma ou por litro, respetivamente.</w:t>
      </w:r>
    </w:p>
    <w:p w:rsidR="00670294" w:rsidRDefault="00670294" w:rsidP="00E17C57">
      <w:pPr>
        <w:tabs>
          <w:tab w:val="left" w:pos="2268"/>
        </w:tabs>
        <w:ind w:left="2268"/>
        <w:rPr>
          <w:rFonts w:ascii="Verdana" w:hAnsi="Verdana"/>
          <w:kern w:val="2"/>
          <w:sz w:val="18"/>
          <w:szCs w:val="18"/>
        </w:rPr>
      </w:pPr>
    </w:p>
    <w:p w:rsidR="00670294" w:rsidRDefault="00670294" w:rsidP="00E17C57">
      <w:pPr>
        <w:tabs>
          <w:tab w:val="left" w:pos="2268"/>
        </w:tabs>
        <w:ind w:left="2268"/>
        <w:rPr>
          <w:rFonts w:ascii="Verdana" w:hAnsi="Verdana"/>
          <w:kern w:val="2"/>
          <w:sz w:val="18"/>
          <w:szCs w:val="18"/>
        </w:rPr>
      </w:pPr>
      <w:r>
        <w:rPr>
          <w:rFonts w:ascii="Verdana" w:hAnsi="Verdana"/>
          <w:kern w:val="2"/>
          <w:sz w:val="18"/>
        </w:rPr>
        <w:t>Com base na referida redação, o funcionário encarregado da supervisão não pode simplesmente determinar um nível excessivamente elevado de alcaloides tóxicos de pirrolizidina nas preparações à base de plantas. O funcionário deve também demonstrar a sua origem. Esta situação deu origem a problemas na supervisão da conformidade com a disposição em causa.</w:t>
      </w:r>
    </w:p>
    <w:p w:rsidR="00670294" w:rsidRDefault="00670294" w:rsidP="00E17C57">
      <w:pPr>
        <w:tabs>
          <w:tab w:val="left" w:pos="2268"/>
        </w:tabs>
        <w:ind w:left="2268"/>
        <w:rPr>
          <w:rFonts w:ascii="Verdana" w:hAnsi="Verdana"/>
          <w:kern w:val="2"/>
          <w:sz w:val="18"/>
          <w:szCs w:val="18"/>
        </w:rPr>
      </w:pPr>
    </w:p>
    <w:p w:rsidR="00670294" w:rsidRPr="00B71129" w:rsidRDefault="00BB02A9" w:rsidP="00E17C57">
      <w:pPr>
        <w:tabs>
          <w:tab w:val="left" w:pos="2268"/>
        </w:tabs>
        <w:ind w:left="2268"/>
        <w:rPr>
          <w:rFonts w:ascii="Verdana" w:hAnsi="Verdana"/>
          <w:kern w:val="2"/>
          <w:sz w:val="18"/>
          <w:szCs w:val="18"/>
        </w:rPr>
      </w:pPr>
      <w:r>
        <w:rPr>
          <w:rFonts w:ascii="Verdana" w:hAnsi="Verdana"/>
          <w:kern w:val="2"/>
          <w:sz w:val="18"/>
        </w:rPr>
        <w:t>O artigo 1.º, parte A, ponto 1, da presente decisão altera o artigo 4.º, n.º 1, para resolver os problemas mencionados no parágrafo anterior. O n.º 1 define agora uma quantidade máxima de alcaloides tóxicos de pirrolizidina presentes nas preparações à base de plantas, independentemente da sua origem. A parte I do anexo pode, pois, ser suprimida (artigo 1.º, parte D, ponto 2).</w:t>
      </w:r>
    </w:p>
    <w:p w:rsidR="00AB3B66" w:rsidRPr="00B71129" w:rsidRDefault="00AB3B66" w:rsidP="00E17C57">
      <w:pPr>
        <w:tabs>
          <w:tab w:val="left" w:pos="2268"/>
        </w:tabs>
        <w:ind w:left="2268"/>
        <w:rPr>
          <w:rFonts w:ascii="Verdana" w:hAnsi="Verdana"/>
          <w:kern w:val="2"/>
          <w:sz w:val="18"/>
          <w:szCs w:val="18"/>
        </w:rPr>
      </w:pPr>
    </w:p>
    <w:p w:rsidR="00430B87" w:rsidRPr="0042448A" w:rsidRDefault="00430B87" w:rsidP="00E17C57">
      <w:pPr>
        <w:ind w:left="2268"/>
        <w:rPr>
          <w:rFonts w:ascii="Verdana" w:hAnsi="Verdana"/>
          <w:sz w:val="18"/>
          <w:szCs w:val="18"/>
        </w:rPr>
      </w:pPr>
      <w:r>
        <w:rPr>
          <w:rFonts w:ascii="Verdana" w:hAnsi="Verdana"/>
          <w:sz w:val="18"/>
        </w:rPr>
        <w:t>Prevê-se que os requisitos relativos à quantidade máxima de alcaloides de pirrolizidina presentes nos suplementos alimentares e nas preparações à base de plantas sejam aditados em breve ao Regulamento (CE) n.º 1881/2006</w:t>
      </w:r>
      <w:r>
        <w:rPr>
          <w:rStyle w:val="FootnoteReference"/>
          <w:rFonts w:ascii="Verdana" w:hAnsi="Verdana"/>
          <w:sz w:val="18"/>
        </w:rPr>
        <w:footnoteReference w:id="5"/>
      </w:r>
      <w:r>
        <w:rPr>
          <w:rFonts w:ascii="Verdana" w:hAnsi="Verdana"/>
          <w:sz w:val="18"/>
        </w:rPr>
        <w:t>. Em antecipação, é aditado um novo artigo 4.º, n.º 6, à decisão relativa à lei das mercadorias no que se refere a preparações à base de plantas, de tal modo que o n.º 1 já não se aplica a questões abrangidas pelas disposições do Regulamento (CE) n.º 1881/2006. A disposição em causa antecipa futuros alargamentos das disposições do Regulamento (CE) n.º 1881/2006 no que se refere aos alcaloides de pirrolizidina.</w:t>
      </w:r>
    </w:p>
    <w:p w:rsidR="00430B87" w:rsidRPr="0042448A" w:rsidRDefault="00430B87" w:rsidP="00E17C57">
      <w:pPr>
        <w:ind w:left="2268"/>
        <w:rPr>
          <w:rFonts w:ascii="Verdana" w:hAnsi="Verdana"/>
          <w:sz w:val="18"/>
          <w:szCs w:val="18"/>
        </w:rPr>
      </w:pPr>
    </w:p>
    <w:p w:rsidR="00430B87" w:rsidRDefault="00430B87" w:rsidP="00E17C57">
      <w:pPr>
        <w:ind w:left="2268"/>
        <w:rPr>
          <w:rFonts w:ascii="Verdana" w:hAnsi="Verdana"/>
          <w:sz w:val="18"/>
          <w:szCs w:val="18"/>
        </w:rPr>
      </w:pPr>
      <w:r>
        <w:rPr>
          <w:rFonts w:ascii="Verdana" w:hAnsi="Verdana"/>
          <w:sz w:val="18"/>
        </w:rPr>
        <w:t>No que concerne a outras preparações à base de plantas não abrangidas no anexo do Regulamento (CE) n.º 1881/2006, o limite máximo previsto no artigo 4.º, n.º 1, da decisão relativa à lei das mercadorias no que se refere a preparações à base de plantas continua a ser aplicável, isto é: 1 µg/kg ou por litro, respetivamente.</w:t>
      </w:r>
    </w:p>
    <w:p w:rsidR="00E17C57" w:rsidRPr="00B71129" w:rsidRDefault="00E17C57" w:rsidP="00E17C57">
      <w:pPr>
        <w:ind w:left="2268"/>
        <w:rPr>
          <w:rFonts w:ascii="Verdana" w:hAnsi="Verdana"/>
          <w:sz w:val="18"/>
          <w:szCs w:val="18"/>
        </w:rPr>
      </w:pPr>
    </w:p>
    <w:p w:rsidR="00FC0162" w:rsidRPr="00B71129" w:rsidRDefault="00FC0162" w:rsidP="00E17C57">
      <w:pPr>
        <w:keepNext/>
        <w:keepLines/>
        <w:tabs>
          <w:tab w:val="left" w:pos="2268"/>
        </w:tabs>
        <w:ind w:left="2268"/>
        <w:rPr>
          <w:rFonts w:ascii="Verdana" w:hAnsi="Verdana"/>
          <w:i/>
          <w:kern w:val="2"/>
          <w:sz w:val="18"/>
          <w:szCs w:val="18"/>
        </w:rPr>
      </w:pPr>
      <w:r>
        <w:rPr>
          <w:rFonts w:ascii="Verdana" w:hAnsi="Verdana"/>
          <w:i/>
          <w:kern w:val="2"/>
          <w:sz w:val="18"/>
        </w:rPr>
        <w:lastRenderedPageBreak/>
        <w:t>Artigo 1.º, parte A, ponto 2</w:t>
      </w:r>
    </w:p>
    <w:p w:rsidR="00FC0162" w:rsidRDefault="00FC0162" w:rsidP="00E17C57">
      <w:pPr>
        <w:tabs>
          <w:tab w:val="left" w:pos="2268"/>
        </w:tabs>
        <w:ind w:left="2268"/>
        <w:rPr>
          <w:rFonts w:ascii="Verdana" w:hAnsi="Verdana"/>
          <w:kern w:val="2"/>
          <w:sz w:val="18"/>
          <w:szCs w:val="18"/>
        </w:rPr>
      </w:pPr>
      <w:r>
        <w:rPr>
          <w:rFonts w:ascii="Verdana" w:hAnsi="Verdana"/>
          <w:kern w:val="2"/>
          <w:sz w:val="18"/>
        </w:rPr>
        <w:t>O artigo 4.º, n.º 2, da decisão relativa à lei das mercadorias no que se refere a preparações à base de plantas designa várias substâncias que, no interesse da saúde pública, não podem estar presentes nas preparações à base de plantas. Com base em estudos</w:t>
      </w:r>
      <w:r>
        <w:rPr>
          <w:rStyle w:val="FootnoteReference"/>
          <w:rFonts w:ascii="Verdana" w:hAnsi="Verdana"/>
          <w:kern w:val="2"/>
          <w:sz w:val="18"/>
        </w:rPr>
        <w:footnoteReference w:id="6"/>
      </w:r>
      <w:r>
        <w:rPr>
          <w:rFonts w:ascii="Verdana" w:hAnsi="Verdana"/>
          <w:kern w:val="2"/>
          <w:sz w:val="18"/>
        </w:rPr>
        <w:t>, o RIVM recomendou que se acrescentassem à lista várias substâncias adicionais que parecem ter propriedades tóxicas, ou até de toxicidade aguda. As recomendações em causa foram aplicadas. As substâncias em questão foram, assim, aditadas ao artigo 4.º, n.º 2, da decisão relativa à lei das mercadorias no que se refere a preparações à base de plantas. As antigas alíneas a) e b) (ácidos aristolóquicos e alcaloides de ioimbina ou respetivos derivados) foram então aditadas à nova lista por ordem alfabética.</w:t>
      </w:r>
    </w:p>
    <w:p w:rsidR="00FC0162" w:rsidRDefault="00FC0162" w:rsidP="00E17C57">
      <w:pPr>
        <w:tabs>
          <w:tab w:val="left" w:pos="2268"/>
        </w:tabs>
        <w:ind w:left="2268"/>
        <w:rPr>
          <w:rFonts w:ascii="Verdana" w:hAnsi="Verdana"/>
          <w:kern w:val="2"/>
          <w:sz w:val="18"/>
          <w:szCs w:val="18"/>
        </w:rPr>
      </w:pPr>
    </w:p>
    <w:p w:rsidR="00FC0162" w:rsidRDefault="00FC0162" w:rsidP="00E17C57">
      <w:pPr>
        <w:tabs>
          <w:tab w:val="left" w:pos="2268"/>
        </w:tabs>
        <w:ind w:left="2268"/>
        <w:rPr>
          <w:rFonts w:ascii="Verdana" w:hAnsi="Verdana"/>
          <w:kern w:val="2"/>
          <w:sz w:val="18"/>
          <w:szCs w:val="18"/>
        </w:rPr>
      </w:pPr>
      <w:r>
        <w:rPr>
          <w:rFonts w:ascii="Verdana" w:hAnsi="Verdana"/>
          <w:kern w:val="2"/>
          <w:sz w:val="18"/>
        </w:rPr>
        <w:t xml:space="preserve">A nova alínea g) diz respeito ao óleo de </w:t>
      </w:r>
      <w:r>
        <w:rPr>
          <w:rFonts w:ascii="Verdana" w:hAnsi="Verdana"/>
          <w:i/>
          <w:kern w:val="2"/>
          <w:sz w:val="18"/>
        </w:rPr>
        <w:t>Artemisia absinthium</w:t>
      </w:r>
      <w:r>
        <w:rPr>
          <w:rFonts w:ascii="Verdana" w:hAnsi="Verdana"/>
          <w:kern w:val="2"/>
          <w:sz w:val="18"/>
        </w:rPr>
        <w:t>. A alínea em causa estipula que a proibição da presença do referido óleo nas preparações à base de plantas não se aplica à presença de tuiona em bebidas produzidas a partir da espécie Artemisia, se a sua presença for permitida no artigo 6.º, n.º 2, e no anexo III, parte B, do Regulamento (CE) n.º 1334/2008</w:t>
      </w:r>
      <w:r>
        <w:rPr>
          <w:rStyle w:val="FootnoteReference"/>
          <w:rFonts w:ascii="Verdana" w:hAnsi="Verdana"/>
          <w:kern w:val="2"/>
          <w:sz w:val="18"/>
        </w:rPr>
        <w:footnoteReference w:id="7"/>
      </w:r>
      <w:r>
        <w:rPr>
          <w:rFonts w:ascii="Verdana" w:hAnsi="Verdana"/>
          <w:kern w:val="2"/>
          <w:sz w:val="18"/>
        </w:rPr>
        <w:t>.</w:t>
      </w:r>
    </w:p>
    <w:p w:rsidR="00670294" w:rsidRDefault="00670294" w:rsidP="00E17C57">
      <w:pPr>
        <w:tabs>
          <w:tab w:val="left" w:pos="2268"/>
        </w:tabs>
        <w:ind w:left="2268"/>
        <w:rPr>
          <w:rFonts w:ascii="Verdana" w:hAnsi="Verdana"/>
          <w:kern w:val="2"/>
          <w:sz w:val="18"/>
          <w:szCs w:val="18"/>
        </w:rPr>
      </w:pPr>
    </w:p>
    <w:p w:rsidR="00AD2E4A" w:rsidRPr="00AD2E4A" w:rsidRDefault="00AD2E4A" w:rsidP="00E17C57">
      <w:pPr>
        <w:keepNext/>
        <w:keepLines/>
        <w:tabs>
          <w:tab w:val="left" w:pos="2268"/>
        </w:tabs>
        <w:ind w:left="2268"/>
        <w:rPr>
          <w:rFonts w:ascii="Verdana" w:hAnsi="Verdana"/>
          <w:i/>
          <w:kern w:val="2"/>
          <w:sz w:val="18"/>
          <w:szCs w:val="18"/>
        </w:rPr>
      </w:pPr>
      <w:r>
        <w:rPr>
          <w:rFonts w:ascii="Verdana" w:hAnsi="Verdana"/>
          <w:i/>
          <w:kern w:val="2"/>
          <w:sz w:val="18"/>
        </w:rPr>
        <w:t>Artigo 1.º, parte A, ponto 3, e parte D, pontos 1 e 3</w:t>
      </w:r>
    </w:p>
    <w:p w:rsidR="00670294" w:rsidRDefault="005D7072" w:rsidP="00E17C57">
      <w:pPr>
        <w:tabs>
          <w:tab w:val="left" w:pos="2268"/>
        </w:tabs>
        <w:ind w:left="2268"/>
        <w:rPr>
          <w:rFonts w:ascii="Verdana" w:hAnsi="Verdana"/>
          <w:kern w:val="2"/>
          <w:sz w:val="18"/>
          <w:szCs w:val="18"/>
        </w:rPr>
      </w:pPr>
      <w:r>
        <w:rPr>
          <w:rFonts w:ascii="Verdana" w:hAnsi="Verdana"/>
          <w:kern w:val="2"/>
          <w:sz w:val="18"/>
        </w:rPr>
        <w:t>No momento da entrada em vigor da presente decisão, o anexo da decisão relativa à lei das mercadorias no que se refere a preparações à base de plantas apenas contém aquela que era a antiga parte II, que constitui atualmente «o anexo». A referência à parte II do anexo no artigo 4.º, n.º 3, da decisão relativa à lei das mercadorias no que se refere a preparações à base de plantas é, pois, alterada para uma referência ao «anexo».</w:t>
      </w:r>
    </w:p>
    <w:p w:rsidR="00B561EB" w:rsidRDefault="00B561EB" w:rsidP="00E17C57">
      <w:pPr>
        <w:tabs>
          <w:tab w:val="left" w:pos="2268"/>
        </w:tabs>
        <w:ind w:left="2268"/>
        <w:rPr>
          <w:rFonts w:ascii="Verdana" w:hAnsi="Verdana"/>
          <w:kern w:val="2"/>
          <w:sz w:val="18"/>
          <w:szCs w:val="18"/>
        </w:rPr>
      </w:pPr>
    </w:p>
    <w:p w:rsidR="005059AF" w:rsidRPr="00485F0F" w:rsidRDefault="00485F0F" w:rsidP="00E17C57">
      <w:pPr>
        <w:keepNext/>
        <w:keepLines/>
        <w:tabs>
          <w:tab w:val="left" w:pos="2268"/>
        </w:tabs>
        <w:ind w:left="2268"/>
        <w:rPr>
          <w:rFonts w:ascii="Verdana" w:hAnsi="Verdana"/>
          <w:i/>
          <w:kern w:val="2"/>
          <w:sz w:val="18"/>
          <w:szCs w:val="18"/>
        </w:rPr>
      </w:pPr>
      <w:r>
        <w:rPr>
          <w:rFonts w:ascii="Verdana" w:hAnsi="Verdana"/>
          <w:i/>
          <w:kern w:val="2"/>
          <w:sz w:val="18"/>
        </w:rPr>
        <w:t>Artigo 1.º, parte A, ponto 4</w:t>
      </w:r>
    </w:p>
    <w:p w:rsidR="003C006F" w:rsidRPr="00C5642F" w:rsidRDefault="003C006F" w:rsidP="00E17C57">
      <w:pPr>
        <w:tabs>
          <w:tab w:val="left" w:pos="2268"/>
        </w:tabs>
        <w:ind w:left="2268"/>
        <w:rPr>
          <w:rFonts w:ascii="Verdana" w:hAnsi="Verdana"/>
          <w:kern w:val="2"/>
          <w:sz w:val="18"/>
          <w:szCs w:val="18"/>
        </w:rPr>
      </w:pPr>
      <w:r>
        <w:rPr>
          <w:rFonts w:ascii="Verdana" w:hAnsi="Verdana"/>
          <w:kern w:val="2"/>
          <w:sz w:val="18"/>
        </w:rPr>
        <w:t>Com base no relatório do RIVM supramencionado e na recomendação do BuRO sobre a sinefrina, nele baseada, decidiu-se proibir a adição de m-sinefrina e o-sinefrina a preparações à base de plantas. Da recomendação do BuRO, foi derivada uma quantidade máxima diária de 27 mg de p-sinefrina baseada na ingestão de géneros alimentícios. O referido valor máximo foi inserido no artigo 4.º, n.º 4.</w:t>
      </w:r>
    </w:p>
    <w:p w:rsidR="008250DF" w:rsidRPr="008250DF" w:rsidRDefault="008250DF" w:rsidP="00E17C57">
      <w:pPr>
        <w:tabs>
          <w:tab w:val="left" w:pos="2268"/>
        </w:tabs>
        <w:ind w:left="2268"/>
        <w:rPr>
          <w:rFonts w:ascii="Verdana" w:hAnsi="Verdana"/>
          <w:kern w:val="2"/>
          <w:sz w:val="18"/>
          <w:szCs w:val="18"/>
        </w:rPr>
      </w:pPr>
      <w:r>
        <w:rPr>
          <w:rFonts w:ascii="Verdana" w:hAnsi="Verdana"/>
          <w:kern w:val="2"/>
          <w:sz w:val="18"/>
        </w:rPr>
        <w:t xml:space="preserve">A planta </w:t>
      </w:r>
      <w:r>
        <w:rPr>
          <w:rFonts w:ascii="Verdana" w:hAnsi="Verdana"/>
          <w:i/>
          <w:kern w:val="2"/>
          <w:sz w:val="18"/>
        </w:rPr>
        <w:t>Ricinus communis</w:t>
      </w:r>
      <w:r>
        <w:rPr>
          <w:rFonts w:ascii="Verdana" w:hAnsi="Verdana"/>
          <w:kern w:val="2"/>
          <w:sz w:val="18"/>
        </w:rPr>
        <w:t xml:space="preserve"> foi incluída na parte II da decisão relativa à lei das mercadorias no que se refere a preparações à base de plantas. O atual artigo 4.º, n.º 3, estipula que as preparações à base de plantas não podem conter quaisquer materiais provenientes, na totalidade ou em parte, de </w:t>
      </w:r>
      <w:r>
        <w:rPr>
          <w:rFonts w:ascii="Verdana" w:hAnsi="Verdana"/>
          <w:i/>
          <w:kern w:val="2"/>
          <w:sz w:val="18"/>
        </w:rPr>
        <w:lastRenderedPageBreak/>
        <w:t>Ricinus communis</w:t>
      </w:r>
      <w:r>
        <w:rPr>
          <w:rFonts w:ascii="Verdana" w:hAnsi="Verdana"/>
          <w:kern w:val="2"/>
          <w:sz w:val="18"/>
        </w:rPr>
        <w:t>. O estudo do RIVM</w:t>
      </w:r>
      <w:r>
        <w:rPr>
          <w:rStyle w:val="FootnoteReference"/>
          <w:rFonts w:ascii="Verdana" w:hAnsi="Verdana"/>
          <w:kern w:val="2"/>
          <w:sz w:val="18"/>
        </w:rPr>
        <w:footnoteReference w:id="8"/>
      </w:r>
      <w:r>
        <w:rPr>
          <w:rFonts w:ascii="Verdana" w:hAnsi="Verdana"/>
          <w:kern w:val="2"/>
          <w:sz w:val="18"/>
        </w:rPr>
        <w:t xml:space="preserve"> também indica que a ingestão de até 0,4 g por dia de óleo extraído de sementes de </w:t>
      </w:r>
      <w:r>
        <w:rPr>
          <w:rFonts w:ascii="Verdana" w:hAnsi="Verdana"/>
          <w:i/>
          <w:kern w:val="2"/>
          <w:sz w:val="18"/>
        </w:rPr>
        <w:t>Ricinus communis</w:t>
      </w:r>
      <w:r>
        <w:rPr>
          <w:rFonts w:ascii="Verdana" w:hAnsi="Verdana"/>
          <w:kern w:val="2"/>
          <w:sz w:val="18"/>
        </w:rPr>
        <w:t xml:space="preserve"> não é prejudicial à saúde pública. Por esta razão, é aditado um novo artigo 4.º, n.º 5, à decisão relativa à lei das mercadorias no que se refere a preparações à base de plantas, a fim de permitir o que precede.</w:t>
      </w:r>
    </w:p>
    <w:p w:rsidR="00FC5154" w:rsidRDefault="00FC5154" w:rsidP="00E17C57">
      <w:pPr>
        <w:tabs>
          <w:tab w:val="left" w:pos="2268"/>
        </w:tabs>
        <w:ind w:left="2268"/>
        <w:rPr>
          <w:rFonts w:ascii="Verdana" w:hAnsi="Verdana"/>
          <w:kern w:val="2"/>
          <w:sz w:val="18"/>
          <w:szCs w:val="18"/>
        </w:rPr>
      </w:pPr>
    </w:p>
    <w:p w:rsidR="002714CE" w:rsidRPr="002714CE" w:rsidRDefault="002714CE" w:rsidP="00E17C57">
      <w:pPr>
        <w:keepNext/>
        <w:keepLines/>
        <w:tabs>
          <w:tab w:val="left" w:pos="2268"/>
        </w:tabs>
        <w:ind w:left="2268"/>
        <w:rPr>
          <w:rFonts w:ascii="Verdana" w:hAnsi="Verdana"/>
          <w:i/>
          <w:kern w:val="2"/>
          <w:sz w:val="18"/>
          <w:szCs w:val="18"/>
        </w:rPr>
      </w:pPr>
      <w:r>
        <w:rPr>
          <w:rFonts w:ascii="Verdana" w:hAnsi="Verdana"/>
          <w:i/>
          <w:kern w:val="2"/>
          <w:sz w:val="18"/>
        </w:rPr>
        <w:t>Artigo 1.º, parte B</w:t>
      </w:r>
    </w:p>
    <w:p w:rsidR="002714CE" w:rsidRPr="003D0C77" w:rsidRDefault="002714CE" w:rsidP="00E17C57">
      <w:pPr>
        <w:tabs>
          <w:tab w:val="left" w:pos="2268"/>
        </w:tabs>
        <w:ind w:left="2268"/>
        <w:rPr>
          <w:rFonts w:ascii="Verdana" w:hAnsi="Verdana"/>
          <w:kern w:val="2"/>
          <w:sz w:val="18"/>
          <w:szCs w:val="18"/>
        </w:rPr>
      </w:pPr>
      <w:r>
        <w:rPr>
          <w:rFonts w:ascii="Verdana" w:hAnsi="Verdana"/>
          <w:kern w:val="2"/>
          <w:sz w:val="18"/>
        </w:rPr>
        <w:t>Ao artigo 6.º, é aditado um novo n.º 3. Desse modo, cria-se a possibilidade de emissão de um despacho ministerial que institua regras adicionais relativas à utilização e às doses recomendadas mencionadas nos n.</w:t>
      </w:r>
      <w:r>
        <w:rPr>
          <w:rFonts w:ascii="Verdana" w:hAnsi="Verdana"/>
          <w:kern w:val="2"/>
          <w:sz w:val="18"/>
          <w:vertAlign w:val="superscript"/>
        </w:rPr>
        <w:t>os</w:t>
      </w:r>
      <w:r>
        <w:rPr>
          <w:rFonts w:ascii="Verdana" w:hAnsi="Verdana"/>
          <w:kern w:val="2"/>
          <w:sz w:val="18"/>
        </w:rPr>
        <w:t> 1 e 2. O referido despacho será utilizado para substâncias suscetíveis de ter um impacto adverso na saúde em determinadas condições de utilização e de dosagem. A utilização e a dosagem recomendadas podem ser utilizadas para advertir os consumidores a esse respeito.</w:t>
      </w:r>
    </w:p>
    <w:p w:rsidR="00FC5154" w:rsidRDefault="00FC5154" w:rsidP="00E17C57">
      <w:pPr>
        <w:tabs>
          <w:tab w:val="left" w:pos="2268"/>
        </w:tabs>
        <w:ind w:left="2268"/>
        <w:rPr>
          <w:rFonts w:ascii="Verdana" w:hAnsi="Verdana"/>
          <w:kern w:val="2"/>
          <w:sz w:val="18"/>
          <w:szCs w:val="18"/>
        </w:rPr>
      </w:pPr>
    </w:p>
    <w:p w:rsidR="003143CD" w:rsidRPr="003143CD" w:rsidRDefault="003143CD" w:rsidP="00E17C57">
      <w:pPr>
        <w:keepNext/>
        <w:keepLines/>
        <w:tabs>
          <w:tab w:val="left" w:pos="2268"/>
        </w:tabs>
        <w:ind w:left="2268"/>
        <w:rPr>
          <w:rFonts w:ascii="Verdana" w:hAnsi="Verdana"/>
          <w:i/>
          <w:kern w:val="2"/>
          <w:sz w:val="18"/>
          <w:szCs w:val="18"/>
        </w:rPr>
      </w:pPr>
      <w:r>
        <w:rPr>
          <w:rFonts w:ascii="Verdana" w:hAnsi="Verdana"/>
          <w:i/>
          <w:kern w:val="2"/>
          <w:sz w:val="18"/>
        </w:rPr>
        <w:t>Artigo 1.º, parte C, e parte D, ponto 10</w:t>
      </w:r>
    </w:p>
    <w:p w:rsidR="003143CD" w:rsidRDefault="003143CD" w:rsidP="00E17C57">
      <w:pPr>
        <w:tabs>
          <w:tab w:val="left" w:pos="2268"/>
        </w:tabs>
        <w:ind w:left="2268"/>
        <w:rPr>
          <w:rFonts w:ascii="Verdana" w:hAnsi="Verdana"/>
          <w:kern w:val="2"/>
          <w:sz w:val="18"/>
          <w:szCs w:val="18"/>
        </w:rPr>
      </w:pPr>
      <w:r>
        <w:rPr>
          <w:rFonts w:ascii="Verdana" w:hAnsi="Verdana"/>
          <w:kern w:val="2"/>
          <w:sz w:val="18"/>
        </w:rPr>
        <w:t>A alteração em causa diz respeito a disposições transitórias pormenorizadas.</w:t>
      </w:r>
    </w:p>
    <w:p w:rsidR="00E17C57" w:rsidRDefault="00E17C57" w:rsidP="00E17C57">
      <w:pPr>
        <w:tabs>
          <w:tab w:val="left" w:pos="2268"/>
        </w:tabs>
        <w:ind w:left="2268"/>
        <w:rPr>
          <w:rFonts w:ascii="Verdana" w:hAnsi="Verdana"/>
          <w:kern w:val="2"/>
          <w:sz w:val="18"/>
          <w:szCs w:val="18"/>
        </w:rPr>
      </w:pPr>
    </w:p>
    <w:p w:rsidR="00DE4D7B" w:rsidRPr="00DE4D7B" w:rsidRDefault="00773541" w:rsidP="00E17C57">
      <w:pPr>
        <w:keepNext/>
        <w:keepLines/>
        <w:tabs>
          <w:tab w:val="left" w:pos="2268"/>
        </w:tabs>
        <w:ind w:left="2268"/>
        <w:rPr>
          <w:rFonts w:ascii="Verdana" w:hAnsi="Verdana"/>
          <w:i/>
          <w:kern w:val="2"/>
          <w:sz w:val="18"/>
          <w:szCs w:val="18"/>
        </w:rPr>
      </w:pPr>
      <w:r>
        <w:rPr>
          <w:rFonts w:ascii="Verdana" w:hAnsi="Verdana"/>
          <w:i/>
          <w:kern w:val="2"/>
          <w:sz w:val="18"/>
        </w:rPr>
        <w:t>Artigo 1.º, parte D, pontos 4 a 9</w:t>
      </w:r>
    </w:p>
    <w:p w:rsidR="007C6E9D" w:rsidRDefault="007C6E9D" w:rsidP="00E17C57">
      <w:pPr>
        <w:tabs>
          <w:tab w:val="left" w:pos="2268"/>
        </w:tabs>
        <w:ind w:left="2268"/>
        <w:rPr>
          <w:rFonts w:ascii="Verdana" w:hAnsi="Verdana"/>
          <w:kern w:val="2"/>
          <w:sz w:val="18"/>
          <w:szCs w:val="18"/>
        </w:rPr>
      </w:pPr>
      <w:r>
        <w:rPr>
          <w:rFonts w:ascii="Verdana" w:hAnsi="Verdana"/>
          <w:kern w:val="2"/>
          <w:sz w:val="18"/>
        </w:rPr>
        <w:t>A versão alterada do artigo 4.º, n.º 3, da decisão relativa à lei das mercadorias no que se refere a preparações à base de plantas estipula que as preparações à base de plantas não podem conter quaisquer materiais provenientes, na totalidade ou em parte, de plantas e fungos indicados no anexo. Várias plantas são agora aditadas ao anexo (antiga parte II do anexo), devido ao seu potencial impacto nocivo grave para a saúde humana (artigo 1.º, parte D, ponto 4).</w:t>
      </w:r>
    </w:p>
    <w:p w:rsidR="00DD3086" w:rsidRDefault="00DD3086" w:rsidP="00E17C57">
      <w:pPr>
        <w:tabs>
          <w:tab w:val="left" w:pos="2268"/>
        </w:tabs>
        <w:ind w:left="2268"/>
        <w:rPr>
          <w:rFonts w:ascii="Verdana" w:hAnsi="Verdana"/>
          <w:kern w:val="2"/>
          <w:sz w:val="18"/>
          <w:szCs w:val="18"/>
        </w:rPr>
      </w:pPr>
    </w:p>
    <w:p w:rsidR="007F2C23" w:rsidRDefault="00DD3086" w:rsidP="00E17C57">
      <w:pPr>
        <w:tabs>
          <w:tab w:val="left" w:pos="2268"/>
        </w:tabs>
        <w:ind w:left="2268"/>
        <w:rPr>
          <w:rFonts w:ascii="Verdana" w:hAnsi="Verdana"/>
          <w:kern w:val="2"/>
          <w:sz w:val="18"/>
          <w:szCs w:val="18"/>
        </w:rPr>
      </w:pPr>
      <w:r>
        <w:rPr>
          <w:rFonts w:ascii="Verdana" w:hAnsi="Verdana"/>
          <w:kern w:val="2"/>
          <w:sz w:val="18"/>
        </w:rPr>
        <w:t xml:space="preserve">O artigo 1.º, parte D, pontos 5 a 9, da presente decisão aproveita a oportunidade para corrigir vários lapsos na antiga parte II do anexo. Em primeiro lugar, são corrigidas várias gralhas. Em segundo lugar, agora é claramente indicado que a planta venenosa </w:t>
      </w:r>
      <w:r>
        <w:rPr>
          <w:rFonts w:ascii="Verdana" w:hAnsi="Verdana"/>
          <w:i/>
          <w:kern w:val="2"/>
          <w:sz w:val="18"/>
        </w:rPr>
        <w:t>Bryonia alba</w:t>
      </w:r>
      <w:r>
        <w:rPr>
          <w:rFonts w:ascii="Verdana" w:hAnsi="Verdana"/>
          <w:kern w:val="2"/>
          <w:sz w:val="18"/>
        </w:rPr>
        <w:t xml:space="preserve"> não está relacionada com a </w:t>
      </w:r>
      <w:r>
        <w:rPr>
          <w:rFonts w:ascii="Verdana" w:hAnsi="Verdana"/>
          <w:i/>
          <w:kern w:val="2"/>
          <w:sz w:val="18"/>
        </w:rPr>
        <w:t>Brassica nigra</w:t>
      </w:r>
      <w:r>
        <w:rPr>
          <w:rFonts w:ascii="Verdana" w:hAnsi="Verdana"/>
          <w:kern w:val="2"/>
          <w:sz w:val="18"/>
        </w:rPr>
        <w:t xml:space="preserve"> (mostarda-negra). Antes, tinham sido inadvertidamente colocadas lado a lado no anexo. Agora, surgem uma acima da outra, para clarificar o facto de serem duas plantas distintas.</w:t>
      </w:r>
    </w:p>
    <w:p w:rsidR="00E17C57" w:rsidRDefault="00E17C57" w:rsidP="00E17C57">
      <w:pPr>
        <w:tabs>
          <w:tab w:val="left" w:pos="2268"/>
        </w:tabs>
        <w:ind w:left="2268"/>
        <w:rPr>
          <w:rFonts w:ascii="Verdana" w:hAnsi="Verdana"/>
          <w:kern w:val="2"/>
          <w:sz w:val="18"/>
          <w:szCs w:val="18"/>
        </w:rPr>
      </w:pPr>
    </w:p>
    <w:p w:rsidR="007F2C23" w:rsidRPr="00C93CDF" w:rsidRDefault="007F2C23" w:rsidP="00E17C57">
      <w:pPr>
        <w:keepNext/>
        <w:keepLines/>
        <w:tabs>
          <w:tab w:val="left" w:pos="2268"/>
        </w:tabs>
        <w:ind w:left="2268"/>
        <w:rPr>
          <w:rFonts w:ascii="Verdana" w:hAnsi="Verdana"/>
          <w:i/>
          <w:kern w:val="2"/>
          <w:sz w:val="18"/>
          <w:szCs w:val="18"/>
        </w:rPr>
      </w:pPr>
      <w:r>
        <w:rPr>
          <w:rFonts w:ascii="Verdana" w:hAnsi="Verdana"/>
          <w:i/>
          <w:kern w:val="2"/>
          <w:sz w:val="18"/>
        </w:rPr>
        <w:t>Artigo 2.º</w:t>
      </w:r>
    </w:p>
    <w:p w:rsidR="003143CD" w:rsidRPr="00C93CDF" w:rsidRDefault="00C93CDF" w:rsidP="00E17C57">
      <w:pPr>
        <w:ind w:left="2268"/>
        <w:rPr>
          <w:rFonts w:ascii="Verdana" w:hAnsi="Verdana"/>
          <w:sz w:val="18"/>
          <w:szCs w:val="18"/>
        </w:rPr>
      </w:pPr>
      <w:r>
        <w:rPr>
          <w:rFonts w:ascii="Verdana" w:hAnsi="Verdana"/>
          <w:sz w:val="18"/>
        </w:rPr>
        <w:t>O artigo 4.º, n.º 5, da decisão relativa à lei das mercadorias no que se refere a preparações à base de plantas é aditado ao anexo da decisão relativa à lei das mercadorias no que se refere a sanções administrativas, para que a violação da decisão relativa à lei das mercadorias no que se refere a preparações à base de plantas possa ser penalizada com uma sanção administrativa.</w:t>
      </w:r>
    </w:p>
    <w:p w:rsidR="007F2C23" w:rsidRDefault="007F2C23"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r>
        <w:rPr>
          <w:rFonts w:ascii="Verdana" w:hAnsi="Verdana"/>
          <w:kern w:val="2"/>
          <w:sz w:val="18"/>
        </w:rPr>
        <w:t>O ministro dos Cuidados Médicos,</w:t>
      </w: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Pr="005B4FAB" w:rsidRDefault="003143CD" w:rsidP="00E17C57">
      <w:pPr>
        <w:tabs>
          <w:tab w:val="left" w:pos="2268"/>
        </w:tabs>
        <w:ind w:left="2268"/>
        <w:rPr>
          <w:rFonts w:ascii="Verdana" w:hAnsi="Verdana"/>
          <w:kern w:val="2"/>
          <w:sz w:val="18"/>
          <w:szCs w:val="18"/>
        </w:rPr>
      </w:pPr>
      <w:r>
        <w:rPr>
          <w:rFonts w:ascii="Verdana" w:hAnsi="Verdana"/>
          <w:kern w:val="2"/>
          <w:sz w:val="18"/>
        </w:rPr>
        <w:t>B. J. Bruins</w:t>
      </w:r>
    </w:p>
    <w:sectPr w:rsidR="003143CD" w:rsidRPr="005B4FAB" w:rsidSect="00E17C57">
      <w:headerReference w:type="default" r:id="rId8"/>
      <w:footerReference w:type="default" r:id="rId9"/>
      <w:headerReference w:type="first" r:id="rId10"/>
      <w:footerReference w:type="first" r:id="rId11"/>
      <w:pgSz w:w="11906" w:h="16838" w:code="9"/>
      <w:pgMar w:top="1763" w:right="1826" w:bottom="1134" w:left="851" w:header="0" w:footer="4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535" w:rsidRDefault="00DE0535">
      <w:r>
        <w:separator/>
      </w:r>
    </w:p>
  </w:endnote>
  <w:endnote w:type="continuationSeparator" w:id="0">
    <w:p w:rsidR="00DE0535" w:rsidRDefault="00DE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380"/>
      <w:docPartObj>
        <w:docPartGallery w:val="Page Numbers (Bottom of Page)"/>
        <w:docPartUnique/>
      </w:docPartObj>
    </w:sdtPr>
    <w:sdtEndPr/>
    <w:sdtContent>
      <w:p w:rsidR="002E5EAB" w:rsidRDefault="00567EE1">
        <w:pPr>
          <w:pStyle w:val="Footer"/>
          <w:jc w:val="right"/>
        </w:pPr>
        <w:r>
          <w:rPr>
            <w:noProof/>
          </w:rPr>
          <w:fldChar w:fldCharType="begin"/>
        </w:r>
        <w:r>
          <w:rPr>
            <w:noProof/>
          </w:rPr>
          <w:instrText xml:space="preserve"> PAGE   \* MERGEFORMAT </w:instrText>
        </w:r>
        <w:r>
          <w:rPr>
            <w:noProof/>
          </w:rPr>
          <w:fldChar w:fldCharType="separate"/>
        </w:r>
        <w:r w:rsidR="00E1214B">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663189"/>
      <w:docPartObj>
        <w:docPartGallery w:val="Page Numbers (Bottom of Page)"/>
        <w:docPartUnique/>
      </w:docPartObj>
    </w:sdtPr>
    <w:sdtEndPr/>
    <w:sdtContent>
      <w:p w:rsidR="002E5EAB" w:rsidRDefault="00567EE1">
        <w:pPr>
          <w:pStyle w:val="Footer"/>
          <w:jc w:val="right"/>
        </w:pPr>
        <w:r>
          <w:rPr>
            <w:noProof/>
          </w:rPr>
          <w:fldChar w:fldCharType="begin"/>
        </w:r>
        <w:r>
          <w:rPr>
            <w:noProof/>
          </w:rPr>
          <w:instrText xml:space="preserve"> PAGE   \* MERGEFORMAT </w:instrText>
        </w:r>
        <w:r>
          <w:rPr>
            <w:noProof/>
          </w:rPr>
          <w:fldChar w:fldCharType="separate"/>
        </w:r>
        <w:r w:rsidR="00E1214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535" w:rsidRDefault="00DE0535">
      <w:r>
        <w:separator/>
      </w:r>
    </w:p>
  </w:footnote>
  <w:footnote w:type="continuationSeparator" w:id="0">
    <w:p w:rsidR="00DE0535" w:rsidRDefault="00DE0535">
      <w:r>
        <w:continuationSeparator/>
      </w:r>
    </w:p>
  </w:footnote>
  <w:footnote w:id="1">
    <w:p w:rsidR="002E5EAB" w:rsidRPr="004B6695" w:rsidRDefault="002E5EAB" w:rsidP="00B428D8">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O ROW é composto por representantes de empresas (indústria e comércio), dos consumidores, dos ministérios (em especial, o Ministério da Saúde Pública, do Bem-Estar e do Desporto e o Ministério da Agricultura, da Natureza e da Qualidade dos Alimentos) e da Autoridade para a Segurança Alimentar e dos Produtos de Consumo dos Países Baixos [NVWA].</w:t>
      </w:r>
    </w:p>
  </w:footnote>
  <w:footnote w:id="2">
    <w:p w:rsidR="002E5EAB" w:rsidRPr="004B6695" w:rsidRDefault="002E5EAB">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Avaliação do risco da sinefrina, RIVM, 14 de março de 2018, https://www.rivm.nl/Documenten_en_publicaties/Wetenschappelijk/Rapporten/2018/maart/Risk_assessment_of_synephrine</w:t>
      </w:r>
    </w:p>
  </w:footnote>
  <w:footnote w:id="3">
    <w:p w:rsidR="002E5EAB" w:rsidRPr="004B6695" w:rsidRDefault="002E5EAB">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Recomendação do BuRO sobre a ingestão máxima de sinefrina proveniente de preparações à base de plantas, 26 de março de 2018</w:t>
      </w:r>
    </w:p>
  </w:footnote>
  <w:footnote w:id="4">
    <w:p w:rsidR="002E5EAB" w:rsidRPr="004B6695" w:rsidRDefault="002E5EAB" w:rsidP="009345F8">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Diretiva (UE) 2015/1535 do Parlamento Europeu e do Conselho, de 9 de setembro de 2015, relativa a um procedimento de informação no domínio das regulamentações técnicas e das regras relativas aos serviços da sociedade da informação (codificação) (JO L 241 de 2015)</w:t>
      </w:r>
    </w:p>
  </w:footnote>
  <w:footnote w:id="5">
    <w:p w:rsidR="00430B87" w:rsidRPr="004B6695" w:rsidRDefault="00430B87" w:rsidP="00430B87">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Regulamento (CE) n.º 1881/2006 da Comissão, de 19 de dezembro de 2006, que fixa os teores máximos de certos contaminantes presentes nos géneros alimentícios (JO L 364 de 2006)</w:t>
      </w:r>
    </w:p>
  </w:footnote>
  <w:footnote w:id="6">
    <w:p w:rsidR="002E5EAB" w:rsidRPr="004B6695" w:rsidRDefault="002E5EAB" w:rsidP="00FC0162">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RIVM (2008); Avaliação de espécies de </w:t>
      </w:r>
      <w:r>
        <w:rPr>
          <w:rFonts w:ascii="Verdana" w:hAnsi="Verdana"/>
          <w:i/>
          <w:sz w:val="16"/>
        </w:rPr>
        <w:t>Aconitum carmichaelii</w:t>
      </w:r>
      <w:r>
        <w:rPr>
          <w:rFonts w:ascii="Verdana" w:hAnsi="Verdana"/>
          <w:sz w:val="16"/>
        </w:rPr>
        <w:t xml:space="preserve"> RIVM, Centro para as Substâncias e a Avaliação Integrada do Risco [SIR], Bilthoven, 5 de dezembro de 2008</w:t>
      </w:r>
    </w:p>
    <w:p w:rsidR="002E5EAB" w:rsidRPr="004B6695" w:rsidRDefault="002E5EAB" w:rsidP="00FC0162">
      <w:pPr>
        <w:pStyle w:val="FootnoteText"/>
        <w:rPr>
          <w:rFonts w:ascii="Verdana" w:hAnsi="Verdana"/>
          <w:sz w:val="16"/>
          <w:szCs w:val="16"/>
        </w:rPr>
      </w:pPr>
      <w:r>
        <w:rPr>
          <w:rFonts w:ascii="Verdana" w:hAnsi="Verdana"/>
          <w:sz w:val="16"/>
        </w:rPr>
        <w:t>RIVM (2011); Avaliação dos riscos para a saúde de várias substâncias específicas presentes nas preparações à base de plantas RIVM, Centro para as Substâncias e a Avaliação Integrada do Risco [SIR], Bilthoven, 30 de março de 2011</w:t>
      </w:r>
    </w:p>
    <w:p w:rsidR="002E5EAB" w:rsidRPr="004B6695" w:rsidRDefault="002E5EAB" w:rsidP="00FC0162">
      <w:pPr>
        <w:pStyle w:val="FootnoteText"/>
        <w:rPr>
          <w:rFonts w:ascii="Verdana" w:hAnsi="Verdana"/>
          <w:sz w:val="16"/>
          <w:szCs w:val="16"/>
        </w:rPr>
      </w:pPr>
      <w:r>
        <w:rPr>
          <w:rFonts w:ascii="Verdana" w:hAnsi="Verdana"/>
          <w:sz w:val="16"/>
        </w:rPr>
        <w:t>RIVM (2009); Avaliação dos riscos para a saúde de «plantas proibidas»; relatório número 320011002 RIVM, Centro para as Substâncias e a Avaliação Integrada do Risco [SIR], Bilthoven, 15 de junho de 2009</w:t>
      </w:r>
    </w:p>
    <w:p w:rsidR="002E5EAB" w:rsidRPr="004B6695" w:rsidRDefault="002E5EAB" w:rsidP="00FC0162">
      <w:pPr>
        <w:pStyle w:val="FootnoteText"/>
        <w:rPr>
          <w:rFonts w:ascii="Verdana" w:hAnsi="Verdana"/>
          <w:sz w:val="16"/>
          <w:szCs w:val="16"/>
        </w:rPr>
      </w:pPr>
      <w:r>
        <w:rPr>
          <w:rFonts w:ascii="Verdana" w:hAnsi="Verdana"/>
          <w:sz w:val="16"/>
        </w:rPr>
        <w:t xml:space="preserve">RIVM (2009); Avaliação do risco de </w:t>
      </w:r>
      <w:r>
        <w:rPr>
          <w:rFonts w:ascii="Verdana" w:hAnsi="Verdana"/>
          <w:i/>
          <w:sz w:val="16"/>
        </w:rPr>
        <w:t>Pilocarpus jaborandi</w:t>
      </w:r>
      <w:r>
        <w:rPr>
          <w:rFonts w:ascii="Verdana" w:hAnsi="Verdana"/>
          <w:sz w:val="16"/>
        </w:rPr>
        <w:t xml:space="preserve"> RIVM, Centro para as Substâncias e a Avaliação Integrada do Risco [SIR], Bilthoven, 14 de dezembro de 2009</w:t>
      </w:r>
    </w:p>
    <w:p w:rsidR="002E5EAB" w:rsidRPr="004B6695" w:rsidRDefault="002E5EAB" w:rsidP="008E734A">
      <w:pPr>
        <w:pStyle w:val="FootnoteText"/>
        <w:rPr>
          <w:rFonts w:ascii="Verdana" w:hAnsi="Verdana"/>
          <w:sz w:val="16"/>
          <w:szCs w:val="16"/>
        </w:rPr>
      </w:pPr>
      <w:r>
        <w:rPr>
          <w:rFonts w:ascii="Verdana" w:hAnsi="Verdana"/>
          <w:sz w:val="16"/>
        </w:rPr>
        <w:t>RIVM (2010); Avaliação de um pedido de isenção do óleo de rícino ao abrigo da decisão relativa à lei das mercadorias no que se refere a preparações à base de plantas RIVM, Centro para as Substâncias e a Avaliação Integrada do Risco [SIR], Bilthoven, 20 de dezembro de 2010</w:t>
      </w:r>
    </w:p>
  </w:footnote>
  <w:footnote w:id="7">
    <w:p w:rsidR="002E5EAB" w:rsidRPr="004B6695" w:rsidRDefault="002E5EAB" w:rsidP="008E734A">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Regulamento (CE) n.º 1334/2008 do Parlamento Europeu e do Conselho, de 16 de dezembro de 2008, relativo aos aromas e a determinados ingredientes alimentares com propriedades aromatizantes utilizados nos e sobre os géneros alimentícios e que altera o Regulamento (CEE) n.º 1601/91 do Conselho, os Regulamentos (CE) n.º 2232/96 e (CE) n.º 110/2008 e a Diretiva 2000/13/CE (JO L 354 de 2008)</w:t>
      </w:r>
    </w:p>
  </w:footnote>
  <w:footnote w:id="8">
    <w:p w:rsidR="002E5EAB" w:rsidRPr="004B6695" w:rsidRDefault="002E5EAB" w:rsidP="008E734A">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RIVM (2010); Avaliação de um pedido de isenção do óleo de rícino ao abrigo da decisão relativa à lei das mercadorias no que se refere a preparações à base de plantas RIVM, Centro para as Substâncias e a Avaliação Integrada do Risco [SIR], Bilthoven, 20 de dezembro de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B" w:rsidRDefault="002E5EAB">
    <w:pPr>
      <w:pStyle w:val="Header"/>
      <w:spacing w:before="15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B" w:rsidRDefault="002E5EAB">
    <w:pPr>
      <w:pStyle w:val="Header"/>
      <w:spacing w:before="1762" w:line="2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8B080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BC7D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92CD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D42AF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B4278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0A25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5626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E243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30C6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4032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64F44"/>
    <w:multiLevelType w:val="hybridMultilevel"/>
    <w:tmpl w:val="5AA4ABB0"/>
    <w:lvl w:ilvl="0" w:tplc="04090011">
      <w:start w:val="1"/>
      <w:numFmt w:val="decimal"/>
      <w:lvlText w:val="%1)"/>
      <w:lvlJc w:val="left"/>
      <w:pPr>
        <w:ind w:left="2628" w:hanging="360"/>
      </w:pPr>
      <w:rPr>
        <w:rFonts w:hint="default"/>
      </w:rPr>
    </w:lvl>
    <w:lvl w:ilvl="1" w:tplc="04130019">
      <w:start w:val="1"/>
      <w:numFmt w:val="lowerLetter"/>
      <w:lvlText w:val="%2."/>
      <w:lvlJc w:val="left"/>
      <w:pPr>
        <w:ind w:left="3621"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1" w15:restartNumberingAfterBreak="0">
    <w:nsid w:val="09C574D1"/>
    <w:multiLevelType w:val="hybridMultilevel"/>
    <w:tmpl w:val="2F88DA6A"/>
    <w:lvl w:ilvl="0" w:tplc="C8FE2FB6">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2" w15:restartNumberingAfterBreak="0">
    <w:nsid w:val="1A1A0FCE"/>
    <w:multiLevelType w:val="hybridMultilevel"/>
    <w:tmpl w:val="DF9C01E8"/>
    <w:lvl w:ilvl="0" w:tplc="0413000F">
      <w:start w:val="1"/>
      <w:numFmt w:val="decimal"/>
      <w:lvlText w:val="%1."/>
      <w:lvlJc w:val="left"/>
      <w:pPr>
        <w:ind w:left="2988" w:hanging="360"/>
      </w:pPr>
      <w:rPr>
        <w:rFonts w:hint="default"/>
      </w:rPr>
    </w:lvl>
    <w:lvl w:ilvl="1" w:tplc="04090017">
      <w:start w:val="1"/>
      <w:numFmt w:val="lowerLetter"/>
      <w:lvlText w:val="%2)"/>
      <w:lvlJc w:val="left"/>
      <w:pPr>
        <w:ind w:left="3708" w:hanging="360"/>
      </w:pPr>
    </w:lvl>
    <w:lvl w:ilvl="2" w:tplc="0413001B" w:tentative="1">
      <w:start w:val="1"/>
      <w:numFmt w:val="lowerRoman"/>
      <w:lvlText w:val="%3."/>
      <w:lvlJc w:val="right"/>
      <w:pPr>
        <w:ind w:left="4428" w:hanging="180"/>
      </w:pPr>
    </w:lvl>
    <w:lvl w:ilvl="3" w:tplc="0413000F" w:tentative="1">
      <w:start w:val="1"/>
      <w:numFmt w:val="decimal"/>
      <w:lvlText w:val="%4."/>
      <w:lvlJc w:val="left"/>
      <w:pPr>
        <w:ind w:left="5148" w:hanging="360"/>
      </w:pPr>
    </w:lvl>
    <w:lvl w:ilvl="4" w:tplc="04130019" w:tentative="1">
      <w:start w:val="1"/>
      <w:numFmt w:val="lowerLetter"/>
      <w:lvlText w:val="%5."/>
      <w:lvlJc w:val="left"/>
      <w:pPr>
        <w:ind w:left="5868" w:hanging="360"/>
      </w:pPr>
    </w:lvl>
    <w:lvl w:ilvl="5" w:tplc="0413001B" w:tentative="1">
      <w:start w:val="1"/>
      <w:numFmt w:val="lowerRoman"/>
      <w:lvlText w:val="%6."/>
      <w:lvlJc w:val="right"/>
      <w:pPr>
        <w:ind w:left="6588" w:hanging="180"/>
      </w:pPr>
    </w:lvl>
    <w:lvl w:ilvl="6" w:tplc="0413000F" w:tentative="1">
      <w:start w:val="1"/>
      <w:numFmt w:val="decimal"/>
      <w:lvlText w:val="%7."/>
      <w:lvlJc w:val="left"/>
      <w:pPr>
        <w:ind w:left="7308" w:hanging="360"/>
      </w:pPr>
    </w:lvl>
    <w:lvl w:ilvl="7" w:tplc="04130019" w:tentative="1">
      <w:start w:val="1"/>
      <w:numFmt w:val="lowerLetter"/>
      <w:lvlText w:val="%8."/>
      <w:lvlJc w:val="left"/>
      <w:pPr>
        <w:ind w:left="8028" w:hanging="360"/>
      </w:pPr>
    </w:lvl>
    <w:lvl w:ilvl="8" w:tplc="0413001B" w:tentative="1">
      <w:start w:val="1"/>
      <w:numFmt w:val="lowerRoman"/>
      <w:lvlText w:val="%9."/>
      <w:lvlJc w:val="right"/>
      <w:pPr>
        <w:ind w:left="8748" w:hanging="180"/>
      </w:pPr>
    </w:lvl>
  </w:abstractNum>
  <w:abstractNum w:abstractNumId="13" w15:restartNumberingAfterBreak="0">
    <w:nsid w:val="26AA06D4"/>
    <w:multiLevelType w:val="hybridMultilevel"/>
    <w:tmpl w:val="FF7CE7A2"/>
    <w:lvl w:ilvl="0" w:tplc="04130019">
      <w:start w:val="1"/>
      <w:numFmt w:val="decimal"/>
      <w:lvlText w:val="%1."/>
      <w:lvlJc w:val="left"/>
      <w:pPr>
        <w:ind w:left="2628" w:hanging="360"/>
      </w:p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4" w15:restartNumberingAfterBreak="0">
    <w:nsid w:val="3D5A72BB"/>
    <w:multiLevelType w:val="hybridMultilevel"/>
    <w:tmpl w:val="9BC67F08"/>
    <w:lvl w:ilvl="0" w:tplc="0413000F">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5" w15:restartNumberingAfterBreak="0">
    <w:nsid w:val="46F72CB3"/>
    <w:multiLevelType w:val="hybridMultilevel"/>
    <w:tmpl w:val="26FCFD12"/>
    <w:lvl w:ilvl="0" w:tplc="2BEA3D76">
      <w:numFmt w:val="bullet"/>
      <w:lvlText w:val="-"/>
      <w:lvlJc w:val="left"/>
      <w:pPr>
        <w:ind w:left="2628" w:hanging="360"/>
      </w:pPr>
      <w:rPr>
        <w:rFonts w:ascii="Verdana" w:eastAsia="Times New Roman" w:hAnsi="Verdana" w:cs="Times New Roman"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16" w15:restartNumberingAfterBreak="0">
    <w:nsid w:val="4B0679D7"/>
    <w:multiLevelType w:val="hybridMultilevel"/>
    <w:tmpl w:val="147C4076"/>
    <w:lvl w:ilvl="0" w:tplc="C8FE2FB6">
      <w:start w:val="1"/>
      <w:numFmt w:val="decimal"/>
      <w:lvlText w:val="%1."/>
      <w:lvlJc w:val="left"/>
      <w:pPr>
        <w:ind w:left="2628" w:hanging="360"/>
      </w:pPr>
      <w:rPr>
        <w:rFonts w:hint="default"/>
      </w:rPr>
    </w:lvl>
    <w:lvl w:ilvl="1" w:tplc="04130019">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7" w15:restartNumberingAfterBreak="0">
    <w:nsid w:val="4C8852E2"/>
    <w:multiLevelType w:val="hybridMultilevel"/>
    <w:tmpl w:val="D4F8BAFA"/>
    <w:lvl w:ilvl="0" w:tplc="04130019">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8" w15:restartNumberingAfterBreak="0">
    <w:nsid w:val="507B3795"/>
    <w:multiLevelType w:val="hybridMultilevel"/>
    <w:tmpl w:val="014AC4AA"/>
    <w:lvl w:ilvl="0" w:tplc="04090011">
      <w:start w:val="1"/>
      <w:numFmt w:val="decimal"/>
      <w:lvlText w:val="%1)"/>
      <w:lvlJc w:val="left"/>
      <w:pPr>
        <w:ind w:left="2838" w:hanging="57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9" w15:restartNumberingAfterBreak="0">
    <w:nsid w:val="568E4EC0"/>
    <w:multiLevelType w:val="hybridMultilevel"/>
    <w:tmpl w:val="F878D528"/>
    <w:lvl w:ilvl="0" w:tplc="C02E45FA">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20" w15:restartNumberingAfterBreak="0">
    <w:nsid w:val="7DAE4CB9"/>
    <w:multiLevelType w:val="hybridMultilevel"/>
    <w:tmpl w:val="BE86C108"/>
    <w:lvl w:ilvl="0" w:tplc="2480A6F6">
      <w:start w:val="1"/>
      <w:numFmt w:val="decimal"/>
      <w:lvlText w:val="«%1."/>
      <w:lvlJc w:val="left"/>
      <w:pPr>
        <w:ind w:left="3198" w:hanging="360"/>
      </w:pPr>
      <w:rPr>
        <w:rFonts w:hint="default"/>
      </w:rPr>
    </w:lvl>
    <w:lvl w:ilvl="1" w:tplc="04130019" w:tentative="1">
      <w:start w:val="1"/>
      <w:numFmt w:val="lowerLetter"/>
      <w:lvlText w:val="%2."/>
      <w:lvlJc w:val="left"/>
      <w:pPr>
        <w:ind w:left="3918" w:hanging="360"/>
      </w:pPr>
    </w:lvl>
    <w:lvl w:ilvl="2" w:tplc="0413001B" w:tentative="1">
      <w:start w:val="1"/>
      <w:numFmt w:val="lowerRoman"/>
      <w:lvlText w:val="%3."/>
      <w:lvlJc w:val="right"/>
      <w:pPr>
        <w:ind w:left="4638" w:hanging="180"/>
      </w:pPr>
    </w:lvl>
    <w:lvl w:ilvl="3" w:tplc="0413000F" w:tentative="1">
      <w:start w:val="1"/>
      <w:numFmt w:val="decimal"/>
      <w:lvlText w:val="%4."/>
      <w:lvlJc w:val="left"/>
      <w:pPr>
        <w:ind w:left="5358" w:hanging="360"/>
      </w:pPr>
    </w:lvl>
    <w:lvl w:ilvl="4" w:tplc="04130019" w:tentative="1">
      <w:start w:val="1"/>
      <w:numFmt w:val="lowerLetter"/>
      <w:lvlText w:val="%5."/>
      <w:lvlJc w:val="left"/>
      <w:pPr>
        <w:ind w:left="6078" w:hanging="360"/>
      </w:pPr>
    </w:lvl>
    <w:lvl w:ilvl="5" w:tplc="0413001B" w:tentative="1">
      <w:start w:val="1"/>
      <w:numFmt w:val="lowerRoman"/>
      <w:lvlText w:val="%6."/>
      <w:lvlJc w:val="right"/>
      <w:pPr>
        <w:ind w:left="6798" w:hanging="180"/>
      </w:pPr>
    </w:lvl>
    <w:lvl w:ilvl="6" w:tplc="0413000F" w:tentative="1">
      <w:start w:val="1"/>
      <w:numFmt w:val="decimal"/>
      <w:lvlText w:val="%7."/>
      <w:lvlJc w:val="left"/>
      <w:pPr>
        <w:ind w:left="7518" w:hanging="360"/>
      </w:pPr>
    </w:lvl>
    <w:lvl w:ilvl="7" w:tplc="04130019" w:tentative="1">
      <w:start w:val="1"/>
      <w:numFmt w:val="lowerLetter"/>
      <w:lvlText w:val="%8."/>
      <w:lvlJc w:val="left"/>
      <w:pPr>
        <w:ind w:left="8238" w:hanging="360"/>
      </w:pPr>
    </w:lvl>
    <w:lvl w:ilvl="8" w:tplc="0413001B" w:tentative="1">
      <w:start w:val="1"/>
      <w:numFmt w:val="lowerRoman"/>
      <w:lvlText w:val="%9."/>
      <w:lvlJc w:val="right"/>
      <w:pPr>
        <w:ind w:left="895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10"/>
  </w:num>
  <w:num w:numId="24">
    <w:abstractNumId w:val="11"/>
  </w:num>
  <w:num w:numId="25">
    <w:abstractNumId w:val="15"/>
  </w:num>
  <w:num w:numId="26">
    <w:abstractNumId w:val="13"/>
  </w:num>
  <w:num w:numId="27">
    <w:abstractNumId w:val="14"/>
  </w:num>
  <w:num w:numId="28">
    <w:abstractNumId w:val="17"/>
  </w:num>
  <w:num w:numId="29">
    <w:abstractNumId w:val="18"/>
  </w:num>
  <w:num w:numId="30">
    <w:abstractNumId w:val="2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nl-NL" w:vendorID="9" w:dllVersion="512" w:checkStyle="1"/>
  <w:activeWritingStyle w:appName="MSWord" w:lang="nl-NL" w:vendorID="1" w:dllVersion="512" w:checkStyle="1"/>
  <w:activeWritingStyle w:appName="MSWord" w:lang="pt-PT" w:vendorID="75"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62"/>
    <w:rsid w:val="000306A1"/>
    <w:rsid w:val="000414C9"/>
    <w:rsid w:val="000446F2"/>
    <w:rsid w:val="0004538B"/>
    <w:rsid w:val="000478B3"/>
    <w:rsid w:val="000552D8"/>
    <w:rsid w:val="00060A6E"/>
    <w:rsid w:val="00060CB2"/>
    <w:rsid w:val="00063390"/>
    <w:rsid w:val="000634DB"/>
    <w:rsid w:val="00093369"/>
    <w:rsid w:val="000A1E70"/>
    <w:rsid w:val="000B2822"/>
    <w:rsid w:val="000C18E4"/>
    <w:rsid w:val="000C37A0"/>
    <w:rsid w:val="000E0515"/>
    <w:rsid w:val="000E23EB"/>
    <w:rsid w:val="000E2EAB"/>
    <w:rsid w:val="001037E8"/>
    <w:rsid w:val="00117420"/>
    <w:rsid w:val="001231D7"/>
    <w:rsid w:val="00145ED0"/>
    <w:rsid w:val="00176336"/>
    <w:rsid w:val="00183469"/>
    <w:rsid w:val="001960C4"/>
    <w:rsid w:val="00196262"/>
    <w:rsid w:val="00196781"/>
    <w:rsid w:val="001C0010"/>
    <w:rsid w:val="001C64DD"/>
    <w:rsid w:val="001E0693"/>
    <w:rsid w:val="001E1936"/>
    <w:rsid w:val="001E6005"/>
    <w:rsid w:val="00223B57"/>
    <w:rsid w:val="00225092"/>
    <w:rsid w:val="002308EC"/>
    <w:rsid w:val="0024053D"/>
    <w:rsid w:val="002476F5"/>
    <w:rsid w:val="00250BDB"/>
    <w:rsid w:val="00256C2B"/>
    <w:rsid w:val="0025703A"/>
    <w:rsid w:val="002708AB"/>
    <w:rsid w:val="002714CE"/>
    <w:rsid w:val="0029085E"/>
    <w:rsid w:val="00292028"/>
    <w:rsid w:val="002921B4"/>
    <w:rsid w:val="00294AEA"/>
    <w:rsid w:val="002A288B"/>
    <w:rsid w:val="002B54FD"/>
    <w:rsid w:val="002C2B74"/>
    <w:rsid w:val="002C445B"/>
    <w:rsid w:val="002D5C67"/>
    <w:rsid w:val="002D79B3"/>
    <w:rsid w:val="002E5EAB"/>
    <w:rsid w:val="002F64D5"/>
    <w:rsid w:val="002F7B3A"/>
    <w:rsid w:val="00305B8E"/>
    <w:rsid w:val="0031322B"/>
    <w:rsid w:val="003143CD"/>
    <w:rsid w:val="00317515"/>
    <w:rsid w:val="0032057A"/>
    <w:rsid w:val="003345ED"/>
    <w:rsid w:val="00345C53"/>
    <w:rsid w:val="003545C4"/>
    <w:rsid w:val="00355E9B"/>
    <w:rsid w:val="00370E07"/>
    <w:rsid w:val="003825F1"/>
    <w:rsid w:val="00392359"/>
    <w:rsid w:val="0039728D"/>
    <w:rsid w:val="003B442C"/>
    <w:rsid w:val="003B5162"/>
    <w:rsid w:val="003C006F"/>
    <w:rsid w:val="003C3169"/>
    <w:rsid w:val="003C7364"/>
    <w:rsid w:val="003D0C77"/>
    <w:rsid w:val="0040189C"/>
    <w:rsid w:val="00401912"/>
    <w:rsid w:val="004165B5"/>
    <w:rsid w:val="00420744"/>
    <w:rsid w:val="00421AAD"/>
    <w:rsid w:val="0042448A"/>
    <w:rsid w:val="0043098B"/>
    <w:rsid w:val="00430B87"/>
    <w:rsid w:val="0044067E"/>
    <w:rsid w:val="00443563"/>
    <w:rsid w:val="0045127A"/>
    <w:rsid w:val="00482F98"/>
    <w:rsid w:val="00485F0F"/>
    <w:rsid w:val="00497A92"/>
    <w:rsid w:val="004B6695"/>
    <w:rsid w:val="004C2327"/>
    <w:rsid w:val="004C3496"/>
    <w:rsid w:val="004E3FE4"/>
    <w:rsid w:val="004E4918"/>
    <w:rsid w:val="00500044"/>
    <w:rsid w:val="005016F0"/>
    <w:rsid w:val="005059AF"/>
    <w:rsid w:val="00510BBD"/>
    <w:rsid w:val="0051720D"/>
    <w:rsid w:val="005333BE"/>
    <w:rsid w:val="005441BF"/>
    <w:rsid w:val="00550AD8"/>
    <w:rsid w:val="00551657"/>
    <w:rsid w:val="00557876"/>
    <w:rsid w:val="0055791C"/>
    <w:rsid w:val="005600DD"/>
    <w:rsid w:val="005621C2"/>
    <w:rsid w:val="00567EE1"/>
    <w:rsid w:val="00576D35"/>
    <w:rsid w:val="00583D07"/>
    <w:rsid w:val="00586978"/>
    <w:rsid w:val="00587945"/>
    <w:rsid w:val="00591598"/>
    <w:rsid w:val="00592E9C"/>
    <w:rsid w:val="005A1A2C"/>
    <w:rsid w:val="005A65F6"/>
    <w:rsid w:val="005A7F79"/>
    <w:rsid w:val="005B43ED"/>
    <w:rsid w:val="005B4FAB"/>
    <w:rsid w:val="005C6A30"/>
    <w:rsid w:val="005C714F"/>
    <w:rsid w:val="005D7072"/>
    <w:rsid w:val="005E47AF"/>
    <w:rsid w:val="005E4D39"/>
    <w:rsid w:val="005E52AB"/>
    <w:rsid w:val="005E7B28"/>
    <w:rsid w:val="005F32CF"/>
    <w:rsid w:val="005F794F"/>
    <w:rsid w:val="0060213F"/>
    <w:rsid w:val="00610A2C"/>
    <w:rsid w:val="00615E9D"/>
    <w:rsid w:val="00624543"/>
    <w:rsid w:val="00643157"/>
    <w:rsid w:val="0064439B"/>
    <w:rsid w:val="00646A87"/>
    <w:rsid w:val="00652AEA"/>
    <w:rsid w:val="006636BC"/>
    <w:rsid w:val="00670294"/>
    <w:rsid w:val="0067749E"/>
    <w:rsid w:val="006A4A7D"/>
    <w:rsid w:val="006B479D"/>
    <w:rsid w:val="006E531C"/>
    <w:rsid w:val="006F5217"/>
    <w:rsid w:val="00712DF2"/>
    <w:rsid w:val="00715CA8"/>
    <w:rsid w:val="00727080"/>
    <w:rsid w:val="00730004"/>
    <w:rsid w:val="00731C2B"/>
    <w:rsid w:val="00732703"/>
    <w:rsid w:val="00732DEB"/>
    <w:rsid w:val="00735C87"/>
    <w:rsid w:val="00737E1C"/>
    <w:rsid w:val="00740EC3"/>
    <w:rsid w:val="00757FD1"/>
    <w:rsid w:val="00761835"/>
    <w:rsid w:val="007640A4"/>
    <w:rsid w:val="00773541"/>
    <w:rsid w:val="007747CE"/>
    <w:rsid w:val="00775921"/>
    <w:rsid w:val="00787FE4"/>
    <w:rsid w:val="007A400F"/>
    <w:rsid w:val="007A7A68"/>
    <w:rsid w:val="007C1DC6"/>
    <w:rsid w:val="007C6E9D"/>
    <w:rsid w:val="007C792C"/>
    <w:rsid w:val="007D0DFA"/>
    <w:rsid w:val="007D3727"/>
    <w:rsid w:val="007E2295"/>
    <w:rsid w:val="007E7D62"/>
    <w:rsid w:val="007F08F8"/>
    <w:rsid w:val="007F2C23"/>
    <w:rsid w:val="00811562"/>
    <w:rsid w:val="00816861"/>
    <w:rsid w:val="00817257"/>
    <w:rsid w:val="008179B7"/>
    <w:rsid w:val="008250DF"/>
    <w:rsid w:val="00835F89"/>
    <w:rsid w:val="00837AE7"/>
    <w:rsid w:val="00843D1D"/>
    <w:rsid w:val="008534C5"/>
    <w:rsid w:val="00861CD2"/>
    <w:rsid w:val="008952DA"/>
    <w:rsid w:val="008A041C"/>
    <w:rsid w:val="008A18AA"/>
    <w:rsid w:val="008B033B"/>
    <w:rsid w:val="008B2C8B"/>
    <w:rsid w:val="008C22D4"/>
    <w:rsid w:val="008D0CAF"/>
    <w:rsid w:val="008D38B6"/>
    <w:rsid w:val="008D69EA"/>
    <w:rsid w:val="008E734A"/>
    <w:rsid w:val="008F0589"/>
    <w:rsid w:val="009016D1"/>
    <w:rsid w:val="00932A51"/>
    <w:rsid w:val="009345F8"/>
    <w:rsid w:val="0093487E"/>
    <w:rsid w:val="0095665C"/>
    <w:rsid w:val="00967BB6"/>
    <w:rsid w:val="00967D68"/>
    <w:rsid w:val="009737E5"/>
    <w:rsid w:val="00973FE4"/>
    <w:rsid w:val="009806E1"/>
    <w:rsid w:val="0098275F"/>
    <w:rsid w:val="0098725C"/>
    <w:rsid w:val="009E455E"/>
    <w:rsid w:val="009F3CE5"/>
    <w:rsid w:val="00A04453"/>
    <w:rsid w:val="00A27E62"/>
    <w:rsid w:val="00A31DC6"/>
    <w:rsid w:val="00A33B8D"/>
    <w:rsid w:val="00A351C9"/>
    <w:rsid w:val="00A46CDA"/>
    <w:rsid w:val="00A47007"/>
    <w:rsid w:val="00A5016D"/>
    <w:rsid w:val="00A53898"/>
    <w:rsid w:val="00A67444"/>
    <w:rsid w:val="00A74EF0"/>
    <w:rsid w:val="00A76E98"/>
    <w:rsid w:val="00A82C01"/>
    <w:rsid w:val="00A82D46"/>
    <w:rsid w:val="00A82F87"/>
    <w:rsid w:val="00A97A54"/>
    <w:rsid w:val="00AA7461"/>
    <w:rsid w:val="00AB3B66"/>
    <w:rsid w:val="00AB4972"/>
    <w:rsid w:val="00AB497F"/>
    <w:rsid w:val="00AD2912"/>
    <w:rsid w:val="00AD2E4A"/>
    <w:rsid w:val="00AE02B0"/>
    <w:rsid w:val="00AF5E53"/>
    <w:rsid w:val="00B01382"/>
    <w:rsid w:val="00B01BA3"/>
    <w:rsid w:val="00B02BEE"/>
    <w:rsid w:val="00B207F7"/>
    <w:rsid w:val="00B24606"/>
    <w:rsid w:val="00B32311"/>
    <w:rsid w:val="00B34ABB"/>
    <w:rsid w:val="00B41683"/>
    <w:rsid w:val="00B41BE2"/>
    <w:rsid w:val="00B428D8"/>
    <w:rsid w:val="00B44ECE"/>
    <w:rsid w:val="00B46E21"/>
    <w:rsid w:val="00B5019B"/>
    <w:rsid w:val="00B556CF"/>
    <w:rsid w:val="00B56093"/>
    <w:rsid w:val="00B561EB"/>
    <w:rsid w:val="00B64698"/>
    <w:rsid w:val="00B67E83"/>
    <w:rsid w:val="00B71129"/>
    <w:rsid w:val="00B72FAF"/>
    <w:rsid w:val="00B80666"/>
    <w:rsid w:val="00B874E0"/>
    <w:rsid w:val="00BB02A9"/>
    <w:rsid w:val="00BB07D4"/>
    <w:rsid w:val="00BB11AA"/>
    <w:rsid w:val="00BB551C"/>
    <w:rsid w:val="00BB70CC"/>
    <w:rsid w:val="00BB7CCF"/>
    <w:rsid w:val="00BC6861"/>
    <w:rsid w:val="00BD2594"/>
    <w:rsid w:val="00BF3143"/>
    <w:rsid w:val="00BF3F64"/>
    <w:rsid w:val="00C4141A"/>
    <w:rsid w:val="00C4350A"/>
    <w:rsid w:val="00C50FE3"/>
    <w:rsid w:val="00C53758"/>
    <w:rsid w:val="00C5642F"/>
    <w:rsid w:val="00C61D5C"/>
    <w:rsid w:val="00C778A3"/>
    <w:rsid w:val="00C82775"/>
    <w:rsid w:val="00C93CDF"/>
    <w:rsid w:val="00CA2E3C"/>
    <w:rsid w:val="00CB5A04"/>
    <w:rsid w:val="00CC5BEA"/>
    <w:rsid w:val="00CD5C43"/>
    <w:rsid w:val="00CE5084"/>
    <w:rsid w:val="00CE52C4"/>
    <w:rsid w:val="00D107D4"/>
    <w:rsid w:val="00D4549F"/>
    <w:rsid w:val="00D50F33"/>
    <w:rsid w:val="00D62430"/>
    <w:rsid w:val="00D65AD6"/>
    <w:rsid w:val="00D8580E"/>
    <w:rsid w:val="00D91AE4"/>
    <w:rsid w:val="00D9610F"/>
    <w:rsid w:val="00DA0E75"/>
    <w:rsid w:val="00DA4178"/>
    <w:rsid w:val="00DB2C45"/>
    <w:rsid w:val="00DC2C4E"/>
    <w:rsid w:val="00DD3086"/>
    <w:rsid w:val="00DE0535"/>
    <w:rsid w:val="00DE3374"/>
    <w:rsid w:val="00DE4D7B"/>
    <w:rsid w:val="00E1214B"/>
    <w:rsid w:val="00E14DAF"/>
    <w:rsid w:val="00E17C57"/>
    <w:rsid w:val="00E22A5E"/>
    <w:rsid w:val="00E24A62"/>
    <w:rsid w:val="00E26DBD"/>
    <w:rsid w:val="00E27C82"/>
    <w:rsid w:val="00E33217"/>
    <w:rsid w:val="00E35889"/>
    <w:rsid w:val="00E42020"/>
    <w:rsid w:val="00E44D04"/>
    <w:rsid w:val="00E8182F"/>
    <w:rsid w:val="00E836EA"/>
    <w:rsid w:val="00E906F5"/>
    <w:rsid w:val="00EA0423"/>
    <w:rsid w:val="00EA51D7"/>
    <w:rsid w:val="00EA722D"/>
    <w:rsid w:val="00EC553A"/>
    <w:rsid w:val="00ED086C"/>
    <w:rsid w:val="00ED310D"/>
    <w:rsid w:val="00EE2253"/>
    <w:rsid w:val="00EE6914"/>
    <w:rsid w:val="00F01BC0"/>
    <w:rsid w:val="00F07731"/>
    <w:rsid w:val="00F120A1"/>
    <w:rsid w:val="00F1392F"/>
    <w:rsid w:val="00F276AE"/>
    <w:rsid w:val="00F30DC4"/>
    <w:rsid w:val="00F332A7"/>
    <w:rsid w:val="00F517C1"/>
    <w:rsid w:val="00F51F89"/>
    <w:rsid w:val="00F6533C"/>
    <w:rsid w:val="00F804F7"/>
    <w:rsid w:val="00F80EF2"/>
    <w:rsid w:val="00F82ADF"/>
    <w:rsid w:val="00F9308D"/>
    <w:rsid w:val="00F9721E"/>
    <w:rsid w:val="00FA1BC4"/>
    <w:rsid w:val="00FA61EF"/>
    <w:rsid w:val="00FC0162"/>
    <w:rsid w:val="00FC20CC"/>
    <w:rsid w:val="00FC5154"/>
    <w:rsid w:val="00FC6EAD"/>
    <w:rsid w:val="00FE3678"/>
    <w:rsid w:val="00FF6A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D4E5E69-F782-4442-BE17-C268ABEB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pt-PT"/>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53D"/>
    <w:pPr>
      <w:spacing w:line="260" w:lineRule="exact"/>
    </w:pPr>
    <w:rPr>
      <w:rFonts w:ascii="Univers" w:hAnsi="Univers"/>
    </w:rPr>
  </w:style>
  <w:style w:type="paragraph" w:styleId="Heading1">
    <w:name w:val="heading 1"/>
    <w:basedOn w:val="Normal"/>
    <w:next w:val="Normal"/>
    <w:qFormat/>
    <w:rsid w:val="0024053D"/>
    <w:pPr>
      <w:keepNext/>
      <w:spacing w:before="240" w:after="60" w:line="240" w:lineRule="auto"/>
      <w:outlineLvl w:val="0"/>
    </w:pPr>
    <w:rPr>
      <w:b/>
      <w:kern w:val="28"/>
      <w:sz w:val="28"/>
    </w:rPr>
  </w:style>
  <w:style w:type="paragraph" w:styleId="Heading2">
    <w:name w:val="heading 2"/>
    <w:basedOn w:val="Normal"/>
    <w:next w:val="Normal"/>
    <w:qFormat/>
    <w:rsid w:val="0024053D"/>
    <w:pPr>
      <w:keepNext/>
      <w:spacing w:before="240" w:after="60" w:line="240" w:lineRule="auto"/>
      <w:outlineLvl w:val="1"/>
    </w:pPr>
    <w:rPr>
      <w:rFonts w:ascii="Arial" w:hAnsi="Arial"/>
      <w:b/>
      <w:i/>
      <w:sz w:val="24"/>
    </w:rPr>
  </w:style>
  <w:style w:type="paragraph" w:styleId="Heading3">
    <w:name w:val="heading 3"/>
    <w:basedOn w:val="Normal"/>
    <w:next w:val="Normal"/>
    <w:qFormat/>
    <w:rsid w:val="0024053D"/>
    <w:pPr>
      <w:keepNext/>
      <w:spacing w:before="240" w:after="60" w:line="240" w:lineRule="auto"/>
      <w:outlineLvl w:val="2"/>
    </w:pPr>
    <w:rPr>
      <w:rFonts w:ascii="Arial" w:hAnsi="Arial"/>
      <w:sz w:val="24"/>
    </w:rPr>
  </w:style>
  <w:style w:type="paragraph" w:styleId="Heading4">
    <w:name w:val="heading 4"/>
    <w:basedOn w:val="Normal"/>
    <w:next w:val="Normal"/>
    <w:qFormat/>
    <w:rsid w:val="0024053D"/>
    <w:pPr>
      <w:keepNext/>
      <w:spacing w:before="240" w:after="60" w:line="240" w:lineRule="auto"/>
      <w:outlineLvl w:val="3"/>
    </w:pPr>
    <w:rPr>
      <w:rFonts w:ascii="Arial" w:hAnsi="Arial"/>
      <w:b/>
      <w:sz w:val="24"/>
    </w:rPr>
  </w:style>
  <w:style w:type="paragraph" w:styleId="Heading5">
    <w:name w:val="heading 5"/>
    <w:basedOn w:val="Normal"/>
    <w:next w:val="Normal"/>
    <w:qFormat/>
    <w:rsid w:val="0024053D"/>
    <w:pPr>
      <w:spacing w:before="240" w:after="60" w:line="240" w:lineRule="auto"/>
      <w:outlineLvl w:val="4"/>
    </w:pPr>
    <w:rPr>
      <w:sz w:val="22"/>
    </w:rPr>
  </w:style>
  <w:style w:type="paragraph" w:styleId="Heading6">
    <w:name w:val="heading 6"/>
    <w:basedOn w:val="Normal"/>
    <w:next w:val="Normal"/>
    <w:qFormat/>
    <w:rsid w:val="0024053D"/>
    <w:pPr>
      <w:spacing w:before="240" w:after="60" w:line="240" w:lineRule="auto"/>
      <w:outlineLvl w:val="5"/>
    </w:pPr>
    <w:rPr>
      <w:rFonts w:ascii="Times New Roman" w:hAnsi="Times New Roman"/>
      <w:i/>
      <w:sz w:val="22"/>
    </w:rPr>
  </w:style>
  <w:style w:type="paragraph" w:styleId="Heading7">
    <w:name w:val="heading 7"/>
    <w:basedOn w:val="Normal"/>
    <w:next w:val="Normal"/>
    <w:qFormat/>
    <w:rsid w:val="0024053D"/>
    <w:pPr>
      <w:spacing w:before="240" w:after="60" w:line="240" w:lineRule="auto"/>
      <w:outlineLvl w:val="6"/>
    </w:pPr>
    <w:rPr>
      <w:rFonts w:ascii="Arial" w:hAnsi="Arial"/>
    </w:rPr>
  </w:style>
  <w:style w:type="paragraph" w:styleId="Heading8">
    <w:name w:val="heading 8"/>
    <w:basedOn w:val="Normal"/>
    <w:next w:val="Normal"/>
    <w:qFormat/>
    <w:rsid w:val="0024053D"/>
    <w:pPr>
      <w:spacing w:before="240" w:after="60" w:line="240" w:lineRule="auto"/>
      <w:outlineLvl w:val="7"/>
    </w:pPr>
    <w:rPr>
      <w:rFonts w:ascii="Arial" w:hAnsi="Arial"/>
      <w:i/>
    </w:rPr>
  </w:style>
  <w:style w:type="paragraph" w:styleId="Heading9">
    <w:name w:val="heading 9"/>
    <w:basedOn w:val="Normal"/>
    <w:next w:val="Normal"/>
    <w:qFormat/>
    <w:rsid w:val="0024053D"/>
    <w:p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053D"/>
    <w:pPr>
      <w:tabs>
        <w:tab w:val="center" w:pos="4536"/>
        <w:tab w:val="right" w:pos="9072"/>
      </w:tabs>
      <w:spacing w:line="240" w:lineRule="auto"/>
    </w:pPr>
    <w:rPr>
      <w:spacing w:val="6"/>
      <w:sz w:val="16"/>
    </w:rPr>
  </w:style>
  <w:style w:type="paragraph" w:customStyle="1" w:styleId="Ondertekening">
    <w:name w:val="Ondertekening"/>
    <w:basedOn w:val="Normal"/>
    <w:next w:val="Normal"/>
    <w:rsid w:val="0024053D"/>
    <w:pPr>
      <w:spacing w:before="810" w:line="240" w:lineRule="auto"/>
    </w:pPr>
  </w:style>
  <w:style w:type="paragraph" w:styleId="Footer">
    <w:name w:val="footer"/>
    <w:basedOn w:val="Normal"/>
    <w:link w:val="FooterChar"/>
    <w:uiPriority w:val="99"/>
    <w:rsid w:val="0024053D"/>
    <w:pPr>
      <w:tabs>
        <w:tab w:val="center" w:pos="4536"/>
        <w:tab w:val="right" w:pos="9072"/>
      </w:tabs>
      <w:spacing w:line="240" w:lineRule="auto"/>
    </w:pPr>
  </w:style>
  <w:style w:type="character" w:styleId="PageNumber">
    <w:name w:val="page number"/>
    <w:basedOn w:val="DefaultParagraphFont"/>
    <w:rsid w:val="0024053D"/>
  </w:style>
  <w:style w:type="paragraph" w:styleId="Salutation">
    <w:name w:val="Salutation"/>
    <w:basedOn w:val="Normal"/>
    <w:next w:val="Normal"/>
    <w:rsid w:val="0024053D"/>
    <w:pPr>
      <w:spacing w:line="240" w:lineRule="auto"/>
    </w:pPr>
  </w:style>
  <w:style w:type="paragraph" w:styleId="EnvelopeAddress">
    <w:name w:val="envelope address"/>
    <w:basedOn w:val="Normal"/>
    <w:rsid w:val="0024053D"/>
    <w:pPr>
      <w:framePr w:w="7920" w:h="1980" w:hRule="exact" w:hSpace="141" w:wrap="auto" w:hAnchor="page" w:xAlign="center" w:yAlign="bottom"/>
      <w:spacing w:line="240" w:lineRule="auto"/>
      <w:ind w:left="2880"/>
    </w:pPr>
    <w:rPr>
      <w:rFonts w:ascii="Arial" w:hAnsi="Arial"/>
      <w:sz w:val="24"/>
    </w:rPr>
  </w:style>
  <w:style w:type="paragraph" w:styleId="Closing">
    <w:name w:val="Closing"/>
    <w:basedOn w:val="Normal"/>
    <w:rsid w:val="0024053D"/>
    <w:pPr>
      <w:spacing w:line="240" w:lineRule="auto"/>
      <w:ind w:left="4252"/>
    </w:pPr>
  </w:style>
  <w:style w:type="paragraph" w:styleId="EnvelopeReturn">
    <w:name w:val="envelope return"/>
    <w:basedOn w:val="Normal"/>
    <w:rsid w:val="0024053D"/>
    <w:pPr>
      <w:spacing w:line="240" w:lineRule="auto"/>
    </w:pPr>
    <w:rPr>
      <w:rFonts w:ascii="Arial" w:hAnsi="Arial"/>
    </w:rPr>
  </w:style>
  <w:style w:type="paragraph" w:styleId="MessageHeader">
    <w:name w:val="Message Header"/>
    <w:basedOn w:val="Normal"/>
    <w:rsid w:val="002405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Caption">
    <w:name w:val="caption"/>
    <w:basedOn w:val="Normal"/>
    <w:next w:val="Normal"/>
    <w:qFormat/>
    <w:rsid w:val="0024053D"/>
    <w:pPr>
      <w:spacing w:before="120" w:after="120" w:line="240" w:lineRule="auto"/>
    </w:pPr>
    <w:rPr>
      <w:b/>
    </w:rPr>
  </w:style>
  <w:style w:type="paragraph" w:styleId="BlockText">
    <w:name w:val="Block Text"/>
    <w:basedOn w:val="Normal"/>
    <w:rsid w:val="0024053D"/>
    <w:pPr>
      <w:spacing w:after="120" w:line="240" w:lineRule="auto"/>
      <w:ind w:left="1440" w:right="1440"/>
    </w:pPr>
  </w:style>
  <w:style w:type="paragraph" w:styleId="TableofAuthorities">
    <w:name w:val="table of authorities"/>
    <w:basedOn w:val="Normal"/>
    <w:next w:val="Normal"/>
    <w:semiHidden/>
    <w:rsid w:val="0024053D"/>
    <w:pPr>
      <w:spacing w:line="240" w:lineRule="auto"/>
      <w:ind w:left="200" w:hanging="200"/>
    </w:pPr>
  </w:style>
  <w:style w:type="paragraph" w:styleId="Date">
    <w:name w:val="Date"/>
    <w:basedOn w:val="Normal"/>
    <w:next w:val="Normal"/>
    <w:rsid w:val="0024053D"/>
    <w:pPr>
      <w:spacing w:line="240" w:lineRule="auto"/>
    </w:pPr>
  </w:style>
  <w:style w:type="paragraph" w:styleId="DocumentMap">
    <w:name w:val="Document Map"/>
    <w:basedOn w:val="Normal"/>
    <w:semiHidden/>
    <w:rsid w:val="0024053D"/>
    <w:pPr>
      <w:shd w:val="clear" w:color="auto" w:fill="000080"/>
      <w:spacing w:line="240" w:lineRule="auto"/>
    </w:pPr>
    <w:rPr>
      <w:rFonts w:ascii="Tahoma" w:hAnsi="Tahoma"/>
    </w:rPr>
  </w:style>
  <w:style w:type="paragraph" w:styleId="EndnoteText">
    <w:name w:val="endnote text"/>
    <w:basedOn w:val="Normal"/>
    <w:semiHidden/>
    <w:rsid w:val="0024053D"/>
    <w:pPr>
      <w:spacing w:line="240" w:lineRule="auto"/>
    </w:pPr>
  </w:style>
  <w:style w:type="paragraph" w:styleId="Signature">
    <w:name w:val="Signature"/>
    <w:basedOn w:val="Normal"/>
    <w:rsid w:val="0024053D"/>
    <w:pPr>
      <w:spacing w:line="240" w:lineRule="auto"/>
      <w:ind w:left="4252"/>
    </w:pPr>
  </w:style>
  <w:style w:type="paragraph" w:styleId="Index1">
    <w:name w:val="index 1"/>
    <w:basedOn w:val="Normal"/>
    <w:next w:val="Normal"/>
    <w:semiHidden/>
    <w:rsid w:val="0024053D"/>
    <w:pPr>
      <w:spacing w:line="240" w:lineRule="auto"/>
      <w:ind w:left="200" w:hanging="200"/>
    </w:pPr>
  </w:style>
  <w:style w:type="paragraph" w:styleId="Index2">
    <w:name w:val="index 2"/>
    <w:basedOn w:val="Normal"/>
    <w:next w:val="Normal"/>
    <w:semiHidden/>
    <w:rsid w:val="0024053D"/>
    <w:pPr>
      <w:spacing w:line="240" w:lineRule="auto"/>
      <w:ind w:left="400" w:hanging="200"/>
    </w:pPr>
  </w:style>
  <w:style w:type="paragraph" w:styleId="Index3">
    <w:name w:val="index 3"/>
    <w:basedOn w:val="Normal"/>
    <w:next w:val="Normal"/>
    <w:semiHidden/>
    <w:rsid w:val="0024053D"/>
    <w:pPr>
      <w:spacing w:line="240" w:lineRule="auto"/>
      <w:ind w:left="600" w:hanging="200"/>
    </w:pPr>
  </w:style>
  <w:style w:type="paragraph" w:styleId="Index4">
    <w:name w:val="index 4"/>
    <w:basedOn w:val="Normal"/>
    <w:next w:val="Normal"/>
    <w:semiHidden/>
    <w:rsid w:val="0024053D"/>
    <w:pPr>
      <w:spacing w:line="240" w:lineRule="auto"/>
      <w:ind w:left="800" w:hanging="200"/>
    </w:pPr>
  </w:style>
  <w:style w:type="paragraph" w:styleId="Index5">
    <w:name w:val="index 5"/>
    <w:basedOn w:val="Normal"/>
    <w:next w:val="Normal"/>
    <w:semiHidden/>
    <w:rsid w:val="0024053D"/>
    <w:pPr>
      <w:spacing w:line="240" w:lineRule="auto"/>
      <w:ind w:left="1000" w:hanging="200"/>
    </w:pPr>
  </w:style>
  <w:style w:type="paragraph" w:styleId="Index6">
    <w:name w:val="index 6"/>
    <w:basedOn w:val="Normal"/>
    <w:next w:val="Normal"/>
    <w:semiHidden/>
    <w:rsid w:val="0024053D"/>
    <w:pPr>
      <w:spacing w:line="240" w:lineRule="auto"/>
      <w:ind w:left="1200" w:hanging="200"/>
    </w:pPr>
  </w:style>
  <w:style w:type="paragraph" w:styleId="Index7">
    <w:name w:val="index 7"/>
    <w:basedOn w:val="Normal"/>
    <w:next w:val="Normal"/>
    <w:semiHidden/>
    <w:rsid w:val="0024053D"/>
    <w:pPr>
      <w:spacing w:line="240" w:lineRule="auto"/>
      <w:ind w:left="1400" w:hanging="200"/>
    </w:pPr>
  </w:style>
  <w:style w:type="paragraph" w:styleId="Index8">
    <w:name w:val="index 8"/>
    <w:basedOn w:val="Normal"/>
    <w:next w:val="Normal"/>
    <w:semiHidden/>
    <w:rsid w:val="0024053D"/>
    <w:pPr>
      <w:spacing w:line="240" w:lineRule="auto"/>
      <w:ind w:left="1600" w:hanging="200"/>
    </w:pPr>
  </w:style>
  <w:style w:type="paragraph" w:styleId="Index9">
    <w:name w:val="index 9"/>
    <w:basedOn w:val="Normal"/>
    <w:next w:val="Normal"/>
    <w:semiHidden/>
    <w:rsid w:val="0024053D"/>
    <w:pPr>
      <w:spacing w:line="240" w:lineRule="auto"/>
      <w:ind w:left="1800" w:hanging="200"/>
    </w:pPr>
  </w:style>
  <w:style w:type="paragraph" w:styleId="IndexHeading">
    <w:name w:val="index heading"/>
    <w:basedOn w:val="Normal"/>
    <w:next w:val="Index1"/>
    <w:semiHidden/>
    <w:rsid w:val="0024053D"/>
    <w:pPr>
      <w:spacing w:line="240" w:lineRule="auto"/>
    </w:pPr>
    <w:rPr>
      <w:rFonts w:ascii="Arial" w:hAnsi="Arial"/>
      <w:b/>
    </w:rPr>
  </w:style>
  <w:style w:type="paragraph" w:styleId="TOC1">
    <w:name w:val="toc 1"/>
    <w:basedOn w:val="Normal"/>
    <w:next w:val="Normal"/>
    <w:semiHidden/>
    <w:rsid w:val="0024053D"/>
    <w:pPr>
      <w:spacing w:line="240" w:lineRule="auto"/>
    </w:pPr>
  </w:style>
  <w:style w:type="paragraph" w:styleId="TOC2">
    <w:name w:val="toc 2"/>
    <w:basedOn w:val="Normal"/>
    <w:next w:val="Normal"/>
    <w:semiHidden/>
    <w:rsid w:val="0024053D"/>
    <w:pPr>
      <w:spacing w:line="240" w:lineRule="auto"/>
      <w:ind w:left="200"/>
    </w:pPr>
  </w:style>
  <w:style w:type="paragraph" w:styleId="TOC3">
    <w:name w:val="toc 3"/>
    <w:basedOn w:val="Normal"/>
    <w:next w:val="Normal"/>
    <w:semiHidden/>
    <w:rsid w:val="0024053D"/>
    <w:pPr>
      <w:spacing w:line="240" w:lineRule="auto"/>
      <w:ind w:left="400"/>
    </w:pPr>
  </w:style>
  <w:style w:type="paragraph" w:styleId="TOC4">
    <w:name w:val="toc 4"/>
    <w:basedOn w:val="Normal"/>
    <w:next w:val="Normal"/>
    <w:semiHidden/>
    <w:rsid w:val="0024053D"/>
    <w:pPr>
      <w:spacing w:line="240" w:lineRule="auto"/>
      <w:ind w:left="600"/>
    </w:pPr>
  </w:style>
  <w:style w:type="paragraph" w:styleId="TOC5">
    <w:name w:val="toc 5"/>
    <w:basedOn w:val="Normal"/>
    <w:next w:val="Normal"/>
    <w:semiHidden/>
    <w:rsid w:val="0024053D"/>
    <w:pPr>
      <w:spacing w:line="240" w:lineRule="auto"/>
      <w:ind w:left="800"/>
    </w:pPr>
  </w:style>
  <w:style w:type="paragraph" w:styleId="TOC6">
    <w:name w:val="toc 6"/>
    <w:basedOn w:val="Normal"/>
    <w:next w:val="Normal"/>
    <w:semiHidden/>
    <w:rsid w:val="0024053D"/>
    <w:pPr>
      <w:spacing w:line="240" w:lineRule="auto"/>
      <w:ind w:left="1000"/>
    </w:pPr>
  </w:style>
  <w:style w:type="paragraph" w:styleId="TOC7">
    <w:name w:val="toc 7"/>
    <w:basedOn w:val="Normal"/>
    <w:next w:val="Normal"/>
    <w:semiHidden/>
    <w:rsid w:val="0024053D"/>
    <w:pPr>
      <w:spacing w:line="240" w:lineRule="auto"/>
      <w:ind w:left="1200"/>
    </w:pPr>
  </w:style>
  <w:style w:type="paragraph" w:styleId="TOC8">
    <w:name w:val="toc 8"/>
    <w:basedOn w:val="Normal"/>
    <w:next w:val="Normal"/>
    <w:semiHidden/>
    <w:rsid w:val="0024053D"/>
    <w:pPr>
      <w:spacing w:line="240" w:lineRule="auto"/>
      <w:ind w:left="1400"/>
    </w:pPr>
  </w:style>
  <w:style w:type="paragraph" w:styleId="TOC9">
    <w:name w:val="toc 9"/>
    <w:basedOn w:val="Normal"/>
    <w:next w:val="Normal"/>
    <w:semiHidden/>
    <w:rsid w:val="0024053D"/>
    <w:pPr>
      <w:spacing w:line="240" w:lineRule="auto"/>
      <w:ind w:left="1600"/>
    </w:pPr>
  </w:style>
  <w:style w:type="paragraph" w:styleId="TOAHeading">
    <w:name w:val="toa heading"/>
    <w:basedOn w:val="Normal"/>
    <w:next w:val="Normal"/>
    <w:semiHidden/>
    <w:rsid w:val="0024053D"/>
    <w:pPr>
      <w:spacing w:before="120" w:line="240" w:lineRule="auto"/>
    </w:pPr>
    <w:rPr>
      <w:rFonts w:ascii="Arial" w:hAnsi="Arial"/>
      <w:b/>
      <w:sz w:val="24"/>
    </w:rPr>
  </w:style>
  <w:style w:type="paragraph" w:styleId="List">
    <w:name w:val="List"/>
    <w:basedOn w:val="Normal"/>
    <w:rsid w:val="0024053D"/>
    <w:pPr>
      <w:spacing w:line="240" w:lineRule="auto"/>
      <w:ind w:left="283" w:hanging="283"/>
    </w:pPr>
  </w:style>
  <w:style w:type="paragraph" w:styleId="List2">
    <w:name w:val="List 2"/>
    <w:basedOn w:val="Normal"/>
    <w:rsid w:val="0024053D"/>
    <w:pPr>
      <w:spacing w:line="240" w:lineRule="auto"/>
      <w:ind w:left="566" w:hanging="283"/>
    </w:pPr>
  </w:style>
  <w:style w:type="paragraph" w:styleId="List3">
    <w:name w:val="List 3"/>
    <w:basedOn w:val="Normal"/>
    <w:rsid w:val="0024053D"/>
    <w:pPr>
      <w:spacing w:line="240" w:lineRule="auto"/>
      <w:ind w:left="849" w:hanging="283"/>
    </w:pPr>
  </w:style>
  <w:style w:type="paragraph" w:styleId="List4">
    <w:name w:val="List 4"/>
    <w:basedOn w:val="Normal"/>
    <w:rsid w:val="0024053D"/>
    <w:pPr>
      <w:spacing w:line="240" w:lineRule="auto"/>
      <w:ind w:left="1132" w:hanging="283"/>
    </w:pPr>
  </w:style>
  <w:style w:type="paragraph" w:styleId="List5">
    <w:name w:val="List 5"/>
    <w:basedOn w:val="Normal"/>
    <w:rsid w:val="0024053D"/>
    <w:pPr>
      <w:spacing w:line="240" w:lineRule="auto"/>
      <w:ind w:left="1415" w:hanging="283"/>
    </w:pPr>
  </w:style>
  <w:style w:type="paragraph" w:styleId="TableofFigures">
    <w:name w:val="table of figures"/>
    <w:basedOn w:val="Normal"/>
    <w:next w:val="Normal"/>
    <w:semiHidden/>
    <w:rsid w:val="0024053D"/>
    <w:pPr>
      <w:spacing w:line="240" w:lineRule="auto"/>
      <w:ind w:left="400" w:hanging="400"/>
    </w:pPr>
  </w:style>
  <w:style w:type="paragraph" w:styleId="ListBullet">
    <w:name w:val="List Bullet"/>
    <w:basedOn w:val="Normal"/>
    <w:rsid w:val="0024053D"/>
    <w:pPr>
      <w:numPr>
        <w:numId w:val="11"/>
      </w:numPr>
      <w:spacing w:line="240" w:lineRule="auto"/>
    </w:pPr>
  </w:style>
  <w:style w:type="paragraph" w:styleId="ListBullet2">
    <w:name w:val="List Bullet 2"/>
    <w:basedOn w:val="Normal"/>
    <w:rsid w:val="0024053D"/>
    <w:pPr>
      <w:numPr>
        <w:numId w:val="12"/>
      </w:numPr>
      <w:spacing w:line="240" w:lineRule="auto"/>
    </w:pPr>
  </w:style>
  <w:style w:type="paragraph" w:styleId="ListBullet3">
    <w:name w:val="List Bullet 3"/>
    <w:basedOn w:val="Normal"/>
    <w:rsid w:val="0024053D"/>
    <w:pPr>
      <w:numPr>
        <w:numId w:val="13"/>
      </w:numPr>
      <w:spacing w:line="240" w:lineRule="auto"/>
    </w:pPr>
  </w:style>
  <w:style w:type="paragraph" w:styleId="ListBullet4">
    <w:name w:val="List Bullet 4"/>
    <w:basedOn w:val="Normal"/>
    <w:rsid w:val="0024053D"/>
    <w:pPr>
      <w:numPr>
        <w:numId w:val="14"/>
      </w:numPr>
      <w:spacing w:line="240" w:lineRule="auto"/>
    </w:pPr>
  </w:style>
  <w:style w:type="paragraph" w:styleId="ListBullet5">
    <w:name w:val="List Bullet 5"/>
    <w:basedOn w:val="Normal"/>
    <w:rsid w:val="0024053D"/>
    <w:pPr>
      <w:numPr>
        <w:numId w:val="15"/>
      </w:numPr>
      <w:spacing w:line="240" w:lineRule="auto"/>
    </w:pPr>
  </w:style>
  <w:style w:type="paragraph" w:styleId="ListNumber">
    <w:name w:val="List Number"/>
    <w:basedOn w:val="Normal"/>
    <w:rsid w:val="0024053D"/>
    <w:pPr>
      <w:numPr>
        <w:numId w:val="16"/>
      </w:numPr>
      <w:spacing w:line="240" w:lineRule="auto"/>
    </w:pPr>
  </w:style>
  <w:style w:type="paragraph" w:styleId="ListNumber2">
    <w:name w:val="List Number 2"/>
    <w:basedOn w:val="Normal"/>
    <w:rsid w:val="0024053D"/>
    <w:pPr>
      <w:numPr>
        <w:numId w:val="17"/>
      </w:numPr>
      <w:spacing w:line="240" w:lineRule="auto"/>
    </w:pPr>
  </w:style>
  <w:style w:type="paragraph" w:styleId="ListNumber3">
    <w:name w:val="List Number 3"/>
    <w:basedOn w:val="Normal"/>
    <w:rsid w:val="0024053D"/>
    <w:pPr>
      <w:numPr>
        <w:numId w:val="18"/>
      </w:numPr>
      <w:spacing w:line="240" w:lineRule="auto"/>
    </w:pPr>
  </w:style>
  <w:style w:type="paragraph" w:styleId="ListNumber4">
    <w:name w:val="List Number 4"/>
    <w:basedOn w:val="Normal"/>
    <w:rsid w:val="0024053D"/>
    <w:pPr>
      <w:numPr>
        <w:numId w:val="19"/>
      </w:numPr>
      <w:spacing w:line="240" w:lineRule="auto"/>
    </w:pPr>
  </w:style>
  <w:style w:type="paragraph" w:styleId="ListNumber5">
    <w:name w:val="List Number 5"/>
    <w:basedOn w:val="Normal"/>
    <w:rsid w:val="0024053D"/>
    <w:pPr>
      <w:numPr>
        <w:numId w:val="20"/>
      </w:numPr>
      <w:spacing w:line="240" w:lineRule="auto"/>
    </w:pPr>
  </w:style>
  <w:style w:type="paragraph" w:styleId="ListContinue">
    <w:name w:val="List Continue"/>
    <w:basedOn w:val="Normal"/>
    <w:rsid w:val="0024053D"/>
    <w:pPr>
      <w:spacing w:after="120" w:line="240" w:lineRule="auto"/>
      <w:ind w:left="283"/>
    </w:pPr>
  </w:style>
  <w:style w:type="paragraph" w:styleId="ListContinue2">
    <w:name w:val="List Continue 2"/>
    <w:basedOn w:val="Normal"/>
    <w:rsid w:val="0024053D"/>
    <w:pPr>
      <w:spacing w:after="120" w:line="240" w:lineRule="auto"/>
      <w:ind w:left="566"/>
    </w:pPr>
  </w:style>
  <w:style w:type="paragraph" w:styleId="ListContinue3">
    <w:name w:val="List Continue 3"/>
    <w:basedOn w:val="Normal"/>
    <w:rsid w:val="0024053D"/>
    <w:pPr>
      <w:spacing w:after="120" w:line="240" w:lineRule="auto"/>
      <w:ind w:left="849"/>
    </w:pPr>
  </w:style>
  <w:style w:type="paragraph" w:styleId="ListContinue4">
    <w:name w:val="List Continue 4"/>
    <w:basedOn w:val="Normal"/>
    <w:rsid w:val="0024053D"/>
    <w:pPr>
      <w:spacing w:after="120" w:line="240" w:lineRule="auto"/>
      <w:ind w:left="1132"/>
    </w:pPr>
  </w:style>
  <w:style w:type="paragraph" w:styleId="ListContinue5">
    <w:name w:val="List Continue 5"/>
    <w:basedOn w:val="Normal"/>
    <w:rsid w:val="0024053D"/>
    <w:pPr>
      <w:spacing w:after="120" w:line="240" w:lineRule="auto"/>
      <w:ind w:left="1415"/>
    </w:pPr>
  </w:style>
  <w:style w:type="paragraph" w:styleId="MacroText">
    <w:name w:val="macro"/>
    <w:semiHidden/>
    <w:rsid w:val="0024053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eHeading">
    <w:name w:val="Note Heading"/>
    <w:basedOn w:val="Normal"/>
    <w:next w:val="Normal"/>
    <w:rsid w:val="0024053D"/>
    <w:pPr>
      <w:spacing w:line="240" w:lineRule="auto"/>
    </w:pPr>
  </w:style>
  <w:style w:type="paragraph" w:styleId="PlainText">
    <w:name w:val="Plain Text"/>
    <w:basedOn w:val="Normal"/>
    <w:rsid w:val="0024053D"/>
    <w:pPr>
      <w:spacing w:line="240" w:lineRule="auto"/>
    </w:pPr>
    <w:rPr>
      <w:rFonts w:ascii="Courier New" w:hAnsi="Courier New"/>
    </w:rPr>
  </w:style>
  <w:style w:type="paragraph" w:styleId="BodyText">
    <w:name w:val="Body Text"/>
    <w:basedOn w:val="Normal"/>
    <w:rsid w:val="0024053D"/>
    <w:pPr>
      <w:spacing w:after="120" w:line="240" w:lineRule="auto"/>
    </w:pPr>
  </w:style>
  <w:style w:type="paragraph" w:styleId="BodyText2">
    <w:name w:val="Body Text 2"/>
    <w:basedOn w:val="Normal"/>
    <w:rsid w:val="0024053D"/>
    <w:pPr>
      <w:spacing w:after="120" w:line="480" w:lineRule="auto"/>
    </w:pPr>
  </w:style>
  <w:style w:type="paragraph" w:styleId="BodyText3">
    <w:name w:val="Body Text 3"/>
    <w:basedOn w:val="Normal"/>
    <w:rsid w:val="0024053D"/>
    <w:pPr>
      <w:spacing w:after="120" w:line="240" w:lineRule="auto"/>
    </w:pPr>
    <w:rPr>
      <w:sz w:val="16"/>
    </w:rPr>
  </w:style>
  <w:style w:type="paragraph" w:styleId="BodyTextFirstIndent">
    <w:name w:val="Body Text First Indent"/>
    <w:basedOn w:val="BodyText"/>
    <w:rsid w:val="0024053D"/>
    <w:pPr>
      <w:ind w:firstLine="210"/>
    </w:pPr>
  </w:style>
  <w:style w:type="paragraph" w:styleId="BodyTextIndent">
    <w:name w:val="Body Text Indent"/>
    <w:basedOn w:val="Normal"/>
    <w:rsid w:val="0024053D"/>
    <w:pPr>
      <w:spacing w:after="120" w:line="240" w:lineRule="auto"/>
      <w:ind w:left="283"/>
    </w:pPr>
  </w:style>
  <w:style w:type="paragraph" w:styleId="BodyTextFirstIndent2">
    <w:name w:val="Body Text First Indent 2"/>
    <w:basedOn w:val="BodyTextIndent"/>
    <w:rsid w:val="0024053D"/>
    <w:pPr>
      <w:ind w:firstLine="210"/>
    </w:pPr>
  </w:style>
  <w:style w:type="paragraph" w:styleId="BodyTextIndent2">
    <w:name w:val="Body Text Indent 2"/>
    <w:basedOn w:val="Normal"/>
    <w:rsid w:val="0024053D"/>
    <w:pPr>
      <w:spacing w:after="120" w:line="480" w:lineRule="auto"/>
      <w:ind w:left="283"/>
    </w:pPr>
  </w:style>
  <w:style w:type="paragraph" w:styleId="BodyTextIndent3">
    <w:name w:val="Body Text Indent 3"/>
    <w:basedOn w:val="Normal"/>
    <w:rsid w:val="0024053D"/>
    <w:pPr>
      <w:spacing w:after="120" w:line="240" w:lineRule="auto"/>
      <w:ind w:left="283"/>
    </w:pPr>
    <w:rPr>
      <w:sz w:val="16"/>
    </w:rPr>
  </w:style>
  <w:style w:type="paragraph" w:styleId="NormalIndent">
    <w:name w:val="Normal Indent"/>
    <w:basedOn w:val="Normal"/>
    <w:rsid w:val="0024053D"/>
    <w:pPr>
      <w:spacing w:line="240" w:lineRule="auto"/>
      <w:ind w:left="709"/>
    </w:pPr>
  </w:style>
  <w:style w:type="paragraph" w:styleId="Subtitle">
    <w:name w:val="Subtitle"/>
    <w:basedOn w:val="Normal"/>
    <w:qFormat/>
    <w:rsid w:val="0024053D"/>
    <w:pPr>
      <w:spacing w:after="60" w:line="240" w:lineRule="auto"/>
      <w:jc w:val="center"/>
      <w:outlineLvl w:val="1"/>
    </w:pPr>
    <w:rPr>
      <w:rFonts w:ascii="Arial" w:hAnsi="Arial"/>
      <w:sz w:val="24"/>
    </w:rPr>
  </w:style>
  <w:style w:type="paragraph" w:styleId="CommentText">
    <w:name w:val="annotation text"/>
    <w:basedOn w:val="Normal"/>
    <w:link w:val="CommentTextChar"/>
    <w:uiPriority w:val="99"/>
    <w:semiHidden/>
    <w:rsid w:val="0024053D"/>
    <w:pPr>
      <w:spacing w:line="240" w:lineRule="auto"/>
    </w:pPr>
  </w:style>
  <w:style w:type="paragraph" w:styleId="Title">
    <w:name w:val="Title"/>
    <w:basedOn w:val="Normal"/>
    <w:qFormat/>
    <w:rsid w:val="0024053D"/>
    <w:pPr>
      <w:spacing w:line="240" w:lineRule="auto"/>
    </w:pPr>
    <w:rPr>
      <w:b/>
      <w:sz w:val="36"/>
    </w:rPr>
  </w:style>
  <w:style w:type="paragraph" w:styleId="FootnoteText">
    <w:name w:val="footnote text"/>
    <w:basedOn w:val="Normal"/>
    <w:link w:val="FootnoteTextChar"/>
    <w:uiPriority w:val="99"/>
    <w:semiHidden/>
    <w:rsid w:val="0024053D"/>
    <w:pPr>
      <w:spacing w:line="240" w:lineRule="auto"/>
    </w:pPr>
  </w:style>
  <w:style w:type="paragraph" w:customStyle="1" w:styleId="Hoofdjes">
    <w:name w:val="Hoofdjes"/>
    <w:basedOn w:val="Normal"/>
    <w:rsid w:val="0024053D"/>
    <w:pPr>
      <w:spacing w:line="190" w:lineRule="exact"/>
    </w:pPr>
    <w:rPr>
      <w:spacing w:val="6"/>
      <w:sz w:val="14"/>
    </w:rPr>
  </w:style>
  <w:style w:type="paragraph" w:customStyle="1" w:styleId="Hoofdjesregel13pt">
    <w:name w:val="Hoofdjes regel 13 pt"/>
    <w:basedOn w:val="Hoofdjes"/>
    <w:rsid w:val="0024053D"/>
    <w:pPr>
      <w:spacing w:line="260" w:lineRule="exact"/>
    </w:pPr>
  </w:style>
  <w:style w:type="paragraph" w:customStyle="1" w:styleId="HoofdjesZwart">
    <w:name w:val="HoofdjesZwart"/>
    <w:basedOn w:val="Normal"/>
    <w:rsid w:val="0024053D"/>
    <w:pPr>
      <w:spacing w:line="240" w:lineRule="auto"/>
    </w:pPr>
    <w:rPr>
      <w:spacing w:val="6"/>
      <w:sz w:val="14"/>
    </w:rPr>
  </w:style>
  <w:style w:type="paragraph" w:customStyle="1" w:styleId="Kleinetekst">
    <w:name w:val="Kleine tekst"/>
    <w:basedOn w:val="Normal"/>
    <w:rsid w:val="0024053D"/>
    <w:pPr>
      <w:spacing w:before="57" w:after="57" w:line="240" w:lineRule="auto"/>
    </w:pPr>
    <w:rPr>
      <w:spacing w:val="10"/>
      <w:sz w:val="14"/>
    </w:rPr>
  </w:style>
  <w:style w:type="paragraph" w:customStyle="1" w:styleId="Memohoofd">
    <w:name w:val="Memohoofd"/>
    <w:basedOn w:val="Normal"/>
    <w:rsid w:val="0024053D"/>
    <w:pPr>
      <w:spacing w:line="240" w:lineRule="exact"/>
    </w:pPr>
  </w:style>
  <w:style w:type="paragraph" w:customStyle="1" w:styleId="GroteLetters">
    <w:name w:val="Grote Letters"/>
    <w:basedOn w:val="Normal"/>
    <w:rsid w:val="0024053D"/>
    <w:pPr>
      <w:spacing w:line="364" w:lineRule="exact"/>
    </w:pPr>
    <w:rPr>
      <w:sz w:val="28"/>
    </w:rPr>
  </w:style>
  <w:style w:type="character" w:styleId="FootnoteReference">
    <w:name w:val="footnote reference"/>
    <w:basedOn w:val="DefaultParagraphFont"/>
    <w:uiPriority w:val="99"/>
    <w:semiHidden/>
    <w:rsid w:val="00BB7CCF"/>
    <w:rPr>
      <w:vertAlign w:val="superscript"/>
    </w:rPr>
  </w:style>
  <w:style w:type="character" w:customStyle="1" w:styleId="FooterChar">
    <w:name w:val="Footer Char"/>
    <w:basedOn w:val="DefaultParagraphFont"/>
    <w:link w:val="Footer"/>
    <w:uiPriority w:val="99"/>
    <w:rsid w:val="00BF3F64"/>
    <w:rPr>
      <w:rFonts w:ascii="Univers" w:hAnsi="Univers"/>
    </w:rPr>
  </w:style>
  <w:style w:type="paragraph" w:styleId="ListParagraph">
    <w:name w:val="List Paragraph"/>
    <w:basedOn w:val="Normal"/>
    <w:uiPriority w:val="34"/>
    <w:qFormat/>
    <w:rsid w:val="00225092"/>
    <w:pPr>
      <w:ind w:left="720"/>
      <w:contextualSpacing/>
    </w:pPr>
  </w:style>
  <w:style w:type="character" w:styleId="Hyperlink">
    <w:name w:val="Hyperlink"/>
    <w:basedOn w:val="DefaultParagraphFont"/>
    <w:rsid w:val="00DD3086"/>
    <w:rPr>
      <w:color w:val="0000FF" w:themeColor="hyperlink"/>
      <w:u w:val="single"/>
    </w:rPr>
  </w:style>
  <w:style w:type="character" w:styleId="CommentReference">
    <w:name w:val="annotation reference"/>
    <w:basedOn w:val="DefaultParagraphFont"/>
    <w:uiPriority w:val="99"/>
    <w:rsid w:val="00FA1BC4"/>
    <w:rPr>
      <w:sz w:val="16"/>
      <w:szCs w:val="16"/>
    </w:rPr>
  </w:style>
  <w:style w:type="paragraph" w:styleId="CommentSubject">
    <w:name w:val="annotation subject"/>
    <w:basedOn w:val="CommentText"/>
    <w:next w:val="CommentText"/>
    <w:link w:val="CommentSubjectChar"/>
    <w:rsid w:val="00FA1BC4"/>
    <w:rPr>
      <w:b/>
      <w:bCs/>
    </w:rPr>
  </w:style>
  <w:style w:type="character" w:customStyle="1" w:styleId="CommentTextChar">
    <w:name w:val="Comment Text Char"/>
    <w:basedOn w:val="DefaultParagraphFont"/>
    <w:link w:val="CommentText"/>
    <w:uiPriority w:val="99"/>
    <w:semiHidden/>
    <w:rsid w:val="00FA1BC4"/>
    <w:rPr>
      <w:rFonts w:ascii="Univers" w:hAnsi="Univers"/>
    </w:rPr>
  </w:style>
  <w:style w:type="character" w:customStyle="1" w:styleId="CommentSubjectChar">
    <w:name w:val="Comment Subject Char"/>
    <w:basedOn w:val="CommentTextChar"/>
    <w:link w:val="CommentSubject"/>
    <w:rsid w:val="00FA1BC4"/>
    <w:rPr>
      <w:rFonts w:ascii="Univers" w:hAnsi="Univers"/>
    </w:rPr>
  </w:style>
  <w:style w:type="paragraph" w:styleId="BalloonText">
    <w:name w:val="Balloon Text"/>
    <w:basedOn w:val="Normal"/>
    <w:link w:val="BalloonTextChar"/>
    <w:rsid w:val="00FA1BC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1BC4"/>
    <w:rPr>
      <w:rFonts w:ascii="Tahoma" w:hAnsi="Tahoma" w:cs="Tahoma"/>
      <w:sz w:val="16"/>
      <w:szCs w:val="16"/>
    </w:rPr>
  </w:style>
  <w:style w:type="paragraph" w:styleId="Revision">
    <w:name w:val="Revision"/>
    <w:hidden/>
    <w:uiPriority w:val="99"/>
    <w:semiHidden/>
    <w:rsid w:val="00F80EF2"/>
    <w:rPr>
      <w:rFonts w:ascii="Univers" w:hAnsi="Univers"/>
    </w:rPr>
  </w:style>
  <w:style w:type="character" w:customStyle="1" w:styleId="FootnoteTextChar">
    <w:name w:val="Footnote Text Char"/>
    <w:basedOn w:val="DefaultParagraphFont"/>
    <w:link w:val="FootnoteText"/>
    <w:uiPriority w:val="99"/>
    <w:semiHidden/>
    <w:rsid w:val="009345F8"/>
    <w:rPr>
      <w:rFonts w:ascii="Univers" w:hAnsi="Univers"/>
    </w:rPr>
  </w:style>
  <w:style w:type="paragraph" w:customStyle="1" w:styleId="Huisstijl-Aanhef">
    <w:name w:val="Huisstijl - Aanhef"/>
    <w:basedOn w:val="Normal"/>
    <w:rsid w:val="00B56093"/>
    <w:pPr>
      <w:widowControl w:val="0"/>
      <w:suppressAutoHyphens/>
      <w:autoSpaceDN w:val="0"/>
      <w:spacing w:before="100" w:after="240" w:line="240" w:lineRule="exact"/>
      <w:textAlignment w:val="baseline"/>
    </w:pPr>
    <w:rPr>
      <w:rFonts w:ascii="Verdana" w:eastAsia="DejaVu Sans" w:hAnsi="Verdana" w:cs="Lohit Hindi"/>
      <w:kern w:val="3"/>
      <w:sz w:val="18"/>
      <w:szCs w:val="24"/>
    </w:rPr>
  </w:style>
  <w:style w:type="table" w:styleId="TableGrid">
    <w:name w:val="Table Grid"/>
    <w:basedOn w:val="TableNormal"/>
    <w:uiPriority w:val="59"/>
    <w:rsid w:val="00B67E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141476">
      <w:bodyDiv w:val="1"/>
      <w:marLeft w:val="0"/>
      <w:marRight w:val="0"/>
      <w:marTop w:val="0"/>
      <w:marBottom w:val="0"/>
      <w:divBdr>
        <w:top w:val="none" w:sz="0" w:space="0" w:color="auto"/>
        <w:left w:val="none" w:sz="0" w:space="0" w:color="auto"/>
        <w:bottom w:val="none" w:sz="0" w:space="0" w:color="auto"/>
        <w:right w:val="none" w:sz="0" w:space="0" w:color="auto"/>
      </w:divBdr>
    </w:div>
    <w:div w:id="1425371885">
      <w:bodyDiv w:val="1"/>
      <w:marLeft w:val="0"/>
      <w:marRight w:val="0"/>
      <w:marTop w:val="0"/>
      <w:marBottom w:val="0"/>
      <w:divBdr>
        <w:top w:val="none" w:sz="0" w:space="0" w:color="auto"/>
        <w:left w:val="none" w:sz="0" w:space="0" w:color="auto"/>
        <w:bottom w:val="none" w:sz="0" w:space="0" w:color="auto"/>
        <w:right w:val="none" w:sz="0" w:space="0" w:color="auto"/>
      </w:divBdr>
    </w:div>
    <w:div w:id="175015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JABLONENSETS\SJABLONEN\VWS\VOORDRACHT%20TBV%20RAAD%20VAN%20STATE.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277F8-5B4F-45A7-ABF0-9ACA21BC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VOORDRACHT TBV RAAD VAN STATE.DOT</Template>
  <TotalTime>19</TotalTime>
  <Pages>8</Pages>
  <Words>2603</Words>
  <Characters>14843</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Centric Training - (020) 523 04 00</Company>
  <LinksUpToDate>false</LinksUpToDate>
  <CharactersWithSpaces>17412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Beheerder</dc:creator>
  <cp:lastModifiedBy>SANTOS, Susana</cp:lastModifiedBy>
  <cp:revision>7</cp:revision>
  <cp:lastPrinted>2019-05-29T13:48:00Z</cp:lastPrinted>
  <dcterms:created xsi:type="dcterms:W3CDTF">2019-07-08T12:56:00Z</dcterms:created>
  <dcterms:modified xsi:type="dcterms:W3CDTF">2019-07-22T11:53:00Z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Minuut">
    <vt:lpwstr>Origineel</vt:lpwstr>
  </property>
</Properties>
</file>