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E37414" w:rsidRDefault="004E4248">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2019 m. sausio 7 d.</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2659C9" w:rsidRPr="00B00403" w:rsidRDefault="002659C9" w:rsidP="002659C9">
      <w:pPr>
        <w:pStyle w:val="PlainText"/>
        <w:rPr>
          <w:rFonts w:ascii="Courier New" w:hAnsi="Courier New" w:cs="Courier New"/>
          <w:sz w:val="20"/>
          <w:szCs w:val="20"/>
        </w:rPr>
      </w:pPr>
      <w:r>
        <w:rPr>
          <w:rFonts w:ascii="Courier New" w:hAnsi="Courier New"/>
          <w:sz w:val="20"/>
          <w:szCs w:val="20"/>
        </w:rPr>
        <w:t xml:space="preserve">1. ------IND- 2018 0485 F-- LT- ------ 20190508 --- --- FINAL </w:t>
      </w:r>
    </w:p>
    <w:p w:rsidR="002659C9" w:rsidRDefault="002659C9">
      <w:pPr>
        <w:widowControl w:val="0"/>
        <w:autoSpaceDE w:val="0"/>
        <w:autoSpaceDN w:val="0"/>
        <w:adjustRightInd w:val="0"/>
        <w:spacing w:after="0" w:line="240" w:lineRule="auto"/>
        <w:jc w:val="center"/>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2018 m. gruodžio 30 d. JORF (Prancūzijos oficialusis leidinys) Nr. 0302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Tekstas Nr. 92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2018 m. gruodžio 27 d. nutarimas, kuriuo įgyvendinamas Bendrojo mokesčių kodekso 242 a straipsnis</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CPAE1825922A</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ELI:https://www.legifrance.gouv.fr/eli/arrete/2018/12/27/CPAE1825922A/jo/texte</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Solidarumo ir sveikatos ministrė bei viešojo sektoriaus veiklos ir apskaitos ministras,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atsižvelgdami į 2015 m. rugsėjo 9 d. Europos Parlamento ir Tarybos direktyvą (ES) 2015/1535, kuria nustatoma informacijos apie techninius reglamentus ir informacinės visuomenės paslaugų taisykles teikimo tvarka, ypač į pranešimą Nr. 2018/485/F,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atsižvelgdami į Prekybos kodeksą, ypač į jo R. 123-221 straipsnį,</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atsižvelgdami į Bendrąjį mokesčių kodeksą, ypač į jo 242 a straipsnį,</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atsižvelgdami į 2018 m. spalio 23 d. Įstatymą Nr. 2018-898 dėl kovos su sukčiavimu, ypač į jo 10 straipsnį,</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atsižvelgdami į Centrinės socialinio draudimo įstaigų agentūros nuomonę, pateiktą 2018 m. spalio 19 d.,</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nutarė: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1 straipsnis</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Bendrojo mokesčių kodekso IV priedo I knygos I dalies I antraštinės dalies III skyriuje įterpiamas V skirsnis „Interneto platformos operatorių įsipareigojimai“ su šiais 23L e–23L j straipsniais: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23L e straipsnis. I. Taikant Bendrojo mokesčių kodekso 242a straipsnio 1 dalį, kiekvieno sandorio, atliekamo per elektroninę ryšio platformą, metu minėto straipsnio pirmoje pastraipoje nurodyta įmonė pateikia pardavėjui, paslaugų teikėjui arba prekių ar paslaugų mainų ar dalybų šalims (jei joms už šiuos sandorius buvo sumokėta) informaciją apie šių lėšų apmokestinimo ir socialinio draudimo įmokų mokėjimo tvarką, deklaravimo ir mokėjimo </w:t>
      </w:r>
      <w:r>
        <w:rPr>
          <w:rFonts w:ascii="Arial" w:hAnsi="Arial"/>
          <w:sz w:val="24"/>
          <w:szCs w:val="24"/>
        </w:rPr>
        <w:lastRenderedPageBreak/>
        <w:t>prievoles, kurias nustato mokesčių administratorius ir socialinio draudimo įmokų surinkimo įstaigos, taip pat sankcijas, kurios gali būti taikomos nesilaikant šių prievolių.</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 I dalyje nurodytos įmonės paskelbtose interneto svetainėse nurodomi tiesioginiai ar netiesioginiai hipertekstiniai saitai su mokesčių institucijų ir socialinės apsaugos organizacijų tinklalapiais, suteikiančiais prieigą prie I dalyje nurodytos informacijos. I dalyje nurodyta pareiga laikoma įvykdyta, jei I dalyje nurodytoms sandorio šalims siunčiamuose pranešimuose įskaitomai nurodyti šie hipertekstiniai saitai.</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Šių saitų sąrašas yra skelbiamas Viešųjų finansų ir mokesčių oficialiajame leidinyje.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23L f straipsnis. Bendrojo mokesčių kodekso 242 a straipsnio 2 dalies a punkte numatyti šie platformos operatoriaus identifikavimo elementai:</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1) jo pavadinimas;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 jo įregistravimo vieta minėto dokumento perdavimo metų sausio 1 d.;</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3) jo ES vidaus prekybos PVM mokėtojo kodas arba, jeigu šio kodo nėra, įmonės kodas, kaip apibrėžta Prekybos kodekso R. 123-221 straipsnyje, arba įmonės nerezidentės atveju – šalies, kurioje įmonė įsisteigusi, mokesčių administratoriaus suteiktas įmonės registracijos numeris.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23L g straipsnis. Bendrojo mokesčių kodekso 242 a straipsnio 2 dalies b punkte nustatyti šie naudotojo identifikavimo elementai:</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1. Fiziniams asmenims:</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 pavardė;</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b) vardai;</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c) gyvenamosios vietos adresas;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d) telefono numeris;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e) elektroninio pašto adresas;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f) gimimo data;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g) kai bendra naudotojo atitinkamais metais įvykdytų sandorių suma yra lygi 1 000 eurų arba didesnė, platformos operatorius: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 turi patikrinti naudotojo pavardę, vardą ir gimimo datą, ypač jei naudotojas pateikia asmens tapatybės dokumento kopiją, arba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ii) patikrinęs struktūrą, formatą ir algoritmą, turi nurodyti administracijai naudotojo mokesčių procedūrų supaprastinimo (SPI) bylos registracijos numerį.</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 Juridiniam asmeniui arba profesionalią veiklą vykdančiam fiziniam asmeniui:</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a) pavadinimas;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b) dokumento perdavimo dieną operatoriui žinoma įsisteigimo vieta;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c) ES vidaus prekybos PVM mokėtojo kodas arba, jeigu šio kodo nėra, įmonės kodas, kaip apibrėžta Prekybos kodekso R. 123-221 straipsnyje, arba įmonės nerezidentės atveju – šalies, kurioje įmonė įsisteigusi, mokesčių administratoriaus suteiktas įmonės registracijos numeris;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d) elektroninio pašto adresas.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23L h straipsnis. Platformos operatorius gali nurodyti Bendrojo mokesčių kodekso 242 a straipsnio 2 dalies d punkte numatytą bendrą sumą, atskirai nurodydamas to paties straipsnio 3 dalies antroje pastraipoje nurodytų sandorių ir kitų sandorių sumą.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23L i straipsnis. Banko duomenys, nurodyti Bendrojo mokesčių kodekso 242 straipsnio 2 dalies e punkte, pateikiami nurodant banko identifikavimo kodą (BIC) ir tarptautinį banko sąskaitos numerį (IBAN).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Laikoma, kad šie duomenys yra žinomi įmonei, nes įmonė tiesiogiai vykdo pinigų pervedimą naudotojui arba šiuo tikslu</w:t>
      </w:r>
      <w:r w:rsidR="00BE53C5">
        <w:rPr>
          <w:rFonts w:ascii="Arial" w:hAnsi="Arial"/>
          <w:sz w:val="24"/>
          <w:szCs w:val="24"/>
        </w:rPr>
        <w:t xml:space="preserve"> kreipiasi į paslaugų teikėją.</w:t>
      </w:r>
      <w:bookmarkStart w:id="0" w:name="_GoBack"/>
      <w:bookmarkEnd w:id="0"/>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23L j straipsnis. Pagal Bendrojo mokesčių kodekso 242 a straipsnio 3 dalies trečios pastraipos nuostatas: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1) bendra metinė suma, kurią tas pats naudotojas gauna platformoje – 3 000 EUR;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2) metinis to paties naudotojo platformoje įvykdytų sandorių skaičius – 20. . </w:t>
      </w:r>
    </w:p>
    <w:p w:rsidR="003A1219"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E37414"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bCs/>
          <w:sz w:val="24"/>
          <w:szCs w:val="24"/>
        </w:rPr>
        <w:t>2 straipsnis</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Solidarumo ir sveikatos ministrė bei viešojo sektoriaus veiklos ir apskaitos ministras kiekvienas atitinkamoje srityje yra atsakingi už šio nutarimo, kuris bus paskelbtas Prancūzijos Respublikos oficialiajame leidinyje, vykdymą.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Parengta 2018 m. gruodžio 27 d.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Viešojo sektoriaus veiklos ir apskaitos ministras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Ministro vardu ir įgaliojimu: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Privačių asmenų finansų valdymo direktoriaus pavaduotojas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 Le Brignonen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Solidarumo ir sveikatos apsaugos ministrė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Ministrės vardu ir įgaliojimu: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Departamento vadovas, socialinės apsaugos direktorės pavaduotojas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szCs w:val="24"/>
        </w:rPr>
        <w:t>J. Bosredon </w:t>
      </w:r>
    </w:p>
    <w:sectPr w:rsidR="003A1219" w:rsidRPr="00E37414">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2659C9"/>
    <w:rsid w:val="0027481A"/>
    <w:rsid w:val="003A1219"/>
    <w:rsid w:val="003E3DE4"/>
    <w:rsid w:val="004E4248"/>
    <w:rsid w:val="00565B87"/>
    <w:rsid w:val="008D4CE5"/>
    <w:rsid w:val="00BE53C5"/>
    <w:rsid w:val="00CD7AF2"/>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830</Words>
  <Characters>4732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Klintsone, Lauma</cp:lastModifiedBy>
  <cp:revision>6</cp:revision>
  <dcterms:created xsi:type="dcterms:W3CDTF">2019-01-07T12:48:00Z</dcterms:created>
  <dcterms:modified xsi:type="dcterms:W3CDTF">2019-05-08T09:25:00Z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