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color="FFFFFF"/>
  <w:body>
    <w:p w14:paraId="35DE245A" w14:textId="29B3D357" w:rsidR="00BD0987" w:rsidRPr="00361792" w:rsidRDefault="00BD0987" w:rsidP="00BD0987">
      <w:pPr>
        <w:jc w:val="center"/>
        <w:rPr>
          <w:rFonts w:ascii="Courier New" w:hAnsi="Courier New"/>
          <w:sz w:val="20"/>
        </w:rPr>
      </w:pPr>
      <w:r>
        <w:rPr>
          <w:rFonts w:ascii="Courier New" w:hAnsi="Courier New"/>
          <w:sz w:val="20"/>
        </w:rPr>
        <w:t>1. ------IND- 2020 0790 F-- ES- ------ 20201228 --- --- PROJET</w:t>
      </w:r>
    </w:p>
    <w:tbl>
      <w:tblPr>
        <w:tblW w:w="0" w:type="auto"/>
        <w:tblInd w:w="57" w:type="dxa"/>
        <w:tblLayout w:type="fixed"/>
        <w:tblCellMar>
          <w:top w:w="57" w:type="dxa"/>
          <w:left w:w="57" w:type="dxa"/>
          <w:bottom w:w="57" w:type="dxa"/>
          <w:right w:w="57" w:type="dxa"/>
        </w:tblCellMar>
        <w:tblLook w:val="0000" w:firstRow="0" w:lastRow="0" w:firstColumn="0" w:lastColumn="0" w:noHBand="0" w:noVBand="0"/>
      </w:tblPr>
      <w:tblGrid>
        <w:gridCol w:w="1527"/>
        <w:gridCol w:w="968"/>
        <w:gridCol w:w="1487"/>
      </w:tblGrid>
      <w:tr w:rsidR="00216F67" w:rsidRPr="00AC2428" w14:paraId="0B513256" w14:textId="77777777">
        <w:trPr>
          <w:cantSplit/>
        </w:trPr>
        <w:tc>
          <w:tcPr>
            <w:tcW w:w="3982" w:type="dxa"/>
            <w:gridSpan w:val="3"/>
            <w:shd w:val="clear" w:color="auto" w:fill="auto"/>
          </w:tcPr>
          <w:p w14:paraId="5E62B1F0" w14:textId="77777777" w:rsidR="00216F67" w:rsidRPr="00AC2428" w:rsidRDefault="002633B9" w:rsidP="00775F70">
            <w:pPr>
              <w:pStyle w:val="SNREPUBLIQUE"/>
            </w:pPr>
            <w:r>
              <w:t>REPÚBLICA FRANCESA</w:t>
            </w:r>
          </w:p>
        </w:tc>
      </w:tr>
      <w:tr w:rsidR="00924DC4" w:rsidRPr="00AC2428" w14:paraId="2B5129B6" w14:textId="77777777" w:rsidTr="00AC2428">
        <w:trPr>
          <w:cantSplit/>
          <w:trHeight w:hRule="exact" w:val="113"/>
        </w:trPr>
        <w:tc>
          <w:tcPr>
            <w:tcW w:w="1527" w:type="dxa"/>
            <w:shd w:val="clear" w:color="auto" w:fill="auto"/>
          </w:tcPr>
          <w:p w14:paraId="4504C12B" w14:textId="77777777" w:rsidR="00216F67" w:rsidRPr="00AC2428" w:rsidRDefault="00216F67" w:rsidP="00775F70">
            <w:pPr>
              <w:snapToGrid w:val="0"/>
              <w:rPr>
                <w:rFonts w:cs="Tahoma"/>
              </w:rPr>
            </w:pPr>
          </w:p>
        </w:tc>
        <w:tc>
          <w:tcPr>
            <w:tcW w:w="968" w:type="dxa"/>
            <w:tcBorders>
              <w:bottom w:val="single" w:sz="4" w:space="0" w:color="auto"/>
            </w:tcBorders>
            <w:shd w:val="clear" w:color="auto" w:fill="auto"/>
          </w:tcPr>
          <w:p w14:paraId="627363BD" w14:textId="77777777" w:rsidR="00216F67" w:rsidRPr="00AC2428" w:rsidRDefault="00216F67" w:rsidP="00775F70">
            <w:pPr>
              <w:snapToGrid w:val="0"/>
              <w:rPr>
                <w:rFonts w:cs="Tahoma"/>
              </w:rPr>
            </w:pPr>
          </w:p>
        </w:tc>
        <w:tc>
          <w:tcPr>
            <w:tcW w:w="1487" w:type="dxa"/>
            <w:shd w:val="clear" w:color="auto" w:fill="auto"/>
          </w:tcPr>
          <w:p w14:paraId="7FC630AF" w14:textId="77777777" w:rsidR="00216F67" w:rsidRPr="00AC2428" w:rsidRDefault="00216F67" w:rsidP="00775F70">
            <w:pPr>
              <w:snapToGrid w:val="0"/>
              <w:rPr>
                <w:rFonts w:cs="Tahoma"/>
              </w:rPr>
            </w:pPr>
          </w:p>
        </w:tc>
      </w:tr>
      <w:tr w:rsidR="00216F67" w:rsidRPr="00AC2428" w14:paraId="27C4D09B" w14:textId="77777777">
        <w:trPr>
          <w:cantSplit/>
        </w:trPr>
        <w:tc>
          <w:tcPr>
            <w:tcW w:w="3982" w:type="dxa"/>
            <w:gridSpan w:val="3"/>
            <w:shd w:val="clear" w:color="auto" w:fill="auto"/>
          </w:tcPr>
          <w:p w14:paraId="226DC996" w14:textId="77777777" w:rsidR="00216F67" w:rsidRPr="00AC2428" w:rsidRDefault="002633B9" w:rsidP="00775F70">
            <w:pPr>
              <w:pStyle w:val="SNTimbre"/>
            </w:pPr>
            <w:r>
              <w:t>Ministerio de Transición Ecológica</w:t>
            </w:r>
          </w:p>
          <w:p w14:paraId="3D84B948" w14:textId="004B8F71" w:rsidR="00472A5D" w:rsidRPr="00AC2428" w:rsidRDefault="00472A5D" w:rsidP="00775F70">
            <w:pPr>
              <w:pStyle w:val="SNTimbre"/>
            </w:pPr>
            <w:r>
              <w:t>Vivienda</w:t>
            </w:r>
          </w:p>
        </w:tc>
      </w:tr>
      <w:tr w:rsidR="00924DC4" w:rsidRPr="00AC2428" w14:paraId="7179E6E4" w14:textId="77777777" w:rsidTr="00AC2428">
        <w:trPr>
          <w:cantSplit/>
          <w:trHeight w:hRule="exact" w:val="227"/>
        </w:trPr>
        <w:tc>
          <w:tcPr>
            <w:tcW w:w="1527" w:type="dxa"/>
            <w:shd w:val="clear" w:color="auto" w:fill="auto"/>
          </w:tcPr>
          <w:p w14:paraId="44838ECB" w14:textId="77777777" w:rsidR="00216F67" w:rsidRPr="00AC2428" w:rsidRDefault="00216F67" w:rsidP="00775F70">
            <w:pPr>
              <w:snapToGrid w:val="0"/>
            </w:pPr>
          </w:p>
        </w:tc>
        <w:tc>
          <w:tcPr>
            <w:tcW w:w="968" w:type="dxa"/>
            <w:tcBorders>
              <w:bottom w:val="single" w:sz="4" w:space="0" w:color="auto"/>
            </w:tcBorders>
            <w:shd w:val="clear" w:color="auto" w:fill="auto"/>
          </w:tcPr>
          <w:p w14:paraId="0609DC57" w14:textId="77777777" w:rsidR="00216F67" w:rsidRPr="00AC2428" w:rsidRDefault="00216F67" w:rsidP="00775F70">
            <w:pPr>
              <w:snapToGrid w:val="0"/>
            </w:pPr>
          </w:p>
        </w:tc>
        <w:tc>
          <w:tcPr>
            <w:tcW w:w="1487" w:type="dxa"/>
            <w:shd w:val="clear" w:color="auto" w:fill="auto"/>
          </w:tcPr>
          <w:p w14:paraId="435699DF" w14:textId="77777777" w:rsidR="00216F67" w:rsidRPr="00AC2428" w:rsidRDefault="00216F67" w:rsidP="00775F70">
            <w:pPr>
              <w:snapToGrid w:val="0"/>
            </w:pPr>
          </w:p>
        </w:tc>
      </w:tr>
      <w:tr w:rsidR="00216F67" w:rsidRPr="00AC2428" w14:paraId="0D7DAF39" w14:textId="77777777">
        <w:trPr>
          <w:cantSplit/>
          <w:trHeight w:hRule="exact" w:val="227"/>
        </w:trPr>
        <w:tc>
          <w:tcPr>
            <w:tcW w:w="1527" w:type="dxa"/>
            <w:shd w:val="clear" w:color="auto" w:fill="auto"/>
          </w:tcPr>
          <w:p w14:paraId="4D88D78F" w14:textId="77777777" w:rsidR="00216F67" w:rsidRPr="00AC2428" w:rsidRDefault="00216F67" w:rsidP="00775F70">
            <w:pPr>
              <w:snapToGrid w:val="0"/>
            </w:pPr>
          </w:p>
        </w:tc>
        <w:tc>
          <w:tcPr>
            <w:tcW w:w="968" w:type="dxa"/>
            <w:shd w:val="clear" w:color="auto" w:fill="auto"/>
          </w:tcPr>
          <w:p w14:paraId="15C25800" w14:textId="77777777" w:rsidR="00216F67" w:rsidRPr="00AC2428" w:rsidRDefault="00216F67" w:rsidP="00775F70">
            <w:pPr>
              <w:snapToGrid w:val="0"/>
            </w:pPr>
          </w:p>
        </w:tc>
        <w:tc>
          <w:tcPr>
            <w:tcW w:w="1487" w:type="dxa"/>
            <w:shd w:val="clear" w:color="auto" w:fill="auto"/>
          </w:tcPr>
          <w:p w14:paraId="5BB6C3AD" w14:textId="77777777" w:rsidR="00216F67" w:rsidRPr="00AC2428" w:rsidRDefault="00216F67" w:rsidP="00775F70">
            <w:pPr>
              <w:snapToGrid w:val="0"/>
            </w:pPr>
          </w:p>
        </w:tc>
      </w:tr>
    </w:tbl>
    <w:p w14:paraId="29B7DC59" w14:textId="790B10F4" w:rsidR="00216F67" w:rsidRPr="00AC2428" w:rsidRDefault="002633B9" w:rsidP="00775F70">
      <w:pPr>
        <w:pStyle w:val="SNNature"/>
      </w:pPr>
      <w:r>
        <w:t>Decreto n.º                           de</w:t>
      </w:r>
    </w:p>
    <w:p w14:paraId="38966963" w14:textId="4F413CBC" w:rsidR="00876BAE" w:rsidRPr="00AC2428" w:rsidRDefault="00876BAE" w:rsidP="00775F70">
      <w:pPr>
        <w:pStyle w:val="SNtitre"/>
      </w:pPr>
      <w:r>
        <w:t>relativo a los requisitos de eficiencia energética y comportamiento medioambiental para edificios de viviendas, de oficinas o de educación primaria o secundaria en la Francia metropolitana</w:t>
      </w:r>
    </w:p>
    <w:p w14:paraId="7B3F7245" w14:textId="77777777" w:rsidR="00F15206" w:rsidRPr="00AC2428" w:rsidRDefault="00F15206" w:rsidP="00775F70">
      <w:pPr>
        <w:pStyle w:val="SNNORCentr"/>
      </w:pPr>
    </w:p>
    <w:p w14:paraId="78A41F7B" w14:textId="6CCC78B4" w:rsidR="00216F67" w:rsidRPr="00AC2428" w:rsidRDefault="002633B9" w:rsidP="00A51EA0">
      <w:pPr>
        <w:pStyle w:val="SNNORCentr"/>
      </w:pPr>
      <w:r>
        <w:t xml:space="preserve">NOR: </w:t>
      </w:r>
    </w:p>
    <w:p w14:paraId="1D193384" w14:textId="77777777" w:rsidR="00D808AA" w:rsidRPr="00AC2428" w:rsidRDefault="00D808AA" w:rsidP="00A51EA0">
      <w:pPr>
        <w:jc w:val="both"/>
        <w:rPr>
          <w:i/>
        </w:rPr>
      </w:pPr>
    </w:p>
    <w:p w14:paraId="4A7EF1E8" w14:textId="77777777" w:rsidR="00D808AA" w:rsidRPr="00AC2428" w:rsidRDefault="00D808AA" w:rsidP="00A51EA0">
      <w:pPr>
        <w:jc w:val="both"/>
        <w:rPr>
          <w:b/>
          <w:i/>
        </w:rPr>
      </w:pPr>
    </w:p>
    <w:p w14:paraId="34EE94A3" w14:textId="068D3EB3" w:rsidR="00D808AA" w:rsidRPr="00AC2428" w:rsidRDefault="002633B9" w:rsidP="00A51EA0">
      <w:pPr>
        <w:ind w:left="709" w:hanging="1"/>
        <w:jc w:val="both"/>
        <w:rPr>
          <w:i/>
        </w:rPr>
      </w:pPr>
      <w:r>
        <w:rPr>
          <w:b/>
          <w:i/>
        </w:rPr>
        <w:t>Personas a las que afecta</w:t>
      </w:r>
      <w:r>
        <w:rPr>
          <w:i/>
        </w:rPr>
        <w:t>: Dueños de la obra, directores de obra, constructores y promotores, arquitectos, oficinas de proyectos térmicos y medioambientales, economistas de la construcción, inspectores técnicos, empresas de construcción, fabricantes de materiales de construcción y de sistemas técnicos de construcción, proveedores de energía, en la Francia metropolitana.</w:t>
      </w:r>
    </w:p>
    <w:p w14:paraId="74483404" w14:textId="77777777" w:rsidR="00D808AA" w:rsidRPr="00AC2428" w:rsidRDefault="00D808AA" w:rsidP="00A51EA0">
      <w:pPr>
        <w:jc w:val="both"/>
        <w:rPr>
          <w:b/>
        </w:rPr>
      </w:pPr>
    </w:p>
    <w:p w14:paraId="5AF586F2" w14:textId="77777777" w:rsidR="00D808AA" w:rsidRPr="00AC2428" w:rsidRDefault="00D808AA" w:rsidP="00A51EA0">
      <w:pPr>
        <w:jc w:val="both"/>
        <w:rPr>
          <w:b/>
        </w:rPr>
      </w:pPr>
    </w:p>
    <w:p w14:paraId="73B6DE6C" w14:textId="62C18A53" w:rsidR="00D808AA" w:rsidRPr="00AC2428" w:rsidRDefault="002633B9" w:rsidP="00A51EA0">
      <w:pPr>
        <w:ind w:left="709" w:hanging="1"/>
        <w:jc w:val="both"/>
        <w:rPr>
          <w:b/>
          <w:i/>
        </w:rPr>
      </w:pPr>
      <w:r>
        <w:rPr>
          <w:b/>
          <w:i/>
        </w:rPr>
        <w:t xml:space="preserve">Objeto: </w:t>
      </w:r>
      <w:r>
        <w:rPr>
          <w:i/>
        </w:rPr>
        <w:t>Establecimiento de requisitos sobre las características energéticas y medioambientales y la eficiencia energética y el comportamiento medioambiental de los nuevos edificios y de las ampliaciones de edificios en la Francia metropolitana.</w:t>
      </w:r>
    </w:p>
    <w:p w14:paraId="258D5920" w14:textId="55ECE693" w:rsidR="00216F67" w:rsidRDefault="00216F67" w:rsidP="00A51EA0">
      <w:pPr>
        <w:pStyle w:val="SNAutorit"/>
        <w:spacing w:before="0" w:after="0"/>
        <w:ind w:left="708" w:firstLine="0"/>
        <w:jc w:val="both"/>
        <w:rPr>
          <w:i/>
        </w:rPr>
      </w:pPr>
    </w:p>
    <w:p w14:paraId="7C566712" w14:textId="77777777" w:rsidR="00A51EA0" w:rsidRPr="00AC2428" w:rsidRDefault="00A51EA0" w:rsidP="00A51EA0">
      <w:pPr>
        <w:pStyle w:val="SNAutorit"/>
        <w:spacing w:before="0" w:after="0"/>
        <w:ind w:left="708" w:firstLine="0"/>
        <w:jc w:val="both"/>
        <w:rPr>
          <w:i/>
        </w:rPr>
      </w:pPr>
    </w:p>
    <w:p w14:paraId="136AFB1F" w14:textId="4DD6141E" w:rsidR="002B2352" w:rsidRPr="00AC2428" w:rsidRDefault="002633B9" w:rsidP="00A51EA0">
      <w:pPr>
        <w:pStyle w:val="SNAutorit"/>
        <w:spacing w:before="0" w:after="0"/>
        <w:ind w:left="708" w:firstLine="12"/>
        <w:jc w:val="both"/>
        <w:rPr>
          <w:b w:val="0"/>
          <w:i/>
        </w:rPr>
      </w:pPr>
      <w:r>
        <w:rPr>
          <w:i/>
        </w:rPr>
        <w:t xml:space="preserve">Entrada en vigor: </w:t>
      </w:r>
      <w:r>
        <w:rPr>
          <w:b w:val="0"/>
          <w:i/>
        </w:rPr>
        <w:t>Estos requisitos se aplicarán a partir del 1 de julio de 2021 a la construcción de edificios o partes de edificios de viviendas, de oficinas o de educación primaria o secundaria, así como a las construcciones provisionales y a las ampliaciones en función de su superficie para los mismos fines; también se aplicarán a aquellas que no requieren licencia de obra o declaración previa. Se introducirá una etiqueta reglamentaria sobre la eficiencia energética y el comportamiento medioambiental con entrada en vigor fijada mediante orden, a más tardar el 30 de junio de 2022.</w:t>
      </w:r>
    </w:p>
    <w:p w14:paraId="5C6BE3FB" w14:textId="19BD1D4B" w:rsidR="002B2352" w:rsidRDefault="002B2352" w:rsidP="00A51EA0">
      <w:pPr>
        <w:pStyle w:val="SNAutorit"/>
        <w:spacing w:before="0" w:after="0"/>
        <w:ind w:left="708" w:firstLine="0"/>
        <w:jc w:val="both"/>
        <w:rPr>
          <w:b w:val="0"/>
          <w:i/>
        </w:rPr>
      </w:pPr>
    </w:p>
    <w:p w14:paraId="0719948D" w14:textId="77777777" w:rsidR="00A51EA0" w:rsidRPr="00AC2428" w:rsidRDefault="00A51EA0" w:rsidP="00A51EA0">
      <w:pPr>
        <w:pStyle w:val="SNAutorit"/>
        <w:spacing w:before="0" w:after="0"/>
        <w:ind w:left="708" w:firstLine="0"/>
        <w:jc w:val="both"/>
        <w:rPr>
          <w:b w:val="0"/>
          <w:i/>
        </w:rPr>
      </w:pPr>
    </w:p>
    <w:p w14:paraId="41BFD89B" w14:textId="686562F2" w:rsidR="002B2352" w:rsidRPr="00AC2428" w:rsidRDefault="002633B9" w:rsidP="00A51EA0">
      <w:pPr>
        <w:ind w:left="709"/>
        <w:jc w:val="both"/>
        <w:rPr>
          <w:i/>
        </w:rPr>
      </w:pPr>
      <w:r>
        <w:rPr>
          <w:b/>
          <w:i/>
        </w:rPr>
        <w:t>Nota explicativa</w:t>
      </w:r>
      <w:r>
        <w:rPr>
          <w:i/>
        </w:rPr>
        <w:t>:</w:t>
      </w:r>
      <w:r>
        <w:t xml:space="preserve"> </w:t>
      </w:r>
      <w:r>
        <w:rPr>
          <w:i/>
        </w:rPr>
        <w:t>El Decreto establece los requisitos de eficiencia energética y comportamiento medioambiental que deben cumplir los edificios mencionados anteriormente y ubicados en la Francia metropolitana, en particular los cinco requisitos de resultados siguientes: 1) la optimización del diseño energético del edificio con independencia de los sistemas energéticos adoptados; 2) la limitación del consumo de energía primaria; 3) la limitación del impacto sobre el cambio climático asociado a este consumo; 4) la limitación del impacto de los componentes del edificio sobre el cambio climático; 5) la limitación de las situaciones de falta de confort en el edificio durante el período estival.</w:t>
      </w:r>
    </w:p>
    <w:p w14:paraId="3AA0F273" w14:textId="7B649194" w:rsidR="00216F67" w:rsidRDefault="00216F67" w:rsidP="00A51EA0">
      <w:pPr>
        <w:pStyle w:val="SNAutorit"/>
        <w:spacing w:before="0" w:after="0"/>
        <w:jc w:val="both"/>
        <w:rPr>
          <w:b w:val="0"/>
          <w:i/>
        </w:rPr>
      </w:pPr>
    </w:p>
    <w:p w14:paraId="5C31C8FC" w14:textId="77777777" w:rsidR="00A51EA0" w:rsidRPr="00AC2428" w:rsidRDefault="00A51EA0" w:rsidP="00A51EA0">
      <w:pPr>
        <w:pStyle w:val="SNAutorit"/>
        <w:spacing w:before="0" w:after="0"/>
        <w:jc w:val="both"/>
        <w:rPr>
          <w:b w:val="0"/>
          <w:i/>
        </w:rPr>
      </w:pPr>
    </w:p>
    <w:p w14:paraId="4B81E6BD" w14:textId="6287301D" w:rsidR="00216F67" w:rsidRPr="00AC2428" w:rsidRDefault="002633B9" w:rsidP="00A51EA0">
      <w:pPr>
        <w:pStyle w:val="SNAutorit"/>
        <w:spacing w:before="0" w:after="0"/>
        <w:ind w:left="737" w:firstLine="0"/>
        <w:jc w:val="both"/>
        <w:rPr>
          <w:b w:val="0"/>
          <w:i/>
        </w:rPr>
      </w:pPr>
      <w:r>
        <w:rPr>
          <w:i/>
        </w:rPr>
        <w:t xml:space="preserve">Referencias: </w:t>
      </w:r>
      <w:r>
        <w:rPr>
          <w:b w:val="0"/>
          <w:i/>
        </w:rPr>
        <w:t>Los textos modificados por el presente Decreto pueden consultarse, con la redacción de esta modificación, en el sitio web de Légifrance (</w:t>
      </w:r>
      <w:hyperlink r:id="rId8" w:history="1">
        <w:r>
          <w:rPr>
            <w:rStyle w:val="Hyperlink"/>
            <w:b w:val="0"/>
            <w:i/>
          </w:rPr>
          <w:t>http://www.legifrance.gouv.fr</w:t>
        </w:r>
      </w:hyperlink>
      <w:r>
        <w:rPr>
          <w:b w:val="0"/>
          <w:i/>
        </w:rPr>
        <w:t>).</w:t>
      </w:r>
    </w:p>
    <w:p w14:paraId="18C55CAE" w14:textId="7CF84CE0" w:rsidR="00FB13BE" w:rsidRDefault="00FB13BE" w:rsidP="00A51EA0">
      <w:pPr>
        <w:pStyle w:val="SNAutorit"/>
        <w:spacing w:before="0" w:after="0"/>
        <w:ind w:left="737" w:firstLine="0"/>
        <w:jc w:val="both"/>
      </w:pPr>
    </w:p>
    <w:p w14:paraId="5CAA2BB4" w14:textId="075B7BD3" w:rsidR="00A51EA0" w:rsidRDefault="00A51EA0" w:rsidP="00A51EA0">
      <w:pPr>
        <w:pStyle w:val="SNAutorit"/>
        <w:spacing w:before="0" w:after="0"/>
        <w:ind w:left="737" w:firstLine="0"/>
        <w:jc w:val="both"/>
      </w:pPr>
    </w:p>
    <w:p w14:paraId="5BAA028D" w14:textId="2430BE34" w:rsidR="00A51EA0" w:rsidRDefault="00A51EA0" w:rsidP="00A51EA0">
      <w:pPr>
        <w:pStyle w:val="SNAutorit"/>
        <w:spacing w:before="0" w:after="0"/>
        <w:ind w:left="737" w:firstLine="0"/>
        <w:jc w:val="both"/>
      </w:pPr>
    </w:p>
    <w:p w14:paraId="7CFDA8B4" w14:textId="77777777" w:rsidR="00A51EA0" w:rsidRPr="00AC2428" w:rsidRDefault="00A51EA0" w:rsidP="00A51EA0">
      <w:pPr>
        <w:pStyle w:val="SNAutorit"/>
        <w:spacing w:before="0" w:after="0"/>
        <w:ind w:left="737" w:firstLine="0"/>
        <w:jc w:val="both"/>
      </w:pPr>
    </w:p>
    <w:p w14:paraId="517DCD01" w14:textId="2A3DFD19" w:rsidR="00216F67" w:rsidRDefault="002633B9" w:rsidP="00A51EA0">
      <w:pPr>
        <w:pStyle w:val="SNAutorit"/>
        <w:spacing w:before="0" w:after="0"/>
      </w:pPr>
      <w:r>
        <w:t>El Primer Ministro,</w:t>
      </w:r>
    </w:p>
    <w:p w14:paraId="27237DBA" w14:textId="77777777" w:rsidR="00A51EA0" w:rsidRPr="00AC2428" w:rsidRDefault="00A51EA0" w:rsidP="00A51EA0">
      <w:pPr>
        <w:pStyle w:val="SNAutorit"/>
        <w:spacing w:before="0" w:after="0"/>
      </w:pPr>
    </w:p>
    <w:p w14:paraId="622E923A" w14:textId="179B13A7" w:rsidR="00216F67" w:rsidRDefault="002633B9" w:rsidP="00A51EA0">
      <w:pPr>
        <w:pStyle w:val="SNRapport"/>
        <w:spacing w:before="0" w:after="0"/>
        <w:jc w:val="both"/>
      </w:pPr>
      <w:r>
        <w:t>Visto el informe de la Ministra de la Transición Ecológica;</w:t>
      </w:r>
    </w:p>
    <w:p w14:paraId="334DA14B" w14:textId="77777777" w:rsidR="00A51EA0" w:rsidRPr="00AC2428" w:rsidRDefault="00A51EA0" w:rsidP="00A51EA0">
      <w:pPr>
        <w:pStyle w:val="SNRapport"/>
        <w:spacing w:before="0" w:after="0"/>
        <w:jc w:val="both"/>
      </w:pPr>
    </w:p>
    <w:p w14:paraId="7851F6F4" w14:textId="2ED37733" w:rsidR="009918F3" w:rsidRPr="00AC2428" w:rsidRDefault="00661F52" w:rsidP="00A51EA0">
      <w:pPr>
        <w:ind w:left="708"/>
        <w:jc w:val="both"/>
      </w:pPr>
      <w:r>
        <w:t>Vista la Directiva (UE) 2015/1535 del Parlamento Europeo y del Consejo, de 9 de septiembre de 2015, por la que se establece un procedimiento de información en materia de reglamentaciones técnicas y de reglas relativas a los servicios de la sociedad de la información (versión codificada) y, en particular, la notificación n.º </w:t>
      </w:r>
      <w:r>
        <w:rPr>
          <w:highlight w:val="yellow"/>
        </w:rPr>
        <w:t>año/XXX/F;</w:t>
      </w:r>
    </w:p>
    <w:p w14:paraId="0DA7C3A9" w14:textId="77777777" w:rsidR="00661F52" w:rsidRPr="00AC2428" w:rsidRDefault="00661F52" w:rsidP="00A51EA0">
      <w:pPr>
        <w:ind w:left="708"/>
        <w:jc w:val="both"/>
      </w:pPr>
    </w:p>
    <w:p w14:paraId="28DF2178" w14:textId="10F0CA1E" w:rsidR="009918F3" w:rsidRPr="00AC2428" w:rsidRDefault="009918F3" w:rsidP="00A51EA0">
      <w:pPr>
        <w:ind w:left="708"/>
        <w:jc w:val="both"/>
      </w:pPr>
      <w:r>
        <w:t>Vista la Directiva 2010/31/UE del Parlamento Europeo y del Consejo, de 19 de mayo de 2010, relativa a la eficiencia energética de los edificios, modificada por la Directiva (UE) 2018/844 del Parlamento Europeo y del Consejo, de 30 de mayo de 2018, en particular los artículos 3, 4 y 6;</w:t>
      </w:r>
    </w:p>
    <w:p w14:paraId="00869AD2" w14:textId="77777777" w:rsidR="00651481" w:rsidRPr="00AC2428" w:rsidRDefault="00651481" w:rsidP="00A51EA0">
      <w:pPr>
        <w:ind w:left="708"/>
        <w:jc w:val="both"/>
      </w:pPr>
    </w:p>
    <w:p w14:paraId="11B75A25" w14:textId="637C1E60" w:rsidR="00651481" w:rsidRPr="00AC2428" w:rsidRDefault="00651481" w:rsidP="00A51EA0">
      <w:pPr>
        <w:ind w:left="708"/>
        <w:jc w:val="both"/>
      </w:pPr>
      <w:r>
        <w:t>Vista la Directiva (UE) 2018/2001 del Parlamento Europeo y del Consejo, de 11 de diciembre de 2018, relativa al fomento del uso de energía procedente de fuentes renovables y, en particular, el artículo 15;</w:t>
      </w:r>
    </w:p>
    <w:p w14:paraId="693E5C9E" w14:textId="77777777" w:rsidR="009918F3" w:rsidRPr="00AC2428" w:rsidRDefault="009918F3" w:rsidP="00A51EA0">
      <w:pPr>
        <w:jc w:val="both"/>
      </w:pPr>
    </w:p>
    <w:p w14:paraId="0F09512B" w14:textId="72A5ABF9" w:rsidR="009918F3" w:rsidRPr="00AC2428" w:rsidRDefault="009918F3" w:rsidP="00A51EA0">
      <w:pPr>
        <w:ind w:left="708"/>
        <w:jc w:val="both"/>
      </w:pPr>
      <w:r>
        <w:t>Visto el Código de la construcción y la vivienda, en particular los artículos </w:t>
      </w:r>
      <w:r>
        <w:rPr>
          <w:highlight w:val="yellow"/>
        </w:rPr>
        <w:t>L. 111-9, L. 134-2 y L. 151-1</w:t>
      </w:r>
      <w:r>
        <w:t>;</w:t>
      </w:r>
    </w:p>
    <w:p w14:paraId="58C36325" w14:textId="5ABF6DAA" w:rsidR="00784211" w:rsidRPr="00AC2428" w:rsidRDefault="00784211" w:rsidP="00A51EA0">
      <w:pPr>
        <w:ind w:left="708"/>
        <w:jc w:val="both"/>
      </w:pPr>
    </w:p>
    <w:p w14:paraId="7CDEE9D2" w14:textId="2299951B" w:rsidR="00784211" w:rsidRPr="00AC2428" w:rsidRDefault="00784211" w:rsidP="00A51EA0">
      <w:pPr>
        <w:ind w:left="708"/>
        <w:jc w:val="both"/>
      </w:pPr>
      <w:r>
        <w:t>Visto el Código de Urbanismo, en particular los artículos </w:t>
      </w:r>
      <w:r>
        <w:rPr>
          <w:highlight w:val="yellow"/>
        </w:rPr>
        <w:t>L. 462-1</w:t>
      </w:r>
      <w:r>
        <w:t xml:space="preserve">, </w:t>
      </w:r>
      <w:r>
        <w:rPr>
          <w:highlight w:val="yellow"/>
        </w:rPr>
        <w:t>R*. 421-2</w:t>
      </w:r>
      <w:r>
        <w:t xml:space="preserve"> y </w:t>
      </w:r>
      <w:r>
        <w:rPr>
          <w:highlight w:val="yellow"/>
        </w:rPr>
        <w:t>R*. 421-5</w:t>
      </w:r>
      <w:r>
        <w:t>;</w:t>
      </w:r>
    </w:p>
    <w:p w14:paraId="1469C78E" w14:textId="77777777" w:rsidR="009918F3" w:rsidRPr="00AC2428" w:rsidRDefault="009918F3" w:rsidP="00A51EA0">
      <w:pPr>
        <w:jc w:val="both"/>
      </w:pPr>
    </w:p>
    <w:p w14:paraId="38CD7D34" w14:textId="2A28C820" w:rsidR="009918F3" w:rsidRPr="00AC2428" w:rsidRDefault="009918F3" w:rsidP="00A51EA0">
      <w:pPr>
        <w:ind w:left="708"/>
        <w:jc w:val="both"/>
      </w:pPr>
      <w:r>
        <w:t xml:space="preserve">Vistas las observaciones formuladas durante la consulta pública realizada del </w:t>
      </w:r>
      <w:r>
        <w:rPr>
          <w:highlight w:val="yellow"/>
        </w:rPr>
        <w:t xml:space="preserve">XXX </w:t>
      </w:r>
      <w:r>
        <w:t xml:space="preserve">al </w:t>
      </w:r>
      <w:r>
        <w:rPr>
          <w:highlight w:val="yellow"/>
        </w:rPr>
        <w:t>XXX</w:t>
      </w:r>
      <w:r>
        <w:t>, en aplicación del artículo L. 120-1 del Código de Medio Ambiente;</w:t>
      </w:r>
    </w:p>
    <w:p w14:paraId="51FC04E1" w14:textId="77777777" w:rsidR="009918F3" w:rsidRPr="00AC2428" w:rsidRDefault="009918F3" w:rsidP="00A51EA0">
      <w:pPr>
        <w:jc w:val="both"/>
      </w:pPr>
    </w:p>
    <w:p w14:paraId="49234A94" w14:textId="57F44B5D" w:rsidR="009918F3" w:rsidRPr="00AC2428" w:rsidRDefault="009918F3" w:rsidP="00A51EA0">
      <w:pPr>
        <w:ind w:firstLine="708"/>
        <w:jc w:val="both"/>
      </w:pPr>
      <w:r>
        <w:t xml:space="preserve">Visto el Dictamen del </w:t>
      </w:r>
      <w:r>
        <w:rPr>
          <w:highlight w:val="yellow"/>
        </w:rPr>
        <w:t>Consejo nacional de evaluación de las normas</w:t>
      </w:r>
      <w:r>
        <w:t xml:space="preserve"> de </w:t>
      </w:r>
      <w:r>
        <w:rPr>
          <w:highlight w:val="yellow"/>
        </w:rPr>
        <w:t>XXX</w:t>
      </w:r>
      <w:r>
        <w:t>;</w:t>
      </w:r>
    </w:p>
    <w:p w14:paraId="4CB4C3F7" w14:textId="77777777" w:rsidR="009918F3" w:rsidRPr="00AC2428" w:rsidRDefault="009918F3" w:rsidP="00A51EA0">
      <w:pPr>
        <w:ind w:firstLine="708"/>
        <w:jc w:val="both"/>
      </w:pPr>
    </w:p>
    <w:p w14:paraId="69F0DA51" w14:textId="722538DD" w:rsidR="009918F3" w:rsidRPr="00AC2428" w:rsidRDefault="009918F3" w:rsidP="00A51EA0">
      <w:pPr>
        <w:ind w:firstLine="708"/>
        <w:jc w:val="both"/>
      </w:pPr>
      <w:r>
        <w:t xml:space="preserve">Visto el Dictamen del </w:t>
      </w:r>
      <w:r>
        <w:rPr>
          <w:highlight w:val="yellow"/>
        </w:rPr>
        <w:t>Consejo Superior de Energía</w:t>
      </w:r>
      <w:r w:rsidR="00602972">
        <w:rPr>
          <w:highlight w:val="yellow"/>
        </w:rPr>
        <w:t xml:space="preserve"> </w:t>
      </w:r>
      <w:r>
        <w:t xml:space="preserve">de </w:t>
      </w:r>
      <w:r>
        <w:rPr>
          <w:highlight w:val="yellow"/>
        </w:rPr>
        <w:t>XXX</w:t>
      </w:r>
      <w:r>
        <w:t>;</w:t>
      </w:r>
    </w:p>
    <w:p w14:paraId="65845825" w14:textId="77777777" w:rsidR="009918F3" w:rsidRPr="00AC2428" w:rsidRDefault="009918F3" w:rsidP="00A51EA0">
      <w:pPr>
        <w:jc w:val="both"/>
      </w:pPr>
    </w:p>
    <w:p w14:paraId="0F25A8E0" w14:textId="57D55C13" w:rsidR="009918F3" w:rsidRPr="00AC2428" w:rsidRDefault="009918F3" w:rsidP="00A51EA0">
      <w:pPr>
        <w:ind w:left="708"/>
        <w:jc w:val="both"/>
      </w:pPr>
      <w:r>
        <w:t xml:space="preserve">Visto el Dictamen del Consejo superior de la construcción y de la eficiencia energética de </w:t>
      </w:r>
      <w:r>
        <w:rPr>
          <w:highlight w:val="yellow"/>
        </w:rPr>
        <w:t>XXX</w:t>
      </w:r>
      <w:r>
        <w:t>;</w:t>
      </w:r>
    </w:p>
    <w:p w14:paraId="2F3A2556" w14:textId="64B72550" w:rsidR="00114953" w:rsidRPr="00AC2428" w:rsidRDefault="00114953" w:rsidP="00A51EA0">
      <w:pPr>
        <w:ind w:left="708"/>
        <w:jc w:val="both"/>
      </w:pPr>
    </w:p>
    <w:p w14:paraId="6AFE0FE6" w14:textId="4FB26864" w:rsidR="00114953" w:rsidRPr="00AC2428" w:rsidRDefault="00114953" w:rsidP="00A51EA0">
      <w:pPr>
        <w:ind w:left="708"/>
        <w:jc w:val="both"/>
      </w:pPr>
      <w:r>
        <w:t xml:space="preserve">Vista la carta de consulta de la Asamblea de Guayana de </w:t>
      </w:r>
      <w:r>
        <w:rPr>
          <w:highlight w:val="yellow"/>
        </w:rPr>
        <w:t>XXX</w:t>
      </w:r>
      <w:r>
        <w:t>;</w:t>
      </w:r>
    </w:p>
    <w:p w14:paraId="0A5B982D" w14:textId="77777777" w:rsidR="00114953" w:rsidRPr="00AC2428" w:rsidRDefault="00114953" w:rsidP="00A51EA0">
      <w:pPr>
        <w:ind w:left="708"/>
        <w:jc w:val="both"/>
      </w:pPr>
    </w:p>
    <w:p w14:paraId="2FB4ECEE" w14:textId="76E9B3A3" w:rsidR="00114953" w:rsidRPr="00AC2428" w:rsidRDefault="00114953" w:rsidP="00A51EA0">
      <w:pPr>
        <w:ind w:left="708"/>
        <w:jc w:val="both"/>
      </w:pPr>
      <w:r>
        <w:t xml:space="preserve">Vista la carta de consulta de la Asamblea de Martinica de </w:t>
      </w:r>
      <w:r>
        <w:rPr>
          <w:highlight w:val="yellow"/>
        </w:rPr>
        <w:t>XXX</w:t>
      </w:r>
      <w:r>
        <w:t>;</w:t>
      </w:r>
    </w:p>
    <w:p w14:paraId="7E9D6461" w14:textId="77777777" w:rsidR="00114953" w:rsidRPr="00AC2428" w:rsidRDefault="00114953" w:rsidP="00A51EA0">
      <w:pPr>
        <w:ind w:left="708"/>
        <w:jc w:val="both"/>
      </w:pPr>
    </w:p>
    <w:p w14:paraId="4AF24266" w14:textId="7720DA4A" w:rsidR="00114953" w:rsidRPr="00AC2428" w:rsidRDefault="00114953" w:rsidP="00A51EA0">
      <w:pPr>
        <w:ind w:left="708"/>
        <w:jc w:val="both"/>
      </w:pPr>
      <w:r>
        <w:t xml:space="preserve">Vista la carta de consulta del Consejo Departamental de Guadalupe de </w:t>
      </w:r>
      <w:r>
        <w:rPr>
          <w:highlight w:val="yellow"/>
        </w:rPr>
        <w:t>XXX</w:t>
      </w:r>
      <w:r>
        <w:t>;</w:t>
      </w:r>
    </w:p>
    <w:p w14:paraId="42634F3B" w14:textId="77777777" w:rsidR="00114953" w:rsidRPr="00AC2428" w:rsidRDefault="00114953" w:rsidP="00A51EA0">
      <w:pPr>
        <w:ind w:left="708"/>
        <w:jc w:val="both"/>
      </w:pPr>
    </w:p>
    <w:p w14:paraId="4AEA1806" w14:textId="093DBBCB" w:rsidR="00114953" w:rsidRPr="00AC2428" w:rsidRDefault="00114953" w:rsidP="00A51EA0">
      <w:pPr>
        <w:ind w:left="708"/>
        <w:jc w:val="both"/>
      </w:pPr>
      <w:r>
        <w:t xml:space="preserve">Vista la carta de consulta del Consejo Departamental de Reunión de </w:t>
      </w:r>
      <w:r>
        <w:rPr>
          <w:highlight w:val="yellow"/>
        </w:rPr>
        <w:t>XXX</w:t>
      </w:r>
      <w:r>
        <w:t>;</w:t>
      </w:r>
    </w:p>
    <w:p w14:paraId="0AB8F80E" w14:textId="77777777" w:rsidR="00114953" w:rsidRPr="00AC2428" w:rsidRDefault="00114953" w:rsidP="00A51EA0">
      <w:pPr>
        <w:ind w:left="708"/>
        <w:jc w:val="both"/>
      </w:pPr>
    </w:p>
    <w:p w14:paraId="11A87746" w14:textId="7510F38B" w:rsidR="00114953" w:rsidRPr="00AC2428" w:rsidRDefault="00114953" w:rsidP="00A51EA0">
      <w:pPr>
        <w:ind w:left="708"/>
        <w:jc w:val="both"/>
      </w:pPr>
      <w:r>
        <w:t xml:space="preserve">Vista la carta de consulta del Consejo Regional de Guadalupe de </w:t>
      </w:r>
      <w:r>
        <w:rPr>
          <w:highlight w:val="yellow"/>
        </w:rPr>
        <w:t>XXX</w:t>
      </w:r>
      <w:r>
        <w:t>;</w:t>
      </w:r>
    </w:p>
    <w:p w14:paraId="265C201F" w14:textId="77777777" w:rsidR="00114953" w:rsidRPr="00AC2428" w:rsidRDefault="00114953" w:rsidP="00A51EA0">
      <w:pPr>
        <w:ind w:left="708"/>
        <w:jc w:val="both"/>
      </w:pPr>
    </w:p>
    <w:p w14:paraId="06F46AC9" w14:textId="37490C38" w:rsidR="00114953" w:rsidRPr="00AC2428" w:rsidRDefault="00114953" w:rsidP="00A51EA0">
      <w:pPr>
        <w:ind w:left="708"/>
        <w:jc w:val="both"/>
      </w:pPr>
      <w:r>
        <w:lastRenderedPageBreak/>
        <w:t xml:space="preserve">Vista la carta de consulta del Consejo Regional de Reunión de </w:t>
      </w:r>
      <w:r>
        <w:rPr>
          <w:highlight w:val="yellow"/>
        </w:rPr>
        <w:t>XXX</w:t>
      </w:r>
      <w:r>
        <w:t>;</w:t>
      </w:r>
    </w:p>
    <w:p w14:paraId="08669AB6" w14:textId="77777777" w:rsidR="00114953" w:rsidRPr="00AC2428" w:rsidRDefault="00114953" w:rsidP="00A51EA0">
      <w:pPr>
        <w:ind w:left="708"/>
        <w:jc w:val="both"/>
      </w:pPr>
    </w:p>
    <w:p w14:paraId="69B156E4" w14:textId="3F24F286" w:rsidR="00114953" w:rsidRPr="00AC2428" w:rsidRDefault="00114953" w:rsidP="00A51EA0">
      <w:pPr>
        <w:ind w:left="708"/>
        <w:jc w:val="both"/>
      </w:pPr>
      <w:r>
        <w:t xml:space="preserve">Vista la carta de consulta del Consejo Departamental de Mayotte de </w:t>
      </w:r>
      <w:r>
        <w:rPr>
          <w:highlight w:val="yellow"/>
        </w:rPr>
        <w:t>XXX</w:t>
      </w:r>
      <w:r>
        <w:t>;</w:t>
      </w:r>
    </w:p>
    <w:p w14:paraId="26363403" w14:textId="77777777" w:rsidR="00114953" w:rsidRPr="00AC2428" w:rsidRDefault="00114953" w:rsidP="00A51EA0">
      <w:pPr>
        <w:ind w:left="708"/>
        <w:jc w:val="both"/>
      </w:pPr>
    </w:p>
    <w:p w14:paraId="424E4F28" w14:textId="513F9B08" w:rsidR="009918F3" w:rsidRPr="00AC2428" w:rsidRDefault="009918F3" w:rsidP="00A51EA0">
      <w:pPr>
        <w:ind w:firstLine="708"/>
        <w:jc w:val="both"/>
      </w:pPr>
      <w:bookmarkStart w:id="0" w:name="_GoBack"/>
      <w:bookmarkEnd w:id="0"/>
      <w:r>
        <w:t>Previa consulta del Consejo de Estado (sección de obras públicas),</w:t>
      </w:r>
    </w:p>
    <w:p w14:paraId="3DE837B5" w14:textId="77777777" w:rsidR="00A51EA0" w:rsidRDefault="00A51EA0" w:rsidP="00A51EA0">
      <w:pPr>
        <w:pStyle w:val="SNActe"/>
        <w:spacing w:before="0" w:after="0"/>
      </w:pPr>
    </w:p>
    <w:p w14:paraId="7AEC6FA4" w14:textId="77777777" w:rsidR="00A51EA0" w:rsidRDefault="00A51EA0" w:rsidP="00A51EA0">
      <w:pPr>
        <w:pStyle w:val="SNActe"/>
        <w:spacing w:before="0" w:after="0"/>
      </w:pPr>
    </w:p>
    <w:p w14:paraId="1B9AC711" w14:textId="10ADE9BB" w:rsidR="00216F67" w:rsidRPr="00AC2428" w:rsidRDefault="002633B9" w:rsidP="00A51EA0">
      <w:pPr>
        <w:pStyle w:val="SNActe"/>
        <w:spacing w:before="0" w:after="0"/>
      </w:pPr>
      <w:r>
        <w:t>Decreta:</w:t>
      </w:r>
    </w:p>
    <w:p w14:paraId="6BB8552A" w14:textId="77777777" w:rsidR="00A51EA0" w:rsidRDefault="00A51EA0" w:rsidP="00A51EA0">
      <w:pPr>
        <w:pStyle w:val="SNArticle"/>
        <w:spacing w:before="0" w:after="0"/>
      </w:pPr>
    </w:p>
    <w:p w14:paraId="636B2070" w14:textId="77777777" w:rsidR="00A51EA0" w:rsidRDefault="00A51EA0" w:rsidP="00A51EA0">
      <w:pPr>
        <w:pStyle w:val="SNArticle"/>
        <w:spacing w:before="0" w:after="0"/>
      </w:pPr>
    </w:p>
    <w:p w14:paraId="1BD38E7A" w14:textId="1FC85470" w:rsidR="00216F67" w:rsidRDefault="002633B9" w:rsidP="00A51EA0">
      <w:pPr>
        <w:pStyle w:val="SNArticle"/>
        <w:spacing w:before="0" w:after="0"/>
        <w:rPr>
          <w:vertAlign w:val="superscript"/>
        </w:rPr>
      </w:pPr>
      <w:r>
        <w:t>Artículo 1</w:t>
      </w:r>
    </w:p>
    <w:p w14:paraId="635C07CE" w14:textId="77777777" w:rsidR="00A51EA0" w:rsidRPr="00A51EA0" w:rsidRDefault="00A51EA0" w:rsidP="00A51EA0">
      <w:pPr>
        <w:pStyle w:val="BodyText"/>
      </w:pPr>
    </w:p>
    <w:p w14:paraId="31F32375" w14:textId="15825574" w:rsidR="009918F3" w:rsidRPr="00AC2428" w:rsidRDefault="009918F3" w:rsidP="00A51EA0">
      <w:pPr>
        <w:jc w:val="both"/>
      </w:pPr>
      <w:r>
        <w:t>El libro I, título I, capítulo I, sección 4, subsecciones </w:t>
      </w:r>
      <w:r>
        <w:rPr>
          <w:highlight w:val="yellow"/>
        </w:rPr>
        <w:t>1 a 4</w:t>
      </w:r>
      <w:r>
        <w:t>, del Código de la construcción y la vivienda, se sustituyen por las subsecciones </w:t>
      </w:r>
      <w:r>
        <w:rPr>
          <w:highlight w:val="yellow"/>
        </w:rPr>
        <w:t xml:space="preserve">1 a </w:t>
      </w:r>
      <w:r>
        <w:t>5 con la siguiente redacción</w:t>
      </w:r>
      <w:r>
        <w:rPr>
          <w:rStyle w:val="print-title-summary"/>
        </w:rPr>
        <w:t xml:space="preserve">: </w:t>
      </w:r>
    </w:p>
    <w:p w14:paraId="30BE8CD0" w14:textId="77777777" w:rsidR="009918F3" w:rsidRPr="00AC2428" w:rsidRDefault="009918F3" w:rsidP="00A51EA0">
      <w:pPr>
        <w:jc w:val="both"/>
      </w:pPr>
    </w:p>
    <w:p w14:paraId="57A3FB4C" w14:textId="23FA9FD2" w:rsidR="009918F3" w:rsidRPr="00AC2428" w:rsidRDefault="000E3CDC" w:rsidP="00A51EA0">
      <w:pPr>
        <w:jc w:val="both"/>
        <w:rPr>
          <w:i/>
        </w:rPr>
      </w:pPr>
      <w:r>
        <w:t>«</w:t>
      </w:r>
      <w:r>
        <w:rPr>
          <w:i/>
        </w:rPr>
        <w:t>Subsección 1: Requisitos de eficiencia energética y comportamiento medioambiental aplicables a la construcción de edificios o partes de edificios de viviendas, de oficinas o de educación primaria o secundaria</w:t>
      </w:r>
    </w:p>
    <w:p w14:paraId="2C853DFE" w14:textId="0EA803E8" w:rsidR="009918F3" w:rsidRPr="00AC2428" w:rsidRDefault="009918F3" w:rsidP="00A51EA0">
      <w:pPr>
        <w:jc w:val="both"/>
      </w:pPr>
    </w:p>
    <w:p w14:paraId="6188769E" w14:textId="7561FCE2" w:rsidR="0053536C" w:rsidRPr="00AC2428" w:rsidRDefault="000E3CDC" w:rsidP="00A51EA0">
      <w:pPr>
        <w:jc w:val="both"/>
      </w:pPr>
      <w:r>
        <w:rPr>
          <w:i/>
        </w:rPr>
        <w:t xml:space="preserve">Artículo R. 111-20 - </w:t>
      </w:r>
      <w:r>
        <w:t>I.- Las disposiciones de la presente subsección se aplicarán a la construcción en virtud del artículo </w:t>
      </w:r>
      <w:r>
        <w:rPr>
          <w:highlight w:val="yellow"/>
        </w:rPr>
        <w:t>L. 111-1</w:t>
      </w:r>
      <w:r>
        <w:t xml:space="preserve"> de edificios o partes de edificios de viviendas, de oficinas o de educación primaria o secundaria, que requerirán una solicitud de licencia de obra o una declaración previa presentada a partir del </w:t>
      </w:r>
      <w:r>
        <w:rPr>
          <w:highlight w:val="yellow"/>
        </w:rPr>
        <w:t>1 de julio de 2021</w:t>
      </w:r>
      <w:r>
        <w:t>. Asimismo, se aplicarán a la construcción de los aparcamientos asociados a estos edificios.</w:t>
      </w:r>
    </w:p>
    <w:p w14:paraId="40725D2C" w14:textId="77777777" w:rsidR="003B7761" w:rsidRPr="00AC2428" w:rsidRDefault="003B7761" w:rsidP="00A51EA0">
      <w:pPr>
        <w:jc w:val="both"/>
        <w:rPr>
          <w:rFonts w:eastAsia="Calibri"/>
          <w:lang w:eastAsia="fr-FR"/>
        </w:rPr>
      </w:pPr>
    </w:p>
    <w:p w14:paraId="31391E4A" w14:textId="4ECBE85E" w:rsidR="0053536C" w:rsidRPr="00AC2428" w:rsidRDefault="000E3CDC" w:rsidP="00A51EA0">
      <w:pPr>
        <w:jc w:val="both"/>
      </w:pPr>
      <w:r>
        <w:t>Las residencias turísticas que disponen de un dormitorio, una cocina y baños estarán sujetas a las normas aplicables a las construcciones de edificios de uso residencial establecidas en la presente subsección.</w:t>
      </w:r>
    </w:p>
    <w:p w14:paraId="660ACE30" w14:textId="77777777" w:rsidR="003B7761" w:rsidRPr="00AC2428" w:rsidRDefault="003B7761" w:rsidP="00A51EA0">
      <w:pPr>
        <w:jc w:val="both"/>
      </w:pPr>
    </w:p>
    <w:p w14:paraId="658EE355" w14:textId="5CA44FBD" w:rsidR="0053536C" w:rsidRDefault="000E3CDC" w:rsidP="00A51EA0">
      <w:pPr>
        <w:pStyle w:val="ListParagraph"/>
        <w:spacing w:after="0" w:line="240" w:lineRule="auto"/>
        <w:ind w:left="0"/>
        <w:jc w:val="both"/>
        <w:rPr>
          <w:rFonts w:ascii="Times New Roman" w:hAnsi="Times New Roman" w:cs="Times New Roman"/>
          <w:sz w:val="24"/>
          <w:szCs w:val="24"/>
        </w:rPr>
      </w:pPr>
      <w:r>
        <w:rPr>
          <w:rFonts w:ascii="Times New Roman" w:hAnsi="Times New Roman"/>
          <w:sz w:val="24"/>
          <w:szCs w:val="24"/>
        </w:rPr>
        <w:t>II. - Las disposiciones de la presente subsección se aplicarán a la construcción de edificios de viviendas, de oficinas o de educación primaria o secundaria exentas de solicitud de licencia de obra y de declaración previa para viviendas recreativas de construcción ligera en virtud del artículo </w:t>
      </w:r>
      <w:r>
        <w:rPr>
          <w:rFonts w:ascii="Times New Roman" w:hAnsi="Times New Roman"/>
          <w:sz w:val="24"/>
          <w:szCs w:val="24"/>
          <w:highlight w:val="yellow"/>
        </w:rPr>
        <w:t>R *. 421-2, letra b)</w:t>
      </w:r>
      <w:r>
        <w:rPr>
          <w:rFonts w:ascii="Times New Roman" w:hAnsi="Times New Roman"/>
          <w:sz w:val="24"/>
          <w:szCs w:val="24"/>
        </w:rPr>
        <w:t>, y para las construcciones provisionales en virtud del artículo </w:t>
      </w:r>
      <w:r>
        <w:rPr>
          <w:rFonts w:ascii="Times New Roman" w:hAnsi="Times New Roman"/>
          <w:sz w:val="24"/>
          <w:szCs w:val="24"/>
          <w:highlight w:val="yellow"/>
        </w:rPr>
        <w:t>R*. 421-5</w:t>
      </w:r>
      <w:r>
        <w:rPr>
          <w:rFonts w:ascii="Times New Roman" w:hAnsi="Times New Roman"/>
          <w:sz w:val="24"/>
          <w:szCs w:val="24"/>
        </w:rPr>
        <w:t xml:space="preserve"> del Código de Urbanismo.</w:t>
      </w:r>
    </w:p>
    <w:p w14:paraId="2693E0B3" w14:textId="77777777" w:rsidR="00A51EA0" w:rsidRPr="00AC2428" w:rsidRDefault="00A51EA0" w:rsidP="00A51EA0">
      <w:pPr>
        <w:pStyle w:val="ListParagraph"/>
        <w:spacing w:after="0" w:line="240" w:lineRule="auto"/>
        <w:ind w:left="0"/>
        <w:jc w:val="both"/>
        <w:rPr>
          <w:rFonts w:ascii="Times New Roman" w:hAnsi="Times New Roman" w:cs="Times New Roman"/>
          <w:sz w:val="24"/>
          <w:szCs w:val="24"/>
        </w:rPr>
      </w:pPr>
    </w:p>
    <w:p w14:paraId="7A863FAF" w14:textId="2BAA1FF1" w:rsidR="00EC037D" w:rsidRPr="00AC2428" w:rsidRDefault="000E3CDC" w:rsidP="00A51EA0">
      <w:pPr>
        <w:jc w:val="both"/>
      </w:pPr>
      <w:r>
        <w:t>III. - A excepción de los edificios cuya obra terminó antes del 31 de diciembre de 2020, los edificios sujetos a una declaración que acredite la terminación de la obra en una fecha posterior al 31 de diciembre de 2025 deberán cumplir las disposiciones del presente artículo, con independencia de la fecha de solicitud de licencia de obra o declaración previa de obra.</w:t>
      </w:r>
    </w:p>
    <w:p w14:paraId="1BB990D1" w14:textId="77777777" w:rsidR="00EC037D" w:rsidRPr="00AC2428" w:rsidRDefault="00EC037D" w:rsidP="00A51EA0">
      <w:pPr>
        <w:jc w:val="both"/>
      </w:pPr>
    </w:p>
    <w:p w14:paraId="6ACB6F89" w14:textId="7823B146" w:rsidR="001E5E7E" w:rsidRPr="00AC2428" w:rsidRDefault="000E3CDC" w:rsidP="00A51EA0">
      <w:pPr>
        <w:jc w:val="both"/>
      </w:pPr>
      <w:r>
        <w:t>IV. -</w:t>
      </w:r>
      <w:r>
        <w:rPr>
          <w:rFonts w:ascii="Calibri" w:hAnsi="Calibri"/>
          <w:sz w:val="22"/>
          <w:szCs w:val="22"/>
        </w:rPr>
        <w:t xml:space="preserve"> </w:t>
      </w:r>
      <w:r>
        <w:t>La presente subsección no se aplicará en Guadalupe, Guayana, Martinica, Reunión y Mayotte.</w:t>
      </w:r>
    </w:p>
    <w:p w14:paraId="1A1886C5" w14:textId="39F6F4C1" w:rsidR="009E3368" w:rsidRPr="00AC2428" w:rsidRDefault="009E3368" w:rsidP="00A51EA0">
      <w:pPr>
        <w:pStyle w:val="ListParagraph"/>
        <w:spacing w:after="0" w:line="240" w:lineRule="auto"/>
        <w:ind w:left="0"/>
        <w:jc w:val="both"/>
        <w:rPr>
          <w:rFonts w:ascii="Times New Roman" w:hAnsi="Times New Roman" w:cs="Times New Roman"/>
          <w:sz w:val="24"/>
          <w:szCs w:val="24"/>
        </w:rPr>
      </w:pPr>
    </w:p>
    <w:p w14:paraId="266F5561" w14:textId="3A64A079" w:rsidR="009E3368" w:rsidRPr="00AC2428" w:rsidRDefault="000E3CDC" w:rsidP="00A51EA0">
      <w:pPr>
        <w:jc w:val="both"/>
        <w:rPr>
          <w:color w:val="000000" w:themeColor="text1"/>
        </w:rPr>
      </w:pPr>
      <w:r>
        <w:rPr>
          <w:i/>
          <w:color w:val="000000" w:themeColor="text1"/>
        </w:rPr>
        <w:t>Artículo R. 111-20-1</w:t>
      </w:r>
      <w:r>
        <w:rPr>
          <w:color w:val="000000" w:themeColor="text1"/>
        </w:rPr>
        <w:t>. - Para las construcciones provisionales definidas en el artículo </w:t>
      </w:r>
      <w:r>
        <w:rPr>
          <w:color w:val="000000" w:themeColor="text1"/>
          <w:highlight w:val="yellow"/>
        </w:rPr>
        <w:t>R*. 421-5</w:t>
      </w:r>
      <w:r>
        <w:rPr>
          <w:color w:val="000000" w:themeColor="text1"/>
        </w:rPr>
        <w:t xml:space="preserve"> del Código de Urbanismo previstas para un período de uso de menos de dos años, podrán aplicarse requisitos alternativos establecidos mediante orden para alcanzar algunos de los resultados mínimos fijados en la presente subsección. Esta Orden será emitida por el ministro responsable de la energía y el ministro responsable de la construcción.</w:t>
      </w:r>
    </w:p>
    <w:p w14:paraId="182B3B63" w14:textId="2DD7A559" w:rsidR="009E3368" w:rsidRPr="00AC2428" w:rsidRDefault="009E3368" w:rsidP="00A51EA0">
      <w:pPr>
        <w:jc w:val="both"/>
        <w:rPr>
          <w:color w:val="000000" w:themeColor="text1"/>
        </w:rPr>
      </w:pPr>
    </w:p>
    <w:p w14:paraId="2A1CD879" w14:textId="12238F09" w:rsidR="009E3368" w:rsidRPr="00AC2428" w:rsidRDefault="000E3CDC" w:rsidP="00A51EA0">
      <w:pPr>
        <w:jc w:val="both"/>
        <w:rPr>
          <w:color w:val="000000" w:themeColor="text1"/>
        </w:rPr>
      </w:pPr>
      <w:r>
        <w:rPr>
          <w:i/>
          <w:color w:val="000000" w:themeColor="text1"/>
        </w:rPr>
        <w:t>Artículo R. 111-20-2.</w:t>
      </w:r>
      <w:r>
        <w:rPr>
          <w:color w:val="000000" w:themeColor="text1"/>
        </w:rPr>
        <w:t xml:space="preserve"> - Para las construcciones de edificios con una superficie inferior a 50 m² y para las ampliaciones de edificios en función de sus características, podrán aplicarse requisitos alternativos que se establecerán mediante orden para alcanzar algunos de los resultados mínimos </w:t>
      </w:r>
      <w:r>
        <w:rPr>
          <w:color w:val="000000" w:themeColor="text1"/>
        </w:rPr>
        <w:lastRenderedPageBreak/>
        <w:t>fijados en la presente subsección. Esta Orden será emitida por el ministro responsable de la energía y el ministro responsable de la construcción.</w:t>
      </w:r>
    </w:p>
    <w:p w14:paraId="3F7A9601" w14:textId="77777777" w:rsidR="009E3368" w:rsidRPr="00AC2428" w:rsidRDefault="009E3368" w:rsidP="00A51EA0">
      <w:pPr>
        <w:jc w:val="both"/>
      </w:pPr>
    </w:p>
    <w:p w14:paraId="3859DC48" w14:textId="093D36C5" w:rsidR="009E3368" w:rsidRPr="00AC2428" w:rsidRDefault="000E3CDC" w:rsidP="00A51EA0">
      <w:pPr>
        <w:jc w:val="both"/>
      </w:pPr>
      <w:r>
        <w:rPr>
          <w:i/>
        </w:rPr>
        <w:t>Artículo R. 111-20-3.</w:t>
      </w:r>
      <w:r>
        <w:t xml:space="preserve"> - Con el fin de respetar los objetivos generales marcados por el artículo </w:t>
      </w:r>
      <w:r>
        <w:rPr>
          <w:highlight w:val="yellow"/>
        </w:rPr>
        <w:t>L. 111-9</w:t>
      </w:r>
      <w:r>
        <w:t xml:space="preserve"> [futuros L. 171-1 y L. 171-3], y sin perjuicio de lo dispuesto en los artículos </w:t>
      </w:r>
      <w:r>
        <w:rPr>
          <w:highlight w:val="yellow"/>
        </w:rPr>
        <w:t>R. 111-20-1</w:t>
      </w:r>
      <w:r>
        <w:t xml:space="preserve"> </w:t>
      </w:r>
      <w:r>
        <w:rPr>
          <w:highlight w:val="yellow"/>
        </w:rPr>
        <w:t>y R. 111-20-2</w:t>
      </w:r>
      <w:r>
        <w:t>, la construcción de la totalidad o parte de un edificio sujeto a la presente subsección deberá alcanzar los resultados mínimos siguientes:</w:t>
      </w:r>
    </w:p>
    <w:p w14:paraId="6E17111F" w14:textId="77777777" w:rsidR="009E3368" w:rsidRPr="00AC2428" w:rsidRDefault="009E3368" w:rsidP="00A51EA0">
      <w:pPr>
        <w:jc w:val="both"/>
      </w:pPr>
    </w:p>
    <w:p w14:paraId="6A6493F7" w14:textId="56102FA5" w:rsidR="009E3368" w:rsidRPr="00AC2428" w:rsidRDefault="000E3CDC" w:rsidP="00A51EA0">
      <w:pPr>
        <w:jc w:val="both"/>
      </w:pPr>
      <w:r>
        <w:t>1) la demanda energética del edificio, calculada para las condiciones de funcionamiento definidas, para la calefacción, la refrigeración y la iluminación, será inferior o igual a una demanda energética máxima;</w:t>
      </w:r>
    </w:p>
    <w:p w14:paraId="34EB79C6" w14:textId="77777777" w:rsidR="009E3368" w:rsidRPr="00AC2428" w:rsidRDefault="009E3368" w:rsidP="00A51EA0">
      <w:pPr>
        <w:jc w:val="both"/>
      </w:pPr>
    </w:p>
    <w:p w14:paraId="2F8D5475" w14:textId="442A554B" w:rsidR="009E3368" w:rsidRPr="00AC2428" w:rsidRDefault="000E3CDC" w:rsidP="00A51EA0">
      <w:pPr>
        <w:jc w:val="both"/>
      </w:pPr>
      <w:r>
        <w:t>2) el consumo de energía primaria y el consumo de energía primaria no renovable del edificio, calculados para las condiciones de funcionamiento definidas, para la calefacción, la refrigeración, la producción de agua caliente sanitaria, la iluminación, la movilidad de los ocupantes dentro del edificio, los auxiliares de calefacción, de refrigeración, de agua caliente sanitaria y de ventilación, serán inferiores o iguales respectivamente a un consumo máximo de energía primaria y a un consumo máximo de energía primaria no renovable;</w:t>
      </w:r>
    </w:p>
    <w:p w14:paraId="728C6C06" w14:textId="77777777" w:rsidR="009E3368" w:rsidRPr="00AC2428" w:rsidRDefault="009E3368" w:rsidP="00A51EA0">
      <w:pPr>
        <w:jc w:val="both"/>
      </w:pPr>
    </w:p>
    <w:p w14:paraId="5BEDCB4B" w14:textId="05FF2211" w:rsidR="009E3368" w:rsidRPr="00AC2428" w:rsidRDefault="000E3CDC" w:rsidP="00A51EA0">
      <w:pPr>
        <w:jc w:val="both"/>
      </w:pPr>
      <w:r>
        <w:t>3) el impacto sobre el cambio climático del consumo de energía primaria mencionado en el punto 2 será inferior o igual a un impacto máximo;</w:t>
      </w:r>
    </w:p>
    <w:p w14:paraId="2E9F42E8" w14:textId="77777777" w:rsidR="009E3368" w:rsidRPr="00AC2428" w:rsidRDefault="009E3368" w:rsidP="00A51EA0">
      <w:pPr>
        <w:jc w:val="both"/>
      </w:pPr>
    </w:p>
    <w:p w14:paraId="4C9CDE54" w14:textId="41749479" w:rsidR="009E3368" w:rsidRPr="00AC2428" w:rsidRDefault="000E3CDC" w:rsidP="00A51EA0">
      <w:pPr>
        <w:jc w:val="both"/>
      </w:pPr>
      <w:r>
        <w:t>4) el impacto sobre el cambio climático vinculado a los componentes del edificio, su transporte, su instalación, su uso excluyendo las necesidades energéticas y de agua de la fase de explotación del edificio, su mantenimiento, su reparación, su sustitución y su fin de vida útil, evaluados durante todo el ciclo de vida del edificio, será inferior o igual a un impacto máximo. La evaluación de este impacto tendrá en cuenta el almacenamiento, durante la vida útil del edificio, del carbono procedente de la atmósfera, así como los costes y beneficios vinculados a la valorización de los componentes al final de su vida útil;</w:t>
      </w:r>
    </w:p>
    <w:p w14:paraId="75B6FB8C" w14:textId="77777777" w:rsidR="009E3368" w:rsidRPr="00AC2428" w:rsidRDefault="009E3368" w:rsidP="00A51EA0">
      <w:pPr>
        <w:jc w:val="both"/>
      </w:pPr>
    </w:p>
    <w:p w14:paraId="390A0D70" w14:textId="07C2AD6D" w:rsidR="009E3368" w:rsidRPr="00AC2428" w:rsidRDefault="000E3CDC" w:rsidP="00A51EA0">
      <w:pPr>
        <w:jc w:val="both"/>
      </w:pPr>
      <w:r>
        <w:t>5) el número de grados-horas de falta de confort estival será inferior o igual a un número máximo de grados-horas falta de confort estival;</w:t>
      </w:r>
    </w:p>
    <w:p w14:paraId="466E278A" w14:textId="41B0956E" w:rsidR="00154360" w:rsidRPr="00AC2428" w:rsidRDefault="00154360" w:rsidP="00A51EA0">
      <w:pPr>
        <w:jc w:val="both"/>
      </w:pPr>
    </w:p>
    <w:p w14:paraId="1CA381FE" w14:textId="631C0482" w:rsidR="00154360" w:rsidRPr="00AC2428" w:rsidRDefault="000E3CDC" w:rsidP="00A51EA0">
      <w:pPr>
        <w:jc w:val="both"/>
      </w:pPr>
      <w:r>
        <w:t>6) el impacto sobre el cambio climático del edificio, evaluado en el conjunto de su ciclo de vida, se calculará a título informativo. La evaluación de este impacto tendrá en cuenta el almacenamiento, durante la vida útil del edificio, del carbono procedente de la atmósfera, así como los costes y beneficios vinculados a la valorización de los componentes al final de su vida útil;</w:t>
      </w:r>
    </w:p>
    <w:p w14:paraId="5471B520" w14:textId="77777777" w:rsidR="00154360" w:rsidRPr="00AC2428" w:rsidRDefault="00154360" w:rsidP="00A51EA0">
      <w:pPr>
        <w:jc w:val="both"/>
      </w:pPr>
    </w:p>
    <w:p w14:paraId="5C9F95DD" w14:textId="79CF51C6" w:rsidR="00154360" w:rsidRPr="00AC2428" w:rsidRDefault="000E3CDC" w:rsidP="00A51EA0">
      <w:pPr>
        <w:jc w:val="both"/>
      </w:pPr>
      <w:r>
        <w:t>7) la cantidad de carbono procedente de la atmósfera y almacenado en el edificio se calculará a título informativo.</w:t>
      </w:r>
    </w:p>
    <w:p w14:paraId="47BEB761" w14:textId="293E7873" w:rsidR="00154360" w:rsidRPr="00AC2428" w:rsidRDefault="00154360" w:rsidP="00A51EA0">
      <w:pPr>
        <w:jc w:val="both"/>
      </w:pPr>
    </w:p>
    <w:p w14:paraId="24EFB0F2" w14:textId="7408F505" w:rsidR="001C46EC" w:rsidRPr="00AC2428" w:rsidRDefault="000E3CDC" w:rsidP="00A51EA0">
      <w:pPr>
        <w:jc w:val="both"/>
      </w:pPr>
      <w:r>
        <w:t xml:space="preserve">En el punto 4 del presente artículo, la palabra “componentes” incluye “productos de construcción”, “productos de decoración” y “aparatos eléctricos, electrónicos y de climatización” en el sentido de las siguientes definiciones: “productos de construcción”: productos incorporados de manera sostenible en la construcción de un edificio o parte de un edificio; “productos de decoración”: productos utilizados para revestimientos de paredes, suelos y techos; “aparatos eléctricos, electrónicos y de climatización”: sistemas técnicos integrados en el edificio o parte de un edificio, o su parcela, que contribuyen al funcionamiento del edificio en lo que se refiere a la calefacción, la refrigeración, la ventilación, la producción de energía local, la iluminación, el agua caliente sanitaria y otros sistemas relacionados con el saneamiento, la seguridad, la seguridad contra </w:t>
      </w:r>
      <w:r>
        <w:lastRenderedPageBreak/>
        <w:t>incendios, el movimiento de ocupantes dentro del edificio, la automatización y la regulación del edificio, las redes energía y de comunicación.</w:t>
      </w:r>
    </w:p>
    <w:p w14:paraId="59C1009B" w14:textId="77777777" w:rsidR="00154360" w:rsidRPr="00AC2428" w:rsidRDefault="00154360" w:rsidP="00A51EA0">
      <w:pPr>
        <w:jc w:val="both"/>
      </w:pPr>
    </w:p>
    <w:p w14:paraId="2D7F6E9B" w14:textId="4B2F69C7" w:rsidR="00154360" w:rsidRPr="00AC2428" w:rsidRDefault="000E3CDC" w:rsidP="00A51EA0">
      <w:pPr>
        <w:jc w:val="both"/>
      </w:pPr>
      <w:r>
        <w:t>Las disposiciones de los puntos 1 a 3, 5 y 6 del presente artículo solo se aplicarán a las partes de edificios que, en uso normal, se calientan a una temperatura superior a 12 °C o se enfrían a una temperatura inferior a 30 °C, y a los aparcamientos asociados.</w:t>
      </w:r>
    </w:p>
    <w:p w14:paraId="48ABBC18" w14:textId="77777777" w:rsidR="00154360" w:rsidRPr="00AC2428" w:rsidRDefault="00154360" w:rsidP="00A51EA0">
      <w:pPr>
        <w:jc w:val="both"/>
      </w:pPr>
    </w:p>
    <w:p w14:paraId="0CC2FCAA" w14:textId="306CAF43" w:rsidR="00154360" w:rsidRPr="00AC2428" w:rsidRDefault="000E3CDC" w:rsidP="00A51EA0">
      <w:pPr>
        <w:jc w:val="both"/>
        <w:rPr>
          <w:bCs/>
        </w:rPr>
      </w:pPr>
      <w:r>
        <w:t xml:space="preserve">Una orden del ministro responsable de la energía y del ministro responsable de la construcción fijará, en función de las categorías de edificios y de su ubicación, los distintos valores máximos mencionados en los puntos 1 a 5. Asimismo, fijará la evolución de los valores máximos mencionados en los puntos 3 y 4, con el fin de recurrir a sistemas energéticos y métodos de construcción que emitan escasos gases de efecto invernadero, que se aplicarán a partir del </w:t>
      </w:r>
      <w:r>
        <w:rPr>
          <w:highlight w:val="yellow"/>
        </w:rPr>
        <w:t>1 de julio de 2024, a partir del 1 de julio de 2027 y a partir del 1 de julio de 2030</w:t>
      </w:r>
      <w:r>
        <w:t>.</w:t>
      </w:r>
    </w:p>
    <w:p w14:paraId="66CD3585" w14:textId="77777777" w:rsidR="002E4886" w:rsidRPr="00AC2428" w:rsidRDefault="002E4886" w:rsidP="00A51EA0">
      <w:pPr>
        <w:jc w:val="both"/>
        <w:rPr>
          <w:b/>
          <w:bCs/>
        </w:rPr>
      </w:pPr>
    </w:p>
    <w:p w14:paraId="4993B9D8" w14:textId="75B023D8" w:rsidR="00154360" w:rsidRPr="00AC2428" w:rsidRDefault="000E3CDC" w:rsidP="00A51EA0">
      <w:pPr>
        <w:jc w:val="both"/>
      </w:pPr>
      <w:r>
        <w:rPr>
          <w:i/>
        </w:rPr>
        <w:t>Artículo R. 111-20-4</w:t>
      </w:r>
      <w:r>
        <w:t>. - Una orden del ministro responsable de la energía y del ministro responsable de la construcción establecerá, en función de la categoría del edificio y de su ubicación, las características técnicas mínimas de determinados componentes o conjuntos de componentes del edificio que contribuyan a la eficiencia energética y al comportamiento medioambiental, a la calidad sanitaria o al confort térmico.</w:t>
      </w:r>
    </w:p>
    <w:p w14:paraId="434D734D" w14:textId="77777777" w:rsidR="00154360" w:rsidRPr="00AC2428" w:rsidRDefault="00154360" w:rsidP="00A51EA0">
      <w:pPr>
        <w:jc w:val="both"/>
        <w:rPr>
          <w:b/>
        </w:rPr>
      </w:pPr>
    </w:p>
    <w:p w14:paraId="6644CA27" w14:textId="3A3F7F5D" w:rsidR="00154360" w:rsidRPr="00AC2428" w:rsidRDefault="000E3CDC" w:rsidP="00A51EA0">
      <w:pPr>
        <w:jc w:val="both"/>
        <w:rPr>
          <w:color w:val="000000"/>
        </w:rPr>
      </w:pPr>
      <w:r>
        <w:rPr>
          <w:i/>
        </w:rPr>
        <w:t>Artículo R. 111-20-5</w:t>
      </w:r>
      <w:r>
        <w:rPr>
          <w:i/>
          <w:color w:val="000000"/>
        </w:rPr>
        <w:t>.</w:t>
      </w:r>
      <w:r>
        <w:rPr>
          <w:color w:val="000000"/>
        </w:rPr>
        <w:t xml:space="preserve"> - I.- La consecución de los resultados mínimos establecidos en el artículo </w:t>
      </w:r>
      <w:r>
        <w:rPr>
          <w:highlight w:val="yellow"/>
        </w:rPr>
        <w:t>R. 111-20-3,</w:t>
      </w:r>
      <w:r>
        <w:t xml:space="preserve"> </w:t>
      </w:r>
      <w:r>
        <w:rPr>
          <w:color w:val="000000"/>
        </w:rPr>
        <w:t>y determinados requisitos mínimos establecidos en el artículo </w:t>
      </w:r>
      <w:r>
        <w:rPr>
          <w:highlight w:val="yellow"/>
        </w:rPr>
        <w:t>R. 111-20-4</w:t>
      </w:r>
      <w:r>
        <w:rPr>
          <w:color w:val="000000"/>
        </w:rPr>
        <w:t xml:space="preserve">, se verificarán de acuerdo con un método de cálculo que define, en particular, las normas y las hipótesis de cálculo que deberán aplicarse. </w:t>
      </w:r>
    </w:p>
    <w:p w14:paraId="39534DB8" w14:textId="77777777" w:rsidR="00EC037D" w:rsidRPr="00AC2428" w:rsidRDefault="00EC037D" w:rsidP="00A51EA0">
      <w:pPr>
        <w:pBdr>
          <w:top w:val="nil"/>
          <w:left w:val="nil"/>
          <w:bottom w:val="nil"/>
          <w:right w:val="nil"/>
          <w:between w:val="nil"/>
        </w:pBdr>
        <w:suppressAutoHyphens w:val="0"/>
        <w:jc w:val="both"/>
      </w:pPr>
    </w:p>
    <w:p w14:paraId="780C265C" w14:textId="4A331F19" w:rsidR="00154360" w:rsidRPr="00AC2428" w:rsidRDefault="000E3CDC" w:rsidP="00A51EA0">
      <w:pPr>
        <w:pBdr>
          <w:top w:val="nil"/>
          <w:left w:val="nil"/>
          <w:bottom w:val="nil"/>
          <w:right w:val="nil"/>
          <w:between w:val="nil"/>
        </w:pBdr>
        <w:suppressAutoHyphens w:val="0"/>
        <w:jc w:val="both"/>
        <w:rPr>
          <w:color w:val="000000"/>
        </w:rPr>
      </w:pPr>
      <w:r>
        <w:rPr>
          <w:color w:val="000000"/>
        </w:rPr>
        <w:t xml:space="preserve">II. - Para determinadas categorías de edificios, podrá proponerse una solución técnica y, previa aprobación del ministro responsable de energía y del ministro responsable de la construcción, alegar el cumplimiento de lo dispuesto en la presente subsección. </w:t>
      </w:r>
    </w:p>
    <w:p w14:paraId="533813FC" w14:textId="77777777" w:rsidR="00EC037D" w:rsidRPr="00AC2428" w:rsidRDefault="00EC037D" w:rsidP="00A51EA0">
      <w:pPr>
        <w:pBdr>
          <w:top w:val="nil"/>
          <w:left w:val="nil"/>
          <w:bottom w:val="nil"/>
          <w:right w:val="nil"/>
          <w:between w:val="nil"/>
        </w:pBdr>
        <w:suppressAutoHyphens w:val="0"/>
        <w:jc w:val="both"/>
      </w:pPr>
    </w:p>
    <w:p w14:paraId="02F713BC" w14:textId="081E3ACA" w:rsidR="00154360" w:rsidRPr="00AC2428" w:rsidRDefault="000E3CDC" w:rsidP="00A51EA0">
      <w:pPr>
        <w:pBdr>
          <w:top w:val="nil"/>
          <w:left w:val="nil"/>
          <w:bottom w:val="nil"/>
          <w:right w:val="nil"/>
          <w:between w:val="nil"/>
        </w:pBdr>
        <w:suppressAutoHyphens w:val="0"/>
        <w:jc w:val="both"/>
        <w:rPr>
          <w:color w:val="000000"/>
        </w:rPr>
      </w:pPr>
      <w:r>
        <w:rPr>
          <w:color w:val="000000"/>
        </w:rPr>
        <w:t xml:space="preserve">III. - Cuando el método de cálculo no sea aplicable debido a las especificidades del proyecto, de un sistema, o de la creación o consiguiente modificación de las energías consumidas de una red de calor o frío, el método de verificación de la consecución de resultados podrá adaptarse a este proyecto, a este sistema o a esta red, previa aprobación del el ministro responsable de la energía y el ministro responsable de la construcción. </w:t>
      </w:r>
    </w:p>
    <w:p w14:paraId="70144FC0" w14:textId="77777777" w:rsidR="00703D48" w:rsidRPr="00AC2428" w:rsidRDefault="00703D48" w:rsidP="00A51EA0">
      <w:pPr>
        <w:pBdr>
          <w:top w:val="nil"/>
          <w:left w:val="nil"/>
          <w:bottom w:val="nil"/>
          <w:right w:val="nil"/>
          <w:between w:val="nil"/>
        </w:pBdr>
        <w:suppressAutoHyphens w:val="0"/>
        <w:jc w:val="both"/>
        <w:rPr>
          <w:color w:val="000000"/>
        </w:rPr>
      </w:pPr>
    </w:p>
    <w:p w14:paraId="5BBCD130" w14:textId="52D273E3" w:rsidR="00154360" w:rsidRPr="00AC2428" w:rsidRDefault="00154360" w:rsidP="00A51EA0">
      <w:pPr>
        <w:pBdr>
          <w:top w:val="nil"/>
          <w:left w:val="nil"/>
          <w:bottom w:val="nil"/>
          <w:right w:val="nil"/>
          <w:between w:val="nil"/>
        </w:pBdr>
        <w:jc w:val="both"/>
        <w:rPr>
          <w:color w:val="000000"/>
        </w:rPr>
      </w:pPr>
      <w:r>
        <w:rPr>
          <w:color w:val="000000"/>
        </w:rPr>
        <w:t>Una orden del ministro responsable de la energía y del ministro responsable de la construcción fijará el método mencionado en el apartado I, y determinará las condiciones de aplicación de las adaptaciones previstas en los apartados II y III.</w:t>
      </w:r>
    </w:p>
    <w:p w14:paraId="00BDE231" w14:textId="0F9B1432" w:rsidR="00154360" w:rsidRPr="00AC2428" w:rsidRDefault="00154360" w:rsidP="00A51EA0">
      <w:pPr>
        <w:pBdr>
          <w:top w:val="nil"/>
          <w:left w:val="nil"/>
          <w:bottom w:val="nil"/>
          <w:right w:val="nil"/>
          <w:between w:val="nil"/>
        </w:pBdr>
        <w:jc w:val="both"/>
        <w:rPr>
          <w:color w:val="000000"/>
        </w:rPr>
      </w:pPr>
    </w:p>
    <w:p w14:paraId="4A3F5FA2" w14:textId="715764C6" w:rsidR="00154360" w:rsidRPr="00AC2428" w:rsidRDefault="000E3CDC" w:rsidP="00A51EA0">
      <w:pPr>
        <w:jc w:val="both"/>
      </w:pPr>
      <w:r>
        <w:rPr>
          <w:i/>
        </w:rPr>
        <w:t>Artículo R. 111-20-6.</w:t>
      </w:r>
      <w:r>
        <w:t xml:space="preserve"> - Una orden del ministro responsable de la energía y del ministro responsable de la construcción determinará los datos que podrán utilizarse para justificar el cumplimiento de los requisitos establecidos en los artículos </w:t>
      </w:r>
      <w:r>
        <w:rPr>
          <w:highlight w:val="yellow"/>
        </w:rPr>
        <w:t>R. 111-20-3 a R. 111-20-5</w:t>
      </w:r>
      <w:r>
        <w:t xml:space="preserve"> y fijará las normas de uso de estos datos. </w:t>
      </w:r>
    </w:p>
    <w:p w14:paraId="43043D93" w14:textId="77777777" w:rsidR="00FF74AB" w:rsidRPr="00AC2428" w:rsidRDefault="00FF74AB" w:rsidP="00A51EA0">
      <w:pPr>
        <w:jc w:val="both"/>
      </w:pPr>
    </w:p>
    <w:p w14:paraId="45BEAD51" w14:textId="11BC7624" w:rsidR="00154360" w:rsidRPr="00AC2428" w:rsidRDefault="000E3CDC" w:rsidP="00A51EA0">
      <w:pPr>
        <w:jc w:val="both"/>
      </w:pPr>
      <w:r>
        <w:rPr>
          <w:i/>
        </w:rPr>
        <w:t>Artículo R. 111-20-7.</w:t>
      </w:r>
      <w:r>
        <w:t xml:space="preserve"> - Una orden del ministro responsable de la energía y del ministro responsable de la construcción fijará los métodos de transmisión de los datos utilizados para el cálculo de los valores mencionados del punto 1 al 7 del artículo </w:t>
      </w:r>
      <w:r>
        <w:rPr>
          <w:highlight w:val="yellow"/>
        </w:rPr>
        <w:t>R. 111-20-3</w:t>
      </w:r>
      <w:r>
        <w:t>, de conformidad con el artículo </w:t>
      </w:r>
      <w:r>
        <w:rPr>
          <w:highlight w:val="yellow"/>
        </w:rPr>
        <w:t>R. 111-20-6</w:t>
      </w:r>
      <w:r>
        <w:t>. Estos datos serán conservados por los dueños de la obra tras la terminación de la obra y durante al menos seis años desde la presentación de la declaración prevista en el artículo </w:t>
      </w:r>
      <w:r>
        <w:rPr>
          <w:highlight w:val="yellow"/>
        </w:rPr>
        <w:t>L. 462-1</w:t>
      </w:r>
      <w:r>
        <w:t xml:space="preserve"> del Código de Urbanismo. Estos se comunicarán al primer comprador del inmueble y, dentro del límite de su período de conservación, a petición de estos a los futuros </w:t>
      </w:r>
      <w:r>
        <w:lastRenderedPageBreak/>
        <w:t>compradores, a las personas autorizadas mencionadas en los artículos </w:t>
      </w:r>
      <w:r>
        <w:rPr>
          <w:highlight w:val="yellow"/>
        </w:rPr>
        <w:t>L. 151-1</w:t>
      </w:r>
      <w:r>
        <w:t xml:space="preserve"> </w:t>
      </w:r>
      <w:r>
        <w:rPr>
          <w:highlight w:val="yellow"/>
        </w:rPr>
        <w:t xml:space="preserve">[futuro L. 181-1] </w:t>
      </w:r>
      <w:r>
        <w:t>del Código de la construcción y la vivienda, a cualquier persona encargada de emitir un certificado que establezca que se han tenido en cuenta las normas de construcción de la presente subsección, y a cualquier persona encargada de establecer el diagnóstico de eficiencia energética mencionado en el artículo </w:t>
      </w:r>
      <w:r>
        <w:rPr>
          <w:highlight w:val="yellow"/>
        </w:rPr>
        <w:t>L. 134-2 [futuro L. 126-27</w:t>
      </w:r>
      <w:r>
        <w:t>] del Código de la construcción y la vivienda.</w:t>
      </w:r>
    </w:p>
    <w:p w14:paraId="616C0E7E" w14:textId="0974ECAA" w:rsidR="00FF74AB" w:rsidRPr="00AC2428" w:rsidRDefault="00FF74AB" w:rsidP="00A51EA0">
      <w:pPr>
        <w:jc w:val="both"/>
      </w:pPr>
    </w:p>
    <w:p w14:paraId="46B722E3" w14:textId="26859DCA" w:rsidR="00154360" w:rsidRPr="00AC2428" w:rsidRDefault="000E3CDC" w:rsidP="00A51EA0">
      <w:pPr>
        <w:jc w:val="both"/>
        <w:rPr>
          <w:i/>
        </w:rPr>
      </w:pPr>
      <w:r>
        <w:rPr>
          <w:i/>
        </w:rPr>
        <w:t xml:space="preserve">Subsección 2: Estudios y trámites asociados a la construcción de edificios o partes de edificios de viviendas, de oficinas o de educación primaria o secundaria </w:t>
      </w:r>
    </w:p>
    <w:p w14:paraId="103C14DE" w14:textId="77777777" w:rsidR="00FF74AB" w:rsidRPr="00AC2428" w:rsidRDefault="00FF74AB" w:rsidP="00A51EA0">
      <w:pPr>
        <w:jc w:val="both"/>
      </w:pPr>
    </w:p>
    <w:p w14:paraId="7AC24B55" w14:textId="510AACE3" w:rsidR="00154360" w:rsidRPr="00AC2428" w:rsidRDefault="00154360" w:rsidP="00A51EA0">
      <w:pPr>
        <w:jc w:val="both"/>
      </w:pPr>
      <w:r>
        <w:rPr>
          <w:highlight w:val="yellow"/>
        </w:rPr>
        <w:t>[El contenido de esta sección se actualizará en el marco de una consulta adicional]</w:t>
      </w:r>
    </w:p>
    <w:p w14:paraId="0AD0F92A" w14:textId="77777777" w:rsidR="00154360" w:rsidRPr="00AC2428" w:rsidRDefault="00154360" w:rsidP="00A51EA0">
      <w:pPr>
        <w:jc w:val="both"/>
      </w:pPr>
    </w:p>
    <w:p w14:paraId="4DF6D8A0" w14:textId="02F0FCF7" w:rsidR="00154360" w:rsidRPr="00AC2428" w:rsidRDefault="000E3CDC" w:rsidP="00A51EA0">
      <w:pPr>
        <w:jc w:val="both"/>
      </w:pPr>
      <w:r>
        <w:rPr>
          <w:i/>
        </w:rPr>
        <w:t>Artículo R. 111-20-8</w:t>
      </w:r>
      <w:r>
        <w:t>. - I.- El plazo de expiración del que surge una decisión implícita de aceptación será de tres meses para las solicitudes presentadas sobre la base de lo dispuesto en el artículo </w:t>
      </w:r>
      <w:r>
        <w:rPr>
          <w:highlight w:val="yellow"/>
        </w:rPr>
        <w:t>R. 111-20</w:t>
      </w:r>
      <w:r>
        <w:t xml:space="preserve"> con la siguiente finalidad:</w:t>
      </w:r>
    </w:p>
    <w:p w14:paraId="45DCFE5B" w14:textId="77777777" w:rsidR="00154360" w:rsidRPr="00AC2428" w:rsidRDefault="00154360" w:rsidP="00A51EA0">
      <w:pPr>
        <w:jc w:val="both"/>
      </w:pPr>
    </w:p>
    <w:p w14:paraId="5D673FDE" w14:textId="15B97E39" w:rsidR="00154360" w:rsidRPr="00AC2428" w:rsidRDefault="000E3CDC" w:rsidP="00A51EA0">
      <w:pPr>
        <w:jc w:val="both"/>
      </w:pPr>
      <w:r>
        <w:t>1) la aprobación de un operador de medida de la permeabilidad del aire de los edificios;</w:t>
      </w:r>
    </w:p>
    <w:p w14:paraId="1FF528DD" w14:textId="77777777" w:rsidR="00154360" w:rsidRPr="00AC2428" w:rsidRDefault="00154360" w:rsidP="00A51EA0">
      <w:pPr>
        <w:jc w:val="both"/>
      </w:pPr>
    </w:p>
    <w:p w14:paraId="5D0A0203" w14:textId="2A290B26" w:rsidR="00154360" w:rsidRPr="00AC2428" w:rsidRDefault="000E3CDC" w:rsidP="00A51EA0">
      <w:pPr>
        <w:jc w:val="both"/>
      </w:pPr>
      <w:r>
        <w:t>2) el acuerdo de un organismo para la entrega de la etiqueta “alta eficiencia energética y alto comportamiento medioambiental” de conformidad con el artículo </w:t>
      </w:r>
      <w:r>
        <w:rPr>
          <w:highlight w:val="yellow"/>
        </w:rPr>
        <w:t>R. 111-20-23</w:t>
      </w:r>
      <w:r>
        <w:t>.</w:t>
      </w:r>
    </w:p>
    <w:p w14:paraId="63FC092D" w14:textId="77777777" w:rsidR="00154360" w:rsidRPr="00AC2428" w:rsidRDefault="00154360" w:rsidP="00A51EA0">
      <w:pPr>
        <w:jc w:val="both"/>
      </w:pPr>
    </w:p>
    <w:p w14:paraId="709EB454" w14:textId="56B27583" w:rsidR="00154360" w:rsidRPr="00AC2428" w:rsidRDefault="000E3CDC" w:rsidP="00A51EA0">
      <w:pPr>
        <w:jc w:val="both"/>
      </w:pPr>
      <w:r>
        <w:t>II. - El plazo de expiración del que surge una decisión implícita de aceptación será de cuatro meses para las solicitudes de aprobación de una solución técnica que alegue el cumplimiento de lo dispuesto en el subsección 1 presentadas sobre la base de lo dispuesto en el</w:t>
      </w:r>
      <w:r>
        <w:rPr>
          <w:highlight w:val="yellow"/>
        </w:rPr>
        <w:t xml:space="preserve"> artículo R. 111-20-5, apartado II</w:t>
      </w:r>
      <w:r>
        <w:t>.</w:t>
      </w:r>
    </w:p>
    <w:p w14:paraId="1378F613" w14:textId="77777777" w:rsidR="00154360" w:rsidRPr="00AC2428" w:rsidRDefault="00154360" w:rsidP="00A51EA0">
      <w:pPr>
        <w:jc w:val="both"/>
      </w:pPr>
    </w:p>
    <w:p w14:paraId="2284FE9C" w14:textId="17530127" w:rsidR="00154360" w:rsidRPr="00AC2428" w:rsidRDefault="000E3CDC" w:rsidP="00A51EA0">
      <w:pPr>
        <w:jc w:val="both"/>
      </w:pPr>
      <w:r>
        <w:t xml:space="preserve">III. - El plazo de expiración del que surge una decisión implícita de aceptación será de seis meses para las solicitudes de aprobación de la eficiencia de una red de calor o frío, presentadas sobre la base de lo dispuesto en el </w:t>
      </w:r>
      <w:r>
        <w:rPr>
          <w:highlight w:val="yellow"/>
        </w:rPr>
        <w:t>artículo R. 111-20-5, apartado III</w:t>
      </w:r>
      <w:r>
        <w:t>.</w:t>
      </w:r>
    </w:p>
    <w:p w14:paraId="632879FE" w14:textId="77777777" w:rsidR="00154360" w:rsidRPr="00AC2428" w:rsidRDefault="00154360" w:rsidP="00A51EA0">
      <w:pPr>
        <w:jc w:val="both"/>
      </w:pPr>
    </w:p>
    <w:p w14:paraId="22DCDE84" w14:textId="665FF17C" w:rsidR="00154360" w:rsidRPr="00AC2428" w:rsidRDefault="000E3CDC" w:rsidP="00A51EA0">
      <w:pPr>
        <w:jc w:val="both"/>
      </w:pPr>
      <w:r>
        <w:t>IV. - El plazo de expiración del que surge una decisión implícita de aceptación será de nueve meses para las solicitudes de aprobación de un programa informático para la aplicación de la normativa térmica, presentadas sobre la base de lo dispuesto en el artículo </w:t>
      </w:r>
      <w:r>
        <w:rPr>
          <w:highlight w:val="yellow"/>
        </w:rPr>
        <w:t>R. 111-20-5.</w:t>
      </w:r>
    </w:p>
    <w:p w14:paraId="0E512E3F" w14:textId="77777777" w:rsidR="00154360" w:rsidRPr="00AC2428" w:rsidRDefault="00154360" w:rsidP="00A51EA0">
      <w:pPr>
        <w:jc w:val="both"/>
      </w:pPr>
    </w:p>
    <w:p w14:paraId="5B67D484" w14:textId="09C0045B" w:rsidR="00154360" w:rsidRPr="00AC2428" w:rsidRDefault="000E3CDC" w:rsidP="00A51EA0">
      <w:pPr>
        <w:jc w:val="both"/>
      </w:pPr>
      <w:r>
        <w:t>V.- El plazo de expiración del que surge una decisión implícita de aceptación será de doce meses para las solicitudes de aprobación de un método de justificación de la eficiencia de un sistema en relación con los requisitos de la normativa térmica, presentadas sobre la base de lo dispuesto en el artículo </w:t>
      </w:r>
      <w:r>
        <w:rPr>
          <w:highlight w:val="yellow"/>
        </w:rPr>
        <w:t>R. 111-20-5, apartado III</w:t>
      </w:r>
      <w:r>
        <w:t>.</w:t>
      </w:r>
    </w:p>
    <w:p w14:paraId="3950BD8C" w14:textId="38295321" w:rsidR="00154360" w:rsidRPr="00AC2428" w:rsidRDefault="00154360" w:rsidP="00A51EA0">
      <w:pPr>
        <w:jc w:val="both"/>
      </w:pPr>
    </w:p>
    <w:p w14:paraId="1733B79B" w14:textId="20795888" w:rsidR="00154360" w:rsidRPr="00AC2428" w:rsidRDefault="000E3CDC" w:rsidP="00A51EA0">
      <w:pPr>
        <w:jc w:val="both"/>
        <w:rPr>
          <w:i/>
          <w:highlight w:val="yellow"/>
        </w:rPr>
      </w:pPr>
      <w:r>
        <w:rPr>
          <w:i/>
        </w:rPr>
        <w:t>Subsección 3: Requisitos de eficiencia energética aplicables a la construcción de edificios o partes de edificios no contemplados en la subsección 1</w:t>
      </w:r>
    </w:p>
    <w:p w14:paraId="61B403D2" w14:textId="77777777" w:rsidR="00C92A23" w:rsidRPr="00AC2428" w:rsidRDefault="00C92A23" w:rsidP="00A51EA0">
      <w:pPr>
        <w:jc w:val="both"/>
      </w:pPr>
    </w:p>
    <w:p w14:paraId="39EB0667" w14:textId="31736987" w:rsidR="00154360" w:rsidRPr="00AC2428" w:rsidRDefault="000E3CDC" w:rsidP="00A51EA0">
      <w:pPr>
        <w:jc w:val="both"/>
      </w:pPr>
      <w:r>
        <w:rPr>
          <w:i/>
        </w:rPr>
        <w:t>Artículo R. 111-20-9.</w:t>
      </w:r>
      <w:r>
        <w:t xml:space="preserve"> - Las disposiciones de la presente subsección serán aplicables a todos los proyectos de construcción de edificios o partes de edificios que requieran una solicitud de licencia de obra o una declaración previa, y que figuren en la siguiente lista: </w:t>
      </w:r>
    </w:p>
    <w:p w14:paraId="08615F49" w14:textId="77777777" w:rsidR="00154360" w:rsidRPr="00AC2428" w:rsidRDefault="00154360" w:rsidP="00A51EA0">
      <w:pPr>
        <w:pStyle w:val="ListParagraph"/>
        <w:numPr>
          <w:ilvl w:val="0"/>
          <w:numId w:val="24"/>
        </w:numPr>
        <w:spacing w:after="0" w:line="240" w:lineRule="auto"/>
        <w:jc w:val="both"/>
        <w:rPr>
          <w:rFonts w:ascii="Times New Roman" w:hAnsi="Times New Roman" w:cs="Times New Roman"/>
          <w:sz w:val="24"/>
          <w:szCs w:val="24"/>
        </w:rPr>
      </w:pPr>
      <w:r>
        <w:rPr>
          <w:rFonts w:ascii="Times New Roman" w:hAnsi="Times New Roman"/>
          <w:sz w:val="24"/>
          <w:szCs w:val="24"/>
        </w:rPr>
        <w:t xml:space="preserve">establecimientos de acogida para la primera infancia; </w:t>
      </w:r>
    </w:p>
    <w:p w14:paraId="1A911A09" w14:textId="77777777" w:rsidR="00154360" w:rsidRPr="00AC2428" w:rsidRDefault="00154360" w:rsidP="00A51EA0">
      <w:pPr>
        <w:pStyle w:val="ListParagraph"/>
        <w:numPr>
          <w:ilvl w:val="0"/>
          <w:numId w:val="24"/>
        </w:numPr>
        <w:spacing w:after="0" w:line="240" w:lineRule="auto"/>
        <w:jc w:val="both"/>
        <w:rPr>
          <w:rFonts w:ascii="Times New Roman" w:hAnsi="Times New Roman" w:cs="Times New Roman"/>
          <w:sz w:val="24"/>
          <w:szCs w:val="24"/>
        </w:rPr>
      </w:pPr>
      <w:r>
        <w:rPr>
          <w:rFonts w:ascii="Times New Roman" w:hAnsi="Times New Roman"/>
          <w:sz w:val="24"/>
          <w:szCs w:val="24"/>
        </w:rPr>
        <w:t>zona de alojamiento de los edificios de educación secundaria;</w:t>
      </w:r>
    </w:p>
    <w:p w14:paraId="4BA08CAE" w14:textId="77777777" w:rsidR="00154360" w:rsidRPr="00AC2428" w:rsidRDefault="00154360" w:rsidP="00A51EA0">
      <w:pPr>
        <w:pStyle w:val="ListParagraph"/>
        <w:numPr>
          <w:ilvl w:val="0"/>
          <w:numId w:val="24"/>
        </w:numPr>
        <w:spacing w:after="0" w:line="240" w:lineRule="auto"/>
        <w:jc w:val="both"/>
        <w:rPr>
          <w:rFonts w:ascii="Times New Roman" w:hAnsi="Times New Roman" w:cs="Times New Roman"/>
          <w:sz w:val="24"/>
          <w:szCs w:val="24"/>
        </w:rPr>
      </w:pPr>
      <w:r>
        <w:rPr>
          <w:rFonts w:ascii="Times New Roman" w:hAnsi="Times New Roman"/>
          <w:sz w:val="24"/>
          <w:szCs w:val="24"/>
        </w:rPr>
        <w:t xml:space="preserve">edificios universitarios para la enseñanza y la investigación; </w:t>
      </w:r>
    </w:p>
    <w:p w14:paraId="6941DF00" w14:textId="77777777" w:rsidR="00154360" w:rsidRPr="00AC2428" w:rsidRDefault="00154360" w:rsidP="00A51EA0">
      <w:pPr>
        <w:pStyle w:val="ListParagraph"/>
        <w:numPr>
          <w:ilvl w:val="0"/>
          <w:numId w:val="24"/>
        </w:numPr>
        <w:spacing w:after="0" w:line="240" w:lineRule="auto"/>
        <w:jc w:val="both"/>
        <w:rPr>
          <w:rFonts w:ascii="Times New Roman" w:hAnsi="Times New Roman" w:cs="Times New Roman"/>
          <w:sz w:val="24"/>
          <w:szCs w:val="24"/>
        </w:rPr>
      </w:pPr>
      <w:r>
        <w:rPr>
          <w:rFonts w:ascii="Times New Roman" w:hAnsi="Times New Roman"/>
          <w:sz w:val="24"/>
          <w:szCs w:val="24"/>
        </w:rPr>
        <w:t xml:space="preserve">hoteles; </w:t>
      </w:r>
    </w:p>
    <w:p w14:paraId="1F150381" w14:textId="77777777" w:rsidR="00154360" w:rsidRPr="00AC2428" w:rsidRDefault="00154360" w:rsidP="00A51EA0">
      <w:pPr>
        <w:pStyle w:val="ListParagraph"/>
        <w:numPr>
          <w:ilvl w:val="0"/>
          <w:numId w:val="24"/>
        </w:numPr>
        <w:spacing w:after="0" w:line="240" w:lineRule="auto"/>
        <w:jc w:val="both"/>
        <w:rPr>
          <w:rFonts w:ascii="Times New Roman" w:hAnsi="Times New Roman" w:cs="Times New Roman"/>
          <w:sz w:val="24"/>
          <w:szCs w:val="24"/>
        </w:rPr>
      </w:pPr>
      <w:r>
        <w:rPr>
          <w:rFonts w:ascii="Times New Roman" w:hAnsi="Times New Roman"/>
          <w:sz w:val="24"/>
          <w:szCs w:val="24"/>
        </w:rPr>
        <w:t xml:space="preserve">restaurantes; </w:t>
      </w:r>
    </w:p>
    <w:p w14:paraId="0434330D" w14:textId="77777777" w:rsidR="00154360" w:rsidRPr="00AC2428" w:rsidRDefault="00154360" w:rsidP="00A51EA0">
      <w:pPr>
        <w:pStyle w:val="ListParagraph"/>
        <w:numPr>
          <w:ilvl w:val="0"/>
          <w:numId w:val="24"/>
        </w:numPr>
        <w:spacing w:after="0" w:line="240" w:lineRule="auto"/>
        <w:jc w:val="both"/>
        <w:rPr>
          <w:rFonts w:ascii="Times New Roman" w:hAnsi="Times New Roman" w:cs="Times New Roman"/>
          <w:sz w:val="24"/>
          <w:szCs w:val="24"/>
        </w:rPr>
      </w:pPr>
      <w:r>
        <w:rPr>
          <w:rFonts w:ascii="Times New Roman" w:hAnsi="Times New Roman"/>
          <w:sz w:val="24"/>
          <w:szCs w:val="24"/>
        </w:rPr>
        <w:t xml:space="preserve">comercios; </w:t>
      </w:r>
    </w:p>
    <w:p w14:paraId="61971C43" w14:textId="77777777" w:rsidR="00154360" w:rsidRPr="00AC2428" w:rsidRDefault="00154360" w:rsidP="00A51EA0">
      <w:pPr>
        <w:pStyle w:val="ListParagraph"/>
        <w:numPr>
          <w:ilvl w:val="0"/>
          <w:numId w:val="24"/>
        </w:numPr>
        <w:spacing w:after="0" w:line="240" w:lineRule="auto"/>
        <w:jc w:val="both"/>
        <w:rPr>
          <w:rFonts w:ascii="Times New Roman" w:hAnsi="Times New Roman" w:cs="Times New Roman"/>
          <w:sz w:val="24"/>
          <w:szCs w:val="24"/>
        </w:rPr>
      </w:pPr>
      <w:r>
        <w:rPr>
          <w:rFonts w:ascii="Times New Roman" w:hAnsi="Times New Roman"/>
          <w:sz w:val="24"/>
          <w:szCs w:val="24"/>
        </w:rPr>
        <w:t xml:space="preserve">gimnasios e instalaciones deportivas, incluidos los vestuarios; </w:t>
      </w:r>
    </w:p>
    <w:p w14:paraId="7D242C6C" w14:textId="77777777" w:rsidR="00154360" w:rsidRPr="00AC2428" w:rsidRDefault="00154360" w:rsidP="00A51EA0">
      <w:pPr>
        <w:pStyle w:val="ListParagraph"/>
        <w:numPr>
          <w:ilvl w:val="0"/>
          <w:numId w:val="24"/>
        </w:numPr>
        <w:spacing w:after="0" w:line="240" w:lineRule="auto"/>
        <w:jc w:val="both"/>
        <w:rPr>
          <w:rFonts w:ascii="Times New Roman" w:hAnsi="Times New Roman" w:cs="Times New Roman"/>
          <w:sz w:val="24"/>
          <w:szCs w:val="24"/>
        </w:rPr>
      </w:pPr>
      <w:r>
        <w:rPr>
          <w:rFonts w:ascii="Times New Roman" w:hAnsi="Times New Roman"/>
          <w:sz w:val="24"/>
          <w:szCs w:val="24"/>
        </w:rPr>
        <w:lastRenderedPageBreak/>
        <w:t xml:space="preserve">establecimientos sanitarios; </w:t>
      </w:r>
    </w:p>
    <w:p w14:paraId="6FC935A0" w14:textId="77777777" w:rsidR="00154360" w:rsidRPr="00AC2428" w:rsidRDefault="00154360" w:rsidP="00A51EA0">
      <w:pPr>
        <w:pStyle w:val="ListParagraph"/>
        <w:numPr>
          <w:ilvl w:val="0"/>
          <w:numId w:val="24"/>
        </w:numPr>
        <w:spacing w:after="0" w:line="240" w:lineRule="auto"/>
        <w:jc w:val="both"/>
        <w:rPr>
          <w:rFonts w:ascii="Times New Roman" w:hAnsi="Times New Roman" w:cs="Times New Roman"/>
          <w:sz w:val="24"/>
          <w:szCs w:val="24"/>
        </w:rPr>
      </w:pPr>
      <w:r>
        <w:rPr>
          <w:rFonts w:ascii="Times New Roman" w:hAnsi="Times New Roman"/>
          <w:sz w:val="24"/>
          <w:szCs w:val="24"/>
        </w:rPr>
        <w:t xml:space="preserve">establecimientos de alojamiento para personas mayores y establecimientos de alojamiento para personas mayores dependientes; </w:t>
      </w:r>
    </w:p>
    <w:p w14:paraId="151B27D9" w14:textId="77777777" w:rsidR="00154360" w:rsidRPr="00AC2428" w:rsidRDefault="00154360" w:rsidP="00A51EA0">
      <w:pPr>
        <w:pStyle w:val="ListParagraph"/>
        <w:numPr>
          <w:ilvl w:val="0"/>
          <w:numId w:val="24"/>
        </w:numPr>
        <w:spacing w:after="0" w:line="240" w:lineRule="auto"/>
        <w:jc w:val="both"/>
        <w:rPr>
          <w:rFonts w:ascii="Times New Roman" w:hAnsi="Times New Roman" w:cs="Times New Roman"/>
          <w:sz w:val="24"/>
          <w:szCs w:val="24"/>
        </w:rPr>
      </w:pPr>
      <w:r>
        <w:rPr>
          <w:rFonts w:ascii="Times New Roman" w:hAnsi="Times New Roman"/>
          <w:sz w:val="24"/>
          <w:szCs w:val="24"/>
        </w:rPr>
        <w:t xml:space="preserve">terminales aéreas; </w:t>
      </w:r>
    </w:p>
    <w:p w14:paraId="4DD478E3" w14:textId="77777777" w:rsidR="00154360" w:rsidRPr="00AC2428" w:rsidRDefault="00154360" w:rsidP="00A51EA0">
      <w:pPr>
        <w:pStyle w:val="ListParagraph"/>
        <w:numPr>
          <w:ilvl w:val="0"/>
          <w:numId w:val="24"/>
        </w:numPr>
        <w:spacing w:after="0" w:line="240" w:lineRule="auto"/>
        <w:jc w:val="both"/>
        <w:rPr>
          <w:rFonts w:ascii="Times New Roman" w:hAnsi="Times New Roman" w:cs="Times New Roman"/>
          <w:sz w:val="24"/>
          <w:szCs w:val="24"/>
        </w:rPr>
      </w:pPr>
      <w:r>
        <w:rPr>
          <w:rFonts w:ascii="Times New Roman" w:hAnsi="Times New Roman"/>
          <w:sz w:val="24"/>
          <w:szCs w:val="24"/>
        </w:rPr>
        <w:t xml:space="preserve">tribunales, palacios de justicia; </w:t>
      </w:r>
    </w:p>
    <w:p w14:paraId="6B2E7A1F" w14:textId="68C84A43" w:rsidR="00154360" w:rsidRPr="00AC2428" w:rsidRDefault="00154360" w:rsidP="00A51EA0">
      <w:pPr>
        <w:pStyle w:val="ListParagraph"/>
        <w:numPr>
          <w:ilvl w:val="0"/>
          <w:numId w:val="24"/>
        </w:numPr>
        <w:spacing w:after="0" w:line="240" w:lineRule="auto"/>
        <w:jc w:val="both"/>
        <w:rPr>
          <w:rFonts w:ascii="Times New Roman" w:hAnsi="Times New Roman" w:cs="Times New Roman"/>
          <w:sz w:val="24"/>
          <w:szCs w:val="24"/>
        </w:rPr>
      </w:pPr>
      <w:r>
        <w:rPr>
          <w:rFonts w:ascii="Times New Roman" w:hAnsi="Times New Roman"/>
          <w:sz w:val="24"/>
          <w:szCs w:val="24"/>
        </w:rPr>
        <w:t xml:space="preserve">edificios destinados a un uso industrial y artesanal. </w:t>
      </w:r>
    </w:p>
    <w:p w14:paraId="710FF969" w14:textId="77777777" w:rsidR="00154360" w:rsidRPr="00AC2428" w:rsidRDefault="00154360" w:rsidP="00A51EA0">
      <w:pPr>
        <w:jc w:val="both"/>
      </w:pPr>
    </w:p>
    <w:p w14:paraId="0AEB1B1A" w14:textId="43D0C6C0" w:rsidR="00154360" w:rsidRPr="00AC2428" w:rsidRDefault="000E3CDC" w:rsidP="00A51EA0">
      <w:pPr>
        <w:jc w:val="both"/>
      </w:pPr>
      <w:r>
        <w:rPr>
          <w:i/>
        </w:rPr>
        <w:t>Artículo R. 111-20-10.</w:t>
      </w:r>
      <w:r>
        <w:t xml:space="preserve"> - I.- Las construcciones de edificios o partes de edificios no contempladas en la subsección 1 deberán cumplir las características térmicas, así como las siguientes condiciones:</w:t>
      </w:r>
    </w:p>
    <w:p w14:paraId="7340DEBB" w14:textId="77777777" w:rsidR="00EC037D" w:rsidRPr="00AC2428" w:rsidRDefault="00EC037D" w:rsidP="00A51EA0">
      <w:pPr>
        <w:jc w:val="both"/>
      </w:pPr>
    </w:p>
    <w:p w14:paraId="787B7DCC" w14:textId="7B4A2990" w:rsidR="00154360" w:rsidRPr="00AC2428" w:rsidRDefault="000E3CDC" w:rsidP="00A51EA0">
      <w:pPr>
        <w:jc w:val="both"/>
      </w:pPr>
      <w:r>
        <w:t>1) el consumo convencional de energía de un edificio para la calefacción, la refrigeración, la producción de agua caliente sanitaria, la iluminación, los dispositivos auxiliares de calefacción, de refrigeración, de agua caliente sanitaria y de ventilación, deberá ser inferior o igual a un consumo máximo;</w:t>
      </w:r>
    </w:p>
    <w:p w14:paraId="1086F0EF" w14:textId="77777777" w:rsidR="00EC037D" w:rsidRPr="00AC2428" w:rsidRDefault="00EC037D" w:rsidP="00A51EA0">
      <w:pPr>
        <w:jc w:val="both"/>
      </w:pPr>
    </w:p>
    <w:p w14:paraId="3495F4A5" w14:textId="578D0B55" w:rsidR="00154360" w:rsidRPr="00AC2428" w:rsidRDefault="000E3CDC" w:rsidP="00A51EA0">
      <w:pPr>
        <w:jc w:val="both"/>
      </w:pPr>
      <w:r>
        <w:t>2) la demanda energética convencional de un edificio para la calefacción, la refrigeración y la iluminación no deberá superar un valor máximo;</w:t>
      </w:r>
    </w:p>
    <w:p w14:paraId="52BFCF16" w14:textId="77777777" w:rsidR="000E3CDC" w:rsidRPr="00AC2428" w:rsidRDefault="000E3CDC" w:rsidP="00A51EA0">
      <w:pPr>
        <w:jc w:val="both"/>
      </w:pPr>
    </w:p>
    <w:p w14:paraId="77D72964" w14:textId="3005509D" w:rsidR="00154360" w:rsidRPr="00AC2428" w:rsidRDefault="000E3CDC" w:rsidP="00A51EA0">
      <w:pPr>
        <w:jc w:val="both"/>
      </w:pPr>
      <w:r>
        <w:t>3) para determinados tipos de edificios, la temperatura interior convencional alcanzada en verano deberá ser inferior o igual a la temperatura interior convencional de referencia.</w:t>
      </w:r>
    </w:p>
    <w:p w14:paraId="145BDE29" w14:textId="77777777" w:rsidR="00154360" w:rsidRPr="00AC2428" w:rsidRDefault="00154360" w:rsidP="00A51EA0">
      <w:pPr>
        <w:jc w:val="both"/>
      </w:pPr>
    </w:p>
    <w:p w14:paraId="2366960D" w14:textId="7E004130" w:rsidR="00154360" w:rsidRPr="00AC2428" w:rsidRDefault="000E3CDC" w:rsidP="00A51EA0">
      <w:pPr>
        <w:jc w:val="both"/>
      </w:pPr>
      <w:r>
        <w:t>II.- Una orden del ministro responsable de la energía y del ministro responsable de la construcción determinará, en función de las categorías de edificios:</w:t>
      </w:r>
    </w:p>
    <w:p w14:paraId="6BBB6BA6" w14:textId="77777777" w:rsidR="00154360" w:rsidRPr="00AC2428" w:rsidRDefault="00154360" w:rsidP="00A51EA0">
      <w:pPr>
        <w:jc w:val="both"/>
      </w:pPr>
    </w:p>
    <w:p w14:paraId="31972B51" w14:textId="692180CB" w:rsidR="00154360" w:rsidRPr="00AC2428" w:rsidRDefault="000E3CDC" w:rsidP="00A51EA0">
      <w:pPr>
        <w:jc w:val="both"/>
      </w:pPr>
      <w:r>
        <w:t>1) las características térmicas que intervienen en la eficiencia energética del edificio;</w:t>
      </w:r>
    </w:p>
    <w:p w14:paraId="0F659DEB" w14:textId="193F268F" w:rsidR="00154360" w:rsidRPr="00AC2428" w:rsidRDefault="000E3CDC" w:rsidP="00A51EA0">
      <w:pPr>
        <w:jc w:val="both"/>
      </w:pPr>
      <w:r>
        <w:t>2) el método de cálculo del consumo convencional de energía de un edificio y los principales convenios que se tienen en cuenta en dicho método;</w:t>
      </w:r>
    </w:p>
    <w:p w14:paraId="4867EB88" w14:textId="251A61DE" w:rsidR="00154360" w:rsidRPr="00AC2428" w:rsidRDefault="000E3CDC" w:rsidP="00A51EA0">
      <w:pPr>
        <w:jc w:val="both"/>
      </w:pPr>
      <w:r>
        <w:t>3) el valor del consumo máximo;</w:t>
      </w:r>
    </w:p>
    <w:p w14:paraId="55C38BDC" w14:textId="5668A2FC" w:rsidR="00154360" w:rsidRPr="00AC2428" w:rsidRDefault="000E3CDC" w:rsidP="00A51EA0">
      <w:pPr>
        <w:jc w:val="both"/>
      </w:pPr>
      <w:r>
        <w:t>4) el método de cálculo de la demanda energética de un edificio para la calefacción, la refrigeración y la iluminación, así como los principales convenios que se tienen en cuenta en dicho método;</w:t>
      </w:r>
    </w:p>
    <w:p w14:paraId="49D94D64" w14:textId="450D6E7E" w:rsidR="00154360" w:rsidRPr="00AC2428" w:rsidRDefault="000E3CDC" w:rsidP="00A51EA0">
      <w:pPr>
        <w:jc w:val="both"/>
      </w:pPr>
      <w:r>
        <w:t>5) el valor máximo de la demanda energética;</w:t>
      </w:r>
    </w:p>
    <w:p w14:paraId="307AC055" w14:textId="1BD6245C" w:rsidR="00154360" w:rsidRPr="00AC2428" w:rsidRDefault="000E3CDC" w:rsidP="00A51EA0">
      <w:pPr>
        <w:jc w:val="both"/>
      </w:pPr>
      <w:r>
        <w:t>6) los edificios para los cuales la temperatura interior convencional alcanzada en verano no deberá superar la temperatura interior convencional de referencia;</w:t>
      </w:r>
    </w:p>
    <w:p w14:paraId="70314FE6" w14:textId="32FBB584" w:rsidR="00154360" w:rsidRPr="00AC2428" w:rsidRDefault="000E3CDC" w:rsidP="00A51EA0">
      <w:pPr>
        <w:jc w:val="both"/>
      </w:pPr>
      <w:r>
        <w:t>7) para los edificios indicados en el apartado I, punto 3, el método de cálculo de la temperatura interior convencional alcanzada en verano;</w:t>
      </w:r>
    </w:p>
    <w:p w14:paraId="2ED30E49" w14:textId="2ACBBCB3" w:rsidR="00154360" w:rsidRPr="00AC2428" w:rsidRDefault="000E3CDC" w:rsidP="00A51EA0">
      <w:pPr>
        <w:jc w:val="both"/>
      </w:pPr>
      <w:r>
        <w:t>8) las características térmicas de referencia para el cálculo de la temperatura interior convencional de referencia alcanzada en verano;</w:t>
      </w:r>
    </w:p>
    <w:p w14:paraId="71D7D75D" w14:textId="646AD109" w:rsidR="00154360" w:rsidRPr="00AC2428" w:rsidRDefault="000E3CDC" w:rsidP="00A51EA0">
      <w:pPr>
        <w:jc w:val="both"/>
      </w:pPr>
      <w:r>
        <w:t>9) las condiciones específicas de evaluación de la eficiencia térmica de los sistemas o proyectos de construcción para los cuales, debido a su carácter específico, no resultan aplicables las características térmicas mínimas o los métodos de cálculo;</w:t>
      </w:r>
    </w:p>
    <w:p w14:paraId="006E0A9E" w14:textId="14C8F145" w:rsidR="00154360" w:rsidRPr="00AC2428" w:rsidRDefault="000E3CDC" w:rsidP="00A51EA0">
      <w:pPr>
        <w:jc w:val="both"/>
      </w:pPr>
      <w:r>
        <w:t>10) las condiciones de aprobación de los procesos y modos de aplicación simplificados que permiten acreditar el cumplimiento de las condiciones definidas en el apartado I;</w:t>
      </w:r>
    </w:p>
    <w:p w14:paraId="66C0A4CE" w14:textId="3B6586B2" w:rsidR="00154360" w:rsidRPr="00AC2428" w:rsidRDefault="000E3CDC" w:rsidP="00A51EA0">
      <w:pPr>
        <w:jc w:val="both"/>
      </w:pPr>
      <w:r>
        <w:t>11) las modalidades de transmisión de los datos utilizados para dichos cálculos y comunicados, previa petición a las personas habilitadas indicadas en el artículo </w:t>
      </w:r>
      <w:r>
        <w:rPr>
          <w:highlight w:val="yellow"/>
        </w:rPr>
        <w:t>L. 151-1</w:t>
      </w:r>
      <w:r>
        <w:t>, a todo comprador, a toda persona responsable de emitir un certificado de conformidad con la normativa térmica y a toda persona responsable de establecer el diagnóstico de eficiencia energética establecido en el artículo </w:t>
      </w:r>
      <w:r>
        <w:rPr>
          <w:highlight w:val="yellow"/>
        </w:rPr>
        <w:t>L. 134-2</w:t>
      </w:r>
      <w:r>
        <w:t>.</w:t>
      </w:r>
    </w:p>
    <w:p w14:paraId="077F68D0" w14:textId="77777777" w:rsidR="00154360" w:rsidRPr="00AC2428" w:rsidRDefault="00154360" w:rsidP="00A51EA0">
      <w:pPr>
        <w:jc w:val="both"/>
      </w:pPr>
    </w:p>
    <w:p w14:paraId="3DE4B9FF" w14:textId="529F20A6" w:rsidR="00154360" w:rsidRPr="00AC2428" w:rsidRDefault="00FC7497" w:rsidP="00A51EA0">
      <w:pPr>
        <w:jc w:val="both"/>
      </w:pPr>
      <w:r>
        <w:t>III. – Las disposiciones del presente artículo no se aplicarán a los edificios y las partes de edificios cuya temperatura normal de utilización sea inferior o igual a 12 °C ni a las construcciones provisionales previstas para un período de utilización máxima de dos años.</w:t>
      </w:r>
    </w:p>
    <w:p w14:paraId="7EA1AE2E" w14:textId="77777777" w:rsidR="00806611" w:rsidRPr="00AC2428" w:rsidRDefault="00806611" w:rsidP="00A51EA0">
      <w:pPr>
        <w:jc w:val="both"/>
      </w:pPr>
    </w:p>
    <w:p w14:paraId="0BBABC11" w14:textId="5F30FCD5" w:rsidR="00154360" w:rsidRPr="00AC2428" w:rsidRDefault="00FC7497" w:rsidP="00A51EA0">
      <w:pPr>
        <w:jc w:val="both"/>
        <w:rPr>
          <w:i/>
        </w:rPr>
      </w:pPr>
      <w:r>
        <w:rPr>
          <w:i/>
        </w:rPr>
        <w:t>Subsección 4: Estudios y procedimientos asociados a la construcción de edificios o partes de edificios comprendidos en la subsección 3</w:t>
      </w:r>
    </w:p>
    <w:p w14:paraId="5AD0A45E" w14:textId="77777777" w:rsidR="00154360" w:rsidRPr="00AC2428" w:rsidRDefault="00154360" w:rsidP="00A51EA0">
      <w:pPr>
        <w:jc w:val="both"/>
      </w:pPr>
    </w:p>
    <w:p w14:paraId="0A6A8C39" w14:textId="26FDE5B4" w:rsidR="00154360" w:rsidRPr="00AC2428" w:rsidRDefault="00FC7497" w:rsidP="00A51EA0">
      <w:pPr>
        <w:jc w:val="both"/>
      </w:pPr>
      <w:r>
        <w:rPr>
          <w:i/>
        </w:rPr>
        <w:t>Artículo R. 111-20-11</w:t>
      </w:r>
      <w:r>
        <w:t>. - El dueño de obra de cualquier construcción de edificios o parte de edificios comprendidos en la subsección 3 y ubicado en la Francia metropolitana elaborará, para cada edificio en cuestión, un documento que certifique que ha tenido en cuenta o ha hecho que el director del proyecto tenga en cuenta, cuando este último esté a cargo de una misión de diseño de operación, la normativa térmica definida en el artículo </w:t>
      </w:r>
      <w:r>
        <w:rPr>
          <w:highlight w:val="yellow"/>
        </w:rPr>
        <w:t>R. 111-20-10</w:t>
      </w:r>
      <w:r>
        <w:t>, y, en particular:</w:t>
      </w:r>
    </w:p>
    <w:p w14:paraId="34921098" w14:textId="681218A8" w:rsidR="00154360" w:rsidRPr="00AC2428" w:rsidRDefault="00154360" w:rsidP="00A51EA0">
      <w:pPr>
        <w:jc w:val="both"/>
      </w:pPr>
      <w:r>
        <w:t>- el requisito relativo a la demanda energética convencional de un edificio para calefacción, la refrigeración y la iluminación, mencionado en el artículo R. </w:t>
      </w:r>
      <w:r>
        <w:rPr>
          <w:highlight w:val="yellow"/>
        </w:rPr>
        <w:t>111-20-10</w:t>
      </w:r>
      <w:r>
        <w:t>,apartado I, punto 2,</w:t>
      </w:r>
    </w:p>
    <w:p w14:paraId="62935F4C" w14:textId="1C4CE372" w:rsidR="00154360" w:rsidRPr="00AC2428" w:rsidRDefault="00154360" w:rsidP="00A51EA0">
      <w:pPr>
        <w:jc w:val="both"/>
      </w:pPr>
      <w:r>
        <w:t>- los requisitos sobre las características térmicas implicadas en la eficiencia energética del edificio mencionados en el artículo </w:t>
      </w:r>
      <w:r>
        <w:rPr>
          <w:highlight w:val="yellow"/>
        </w:rPr>
        <w:t>R. 111-20-10,</w:t>
      </w:r>
      <w:r>
        <w:t>apartado II, punto 1, y que se especificarán mediante orden.</w:t>
      </w:r>
    </w:p>
    <w:p w14:paraId="4ABBDCC5" w14:textId="77777777" w:rsidR="00154360" w:rsidRPr="00AC2428" w:rsidRDefault="00154360" w:rsidP="00A51EA0">
      <w:pPr>
        <w:jc w:val="both"/>
      </w:pPr>
    </w:p>
    <w:p w14:paraId="24115C91" w14:textId="7165354A" w:rsidR="00154360" w:rsidRPr="00AC2428" w:rsidRDefault="00FC7497" w:rsidP="00A51EA0">
      <w:pPr>
        <w:jc w:val="both"/>
      </w:pPr>
      <w:r>
        <w:t>Este certificado se redactará en un formulario que cumpla las disposiciones establecidas mediante orden. Se adjuntará a la solicitud de licencia de obra en las condiciones previstas en el artículo </w:t>
      </w:r>
      <w:r>
        <w:rPr>
          <w:highlight w:val="yellow"/>
        </w:rPr>
        <w:t>R *. 431-16</w:t>
      </w:r>
      <w:r>
        <w:t>, letra j), del Código de Urbanismo.</w:t>
      </w:r>
    </w:p>
    <w:p w14:paraId="4918E8D6" w14:textId="77777777" w:rsidR="00154360" w:rsidRPr="00AC2428" w:rsidRDefault="00154360" w:rsidP="00A51EA0">
      <w:pPr>
        <w:jc w:val="both"/>
      </w:pPr>
    </w:p>
    <w:p w14:paraId="0768B312" w14:textId="57C83AB4" w:rsidR="00154360" w:rsidRPr="00AC2428" w:rsidRDefault="00FC7497" w:rsidP="00A51EA0">
      <w:pPr>
        <w:jc w:val="both"/>
      </w:pPr>
      <w:r>
        <w:rPr>
          <w:i/>
        </w:rPr>
        <w:t>Artículo R. 111-20-12.</w:t>
      </w:r>
      <w:r>
        <w:t xml:space="preserve"> - El dueño de la obra de cualquier construcción de edificios o parte de edificios comprendidos en la subsección 3 y ubicado en la Francia metropolitana elaborará, para cada edificio en cuestión, un documento que acredite la realización, para los edificios a los que se refiere el artículo </w:t>
      </w:r>
      <w:r>
        <w:rPr>
          <w:highlight w:val="yellow"/>
        </w:rPr>
        <w:t>L. 111-9</w:t>
      </w:r>
      <w:r>
        <w:t>, párrafo décimo, un estudio de viabilidad de suministros energéticos, que incluirá en particular:</w:t>
      </w:r>
    </w:p>
    <w:p w14:paraId="56AA5E1A" w14:textId="3C6E3E36" w:rsidR="00154360" w:rsidRPr="00AC2428" w:rsidRDefault="00154360" w:rsidP="00A51EA0">
      <w:pPr>
        <w:jc w:val="both"/>
      </w:pPr>
      <w:r>
        <w:t>- el sistema previsto por el dueño de la obra al término del estudio de viabilidad, de forma justificada,</w:t>
      </w:r>
    </w:p>
    <w:p w14:paraId="60E8FDDC" w14:textId="6C5560D3" w:rsidR="00154360" w:rsidRPr="00AC2428" w:rsidRDefault="00154360" w:rsidP="00A51EA0">
      <w:pPr>
        <w:jc w:val="both"/>
      </w:pPr>
      <w:r>
        <w:t>- el valor del consumo en kilovatios-hora de energía primaria para el sistema previsto,</w:t>
      </w:r>
    </w:p>
    <w:p w14:paraId="655FC8C5" w14:textId="505ACDC2" w:rsidR="00154360" w:rsidRPr="00AC2428" w:rsidRDefault="00154360" w:rsidP="00A51EA0">
      <w:pPr>
        <w:jc w:val="both"/>
      </w:pPr>
      <w:r>
        <w:t>- el coste de explotación anual del sistema previsto.</w:t>
      </w:r>
    </w:p>
    <w:p w14:paraId="46945BA6" w14:textId="77777777" w:rsidR="00806611" w:rsidRPr="00AC2428" w:rsidRDefault="00806611" w:rsidP="00A51EA0">
      <w:pPr>
        <w:jc w:val="both"/>
      </w:pPr>
    </w:p>
    <w:p w14:paraId="26A62454" w14:textId="6E902716" w:rsidR="00154360" w:rsidRPr="00AC2428" w:rsidRDefault="00FC7497" w:rsidP="00A51EA0">
      <w:pPr>
        <w:jc w:val="both"/>
      </w:pPr>
      <w:r>
        <w:t>Este certificado se redactará en un formulario que cumpla las disposiciones establecidas mediante orden. Se adjuntará a la solicitud de licencia de obra en las condiciones previstas en el artículo </w:t>
      </w:r>
      <w:r>
        <w:rPr>
          <w:highlight w:val="yellow"/>
        </w:rPr>
        <w:t>R *. 431-16</w:t>
      </w:r>
      <w:r>
        <w:t>, letra j), del Código de Urbanismo.</w:t>
      </w:r>
    </w:p>
    <w:p w14:paraId="324435FC" w14:textId="77777777" w:rsidR="00806611" w:rsidRPr="00AC2428" w:rsidRDefault="00806611" w:rsidP="00A51EA0">
      <w:pPr>
        <w:jc w:val="both"/>
      </w:pPr>
    </w:p>
    <w:p w14:paraId="40FD8EE6" w14:textId="38A6840A" w:rsidR="00154360" w:rsidRPr="00AC2428" w:rsidRDefault="00FC7497" w:rsidP="00A51EA0">
      <w:pPr>
        <w:jc w:val="both"/>
      </w:pPr>
      <w:r>
        <w:rPr>
          <w:i/>
        </w:rPr>
        <w:t>Artículo R. 111-20-13.</w:t>
      </w:r>
      <w:r>
        <w:t xml:space="preserve"> - Tras la terminación de la obra de las construcciones de edificios o partes de edificios contemplados en la subsección 3, sujetas a licencia de obra y ubicadas en la Francia metropolitana:</w:t>
      </w:r>
    </w:p>
    <w:p w14:paraId="5A5FEF09" w14:textId="74C63BA7" w:rsidR="00154360" w:rsidRPr="00AC2428" w:rsidRDefault="00154360" w:rsidP="00A51EA0">
      <w:pPr>
        <w:jc w:val="both"/>
      </w:pPr>
      <w:r>
        <w:t>- si el director de obra de la operación de construcción es responsable del diseño de la operación y la ejecución de la obra, el dueño de la obra elaborará, para cada edificio en cuestión, un documento que acredite que el director de la obra ha tenido en cuenta la normativa térmica,</w:t>
      </w:r>
    </w:p>
    <w:p w14:paraId="2D62122C" w14:textId="73EB76FE" w:rsidR="00154360" w:rsidRPr="00AC2428" w:rsidRDefault="00154360" w:rsidP="00A51EA0">
      <w:pPr>
        <w:jc w:val="both"/>
      </w:pPr>
      <w:r>
        <w:t>- si la misión encomendada al director de obra se limita al diseño de la operación o si el dueño de la obra no ha designado un director de obra, el dueño de la obra elaborará, para cada edificio en cuestión, un documento que acredite que ha tenido en cuenta la normativa térmica.</w:t>
      </w:r>
    </w:p>
    <w:p w14:paraId="265FFD06" w14:textId="77777777" w:rsidR="00154360" w:rsidRPr="00AC2428" w:rsidRDefault="00154360" w:rsidP="00A51EA0">
      <w:pPr>
        <w:jc w:val="both"/>
      </w:pPr>
    </w:p>
    <w:p w14:paraId="4B7A9D41" w14:textId="37664EEB" w:rsidR="00154360" w:rsidRPr="00AC2428" w:rsidRDefault="00FC7497" w:rsidP="00A51EA0">
      <w:pPr>
        <w:jc w:val="both"/>
      </w:pPr>
      <w:r>
        <w:t>El documento elaborado certificará lo siguiente:</w:t>
      </w:r>
    </w:p>
    <w:p w14:paraId="39EFAACB" w14:textId="6724454D" w:rsidR="00154360" w:rsidRPr="00AC2428" w:rsidRDefault="00154360" w:rsidP="00A51EA0">
      <w:pPr>
        <w:jc w:val="both"/>
      </w:pPr>
      <w:r>
        <w:t>- el requisito relativo al consumo de energía convencional del edificio para calefacción, la refrigeración, la producción de agua caliente sanitaria, la iluminación, los dispositivos auxiliares de calefacción, de refrigeración, de agua caliente sanitaria y de ventilación, mencionado en el artículo </w:t>
      </w:r>
      <w:r>
        <w:rPr>
          <w:highlight w:val="yellow"/>
        </w:rPr>
        <w:t>R. 111-20-10</w:t>
      </w:r>
      <w:r>
        <w:t>, apartado I, punto 1,</w:t>
      </w:r>
    </w:p>
    <w:p w14:paraId="3A7801F7" w14:textId="54D39FCB" w:rsidR="00154360" w:rsidRPr="00AC2428" w:rsidRDefault="00154360" w:rsidP="00A51EA0">
      <w:pPr>
        <w:jc w:val="both"/>
      </w:pPr>
      <w:r>
        <w:t>- el requisito relativo a la demanda energética convencional de un edificio para la calefacción, la refrigeración y la iluminación, mencionado en el artículo </w:t>
      </w:r>
      <w:r>
        <w:rPr>
          <w:highlight w:val="yellow"/>
        </w:rPr>
        <w:t>R. 111-20-10</w:t>
      </w:r>
      <w:r>
        <w:t>, apartado I, punto 2,</w:t>
      </w:r>
    </w:p>
    <w:p w14:paraId="28F040DD" w14:textId="61478A43" w:rsidR="00154360" w:rsidRPr="00AC2428" w:rsidRDefault="00154360" w:rsidP="00A51EA0">
      <w:pPr>
        <w:jc w:val="both"/>
      </w:pPr>
      <w:r>
        <w:lastRenderedPageBreak/>
        <w:t>- para determinados tipos de edificios, el requisito relativo a la temperatura interior convencional alcanzada en verano, mencionado en el artículo </w:t>
      </w:r>
      <w:r>
        <w:rPr>
          <w:highlight w:val="yellow"/>
        </w:rPr>
        <w:t>R. 111-20-10</w:t>
      </w:r>
      <w:r>
        <w:t>, apartado I, punto 3,</w:t>
      </w:r>
    </w:p>
    <w:p w14:paraId="23F539D9" w14:textId="0158183B" w:rsidR="00154360" w:rsidRPr="00AC2428" w:rsidRDefault="00154360" w:rsidP="00A51EA0">
      <w:pPr>
        <w:jc w:val="both"/>
      </w:pPr>
      <w:r>
        <w:t>- los requisitos sobre las características térmicas implicadas en la eficiencia energética del edificio mencionados en el artículo </w:t>
      </w:r>
      <w:r>
        <w:rPr>
          <w:highlight w:val="yellow"/>
        </w:rPr>
        <w:t>R. 111-20-10</w:t>
      </w:r>
      <w:r>
        <w:t>, apartado II, punto 1, y que se especificarán mediante orden.</w:t>
      </w:r>
    </w:p>
    <w:p w14:paraId="7240B023" w14:textId="77777777" w:rsidR="00806611" w:rsidRPr="00AC2428" w:rsidRDefault="00806611" w:rsidP="00A51EA0">
      <w:pPr>
        <w:jc w:val="both"/>
      </w:pPr>
    </w:p>
    <w:p w14:paraId="11B91253" w14:textId="2BA63EB7" w:rsidR="00154360" w:rsidRPr="00AC2428" w:rsidRDefault="00FC7497" w:rsidP="00A51EA0">
      <w:pPr>
        <w:jc w:val="both"/>
      </w:pPr>
      <w:r>
        <w:t>Este certificado se redactará en un formulario que cumpla las disposiciones establecidas mediante orden. Se adjuntará a la declaración de terminación de la obra en las condiciones previstas en el artículo </w:t>
      </w:r>
      <w:r>
        <w:rPr>
          <w:highlight w:val="yellow"/>
        </w:rPr>
        <w:t>R. 462-4-1</w:t>
      </w:r>
      <w:r>
        <w:t xml:space="preserve"> del Código de Urbanismo.</w:t>
      </w:r>
    </w:p>
    <w:p w14:paraId="648F2128" w14:textId="77777777" w:rsidR="00806611" w:rsidRPr="00AC2428" w:rsidRDefault="00806611" w:rsidP="00A51EA0">
      <w:pPr>
        <w:jc w:val="both"/>
      </w:pPr>
    </w:p>
    <w:p w14:paraId="518F5A4F" w14:textId="01654B60" w:rsidR="00154360" w:rsidRPr="00AC2428" w:rsidRDefault="00FC7497" w:rsidP="00A51EA0">
      <w:pPr>
        <w:jc w:val="both"/>
      </w:pPr>
      <w:r>
        <w:rPr>
          <w:i/>
        </w:rPr>
        <w:t>Artículo R. 111-20-14.</w:t>
      </w:r>
      <w:r>
        <w:t xml:space="preserve"> - El certificado previsto en el artículo </w:t>
      </w:r>
      <w:r>
        <w:rPr>
          <w:highlight w:val="yellow"/>
        </w:rPr>
        <w:t>R. 111-20-13</w:t>
      </w:r>
      <w:r>
        <w:t xml:space="preserve"> será elaborado por una de las siguientes personas:</w:t>
      </w:r>
    </w:p>
    <w:p w14:paraId="03886D7B" w14:textId="6AE79DED" w:rsidR="00154360" w:rsidRPr="00AC2428" w:rsidRDefault="00154360" w:rsidP="00A51EA0">
      <w:pPr>
        <w:jc w:val="both"/>
      </w:pPr>
      <w:r>
        <w:t>- un controlador técnico mencionado en el artículo </w:t>
      </w:r>
      <w:r>
        <w:rPr>
          <w:highlight w:val="yellow"/>
        </w:rPr>
        <w:t>L. 111-23</w:t>
      </w:r>
      <w:r>
        <w:t xml:space="preserve"> para cualquier tipo de edificio,</w:t>
      </w:r>
    </w:p>
    <w:p w14:paraId="23DCC6ED" w14:textId="52A28DF9" w:rsidR="00154360" w:rsidRPr="00AC2428" w:rsidRDefault="00154360" w:rsidP="00A51EA0">
      <w:pPr>
        <w:jc w:val="both"/>
      </w:pPr>
      <w:r>
        <w:t>- una persona que reúna las condiciones necesarias para realizar el diagnóstico de eficiencia energética previsto en el artículo </w:t>
      </w:r>
      <w:r>
        <w:rPr>
          <w:highlight w:val="yellow"/>
        </w:rPr>
        <w:t>L. 134-1</w:t>
      </w:r>
      <w:r>
        <w:t xml:space="preserve"> en el caso de vivienda unifamiliar o adosada,</w:t>
      </w:r>
    </w:p>
    <w:p w14:paraId="67C83143" w14:textId="412D737B" w:rsidR="00154360" w:rsidRPr="00AC2428" w:rsidRDefault="00154360" w:rsidP="00A51EA0">
      <w:pPr>
        <w:jc w:val="both"/>
      </w:pPr>
      <w:r>
        <w:t>- un organismo que haya certificado, en virtud de los artículos </w:t>
      </w:r>
      <w:r>
        <w:rPr>
          <w:highlight w:val="yellow"/>
        </w:rPr>
        <w:t>L. 433-3 a L. 433-10</w:t>
      </w:r>
      <w:r>
        <w:t xml:space="preserve"> del Código de Consumo, la eficiencia energética del nuevo edificio o de la parte nueva del edificio y haya suscrito un convenio con el ministro responsable de la construcción para cualquier tipo de edificio,</w:t>
      </w:r>
    </w:p>
    <w:p w14:paraId="0616B5E7" w14:textId="07B4105A" w:rsidR="00154360" w:rsidRPr="00AC2428" w:rsidRDefault="00154360" w:rsidP="00A51EA0">
      <w:pPr>
        <w:jc w:val="both"/>
      </w:pPr>
      <w:r>
        <w:t>- un arquitecto en virtud del artículo 2 de la Ley n.º 77-2, de 3 de enero de 1977, sobre la arquitectura para cualquier tipo de edificio.</w:t>
      </w:r>
    </w:p>
    <w:p w14:paraId="304D1B3D" w14:textId="77777777" w:rsidR="00154360" w:rsidRPr="00AC2428" w:rsidRDefault="00154360" w:rsidP="00A51EA0">
      <w:pPr>
        <w:jc w:val="both"/>
      </w:pPr>
    </w:p>
    <w:p w14:paraId="191AAF1B" w14:textId="4FE8462F" w:rsidR="00154360" w:rsidRPr="00AC2428" w:rsidRDefault="00FC7497" w:rsidP="00A51EA0">
      <w:pPr>
        <w:jc w:val="both"/>
      </w:pPr>
      <w:r>
        <w:t>Una orden definirá los elementos de la información que el dueño de la obra, en función de las categorías de edificio, deberá proporcionar a las personas mencionadas anteriormente para permitir la elaboración del documento descrito en el artículo </w:t>
      </w:r>
      <w:r>
        <w:rPr>
          <w:highlight w:val="yellow"/>
        </w:rPr>
        <w:t>R. 111-20-13</w:t>
      </w:r>
      <w:r>
        <w:t>.</w:t>
      </w:r>
    </w:p>
    <w:p w14:paraId="2FBC5E46" w14:textId="77777777" w:rsidR="00154360" w:rsidRPr="00AC2428" w:rsidRDefault="00154360" w:rsidP="00A51EA0">
      <w:pPr>
        <w:jc w:val="both"/>
      </w:pPr>
    </w:p>
    <w:p w14:paraId="00DAA37F" w14:textId="7A09F6FE" w:rsidR="00A015D5" w:rsidRPr="00AC2428" w:rsidRDefault="00FC7497" w:rsidP="00A51EA0">
      <w:pPr>
        <w:jc w:val="both"/>
      </w:pPr>
      <w:r>
        <w:rPr>
          <w:i/>
        </w:rPr>
        <w:t>Artículo R. 111-20-15</w:t>
      </w:r>
      <w:r>
        <w:t>. - Una orden del ministro responsable de la construcción determinará las modalidades de aplicación de los artículos </w:t>
      </w:r>
      <w:r>
        <w:rPr>
          <w:highlight w:val="yellow"/>
        </w:rPr>
        <w:t>R. 111-20-11 a R. 111-20-14</w:t>
      </w:r>
      <w:r>
        <w:t>.</w:t>
      </w:r>
    </w:p>
    <w:p w14:paraId="3300FF78" w14:textId="69ED9C07" w:rsidR="00154360" w:rsidRPr="00AC2428" w:rsidRDefault="00154360" w:rsidP="00A51EA0">
      <w:pPr>
        <w:jc w:val="both"/>
      </w:pPr>
    </w:p>
    <w:p w14:paraId="11A98F9F" w14:textId="39F9304C" w:rsidR="00154360" w:rsidRPr="00AC2428" w:rsidRDefault="00FC7497" w:rsidP="00A51EA0">
      <w:pPr>
        <w:jc w:val="both"/>
      </w:pPr>
      <w:r>
        <w:rPr>
          <w:i/>
        </w:rPr>
        <w:t>Artículo R. 111-20-16.</w:t>
      </w:r>
      <w:r>
        <w:t xml:space="preserve"> - I.- El plazo al final del cual surge una decisión implícita de aceptación es de tres meses para las solicitudes presentadas con base en el artículo </w:t>
      </w:r>
      <w:r>
        <w:rPr>
          <w:highlight w:val="yellow"/>
        </w:rPr>
        <w:t>R. 111-20-10</w:t>
      </w:r>
      <w:r>
        <w:t xml:space="preserve"> y para la aprobación de un operador de medida de la permeabilidad al aire de los edificios.</w:t>
      </w:r>
    </w:p>
    <w:p w14:paraId="30F77A17" w14:textId="77777777" w:rsidR="00154360" w:rsidRPr="00AC2428" w:rsidRDefault="00154360" w:rsidP="00A51EA0">
      <w:pPr>
        <w:jc w:val="both"/>
      </w:pPr>
    </w:p>
    <w:p w14:paraId="21138818" w14:textId="27BE9D7E" w:rsidR="00154360" w:rsidRPr="00AC2428" w:rsidRDefault="00FC7497" w:rsidP="00A51EA0">
      <w:pPr>
        <w:jc w:val="both"/>
      </w:pPr>
      <w:r>
        <w:t>II. - El plazo de expiración del que surge una decisión implícita de aceptación será de cuatro meses para las solicitudes presentadas sobre la base del artículo </w:t>
      </w:r>
      <w:r>
        <w:rPr>
          <w:highlight w:val="yellow"/>
        </w:rPr>
        <w:t>R. 111-20-10</w:t>
      </w:r>
      <w:r>
        <w:t xml:space="preserve"> y dirigidas a la aprobación:</w:t>
      </w:r>
    </w:p>
    <w:p w14:paraId="2338EA0C" w14:textId="77777777" w:rsidR="00392CE8" w:rsidRPr="00AC2428" w:rsidRDefault="00392CE8" w:rsidP="00A51EA0">
      <w:pPr>
        <w:jc w:val="both"/>
      </w:pPr>
    </w:p>
    <w:p w14:paraId="0558BBFE" w14:textId="6C05CAB0" w:rsidR="00154360" w:rsidRPr="00AC2428" w:rsidRDefault="00FC7497" w:rsidP="00A51EA0">
      <w:pPr>
        <w:jc w:val="both"/>
      </w:pPr>
      <w:r>
        <w:t>1) de un modo de aplicación simplificado de la normativa térmica para viviendas unifamiliares;</w:t>
      </w:r>
    </w:p>
    <w:p w14:paraId="3830A663" w14:textId="045CE685" w:rsidR="00154360" w:rsidRPr="00AC2428" w:rsidRDefault="00FC7497" w:rsidP="00A51EA0">
      <w:pPr>
        <w:jc w:val="both"/>
      </w:pPr>
      <w:r>
        <w:t>2) de una solución técnica para el cumplimiento de la normativa térmica de los edificios existentes.</w:t>
      </w:r>
    </w:p>
    <w:p w14:paraId="3D6BF6C3" w14:textId="77777777" w:rsidR="00154360" w:rsidRPr="00AC2428" w:rsidRDefault="00154360" w:rsidP="00A51EA0">
      <w:pPr>
        <w:jc w:val="both"/>
      </w:pPr>
    </w:p>
    <w:p w14:paraId="71E665A9" w14:textId="37CF8875" w:rsidR="00154360" w:rsidRPr="00AC2428" w:rsidRDefault="00FC7497" w:rsidP="00A51EA0">
      <w:pPr>
        <w:jc w:val="both"/>
      </w:pPr>
      <w:r>
        <w:t>III. - El plazo de expiración del que surge una decisión implícita de aceptación será de seis meses para las solicitudes de aprobación del funcionamiento de una red de calor o frío, presentadas sobre la base de lo dispuesto en el artículo </w:t>
      </w:r>
      <w:r>
        <w:rPr>
          <w:highlight w:val="yellow"/>
        </w:rPr>
        <w:t>R. 111-20-10.</w:t>
      </w:r>
    </w:p>
    <w:p w14:paraId="2ED707E5" w14:textId="77777777" w:rsidR="00154360" w:rsidRPr="00AC2428" w:rsidRDefault="00154360" w:rsidP="00A51EA0">
      <w:pPr>
        <w:jc w:val="both"/>
      </w:pPr>
    </w:p>
    <w:p w14:paraId="0A56ADA4" w14:textId="76D5FCFC" w:rsidR="00154360" w:rsidRPr="00AC2428" w:rsidRDefault="00FC7497" w:rsidP="00A51EA0">
      <w:pPr>
        <w:jc w:val="both"/>
      </w:pPr>
      <w:r>
        <w:t>IV. - El plazo de expiración del que surge una decisión implícita de aceptación será de nueve meses para las solicitudes de aprobación de un programa informático para la aplicación de la normativa térmica, presentadas sobre la base de lo dispuesto en el artículo </w:t>
      </w:r>
      <w:r>
        <w:rPr>
          <w:highlight w:val="yellow"/>
        </w:rPr>
        <w:t>R. 111-20-10</w:t>
      </w:r>
      <w:r>
        <w:t>.</w:t>
      </w:r>
    </w:p>
    <w:p w14:paraId="3A503110" w14:textId="77777777" w:rsidR="00154360" w:rsidRPr="00AC2428" w:rsidRDefault="00154360" w:rsidP="00A51EA0">
      <w:pPr>
        <w:jc w:val="both"/>
      </w:pPr>
    </w:p>
    <w:p w14:paraId="31770D67" w14:textId="52DA87A7" w:rsidR="00154360" w:rsidRPr="00AC2428" w:rsidRDefault="00FC7497" w:rsidP="00A51EA0">
      <w:pPr>
        <w:jc w:val="both"/>
      </w:pPr>
      <w:r>
        <w:t>V.- El plazo de expiración del que surge una decisión implícita de aceptación será de doce meses para las solicitudes de aprobación de un método de justificación del funcionamiento de un sistema de acuerdo con los requisitos de la normativa térmica, presentados sobre la base de lo dispuesto en el artículo </w:t>
      </w:r>
      <w:r>
        <w:rPr>
          <w:highlight w:val="yellow"/>
        </w:rPr>
        <w:t>R. 111-20-10.</w:t>
      </w:r>
    </w:p>
    <w:p w14:paraId="3F49F30C" w14:textId="0CB56827" w:rsidR="00154360" w:rsidRPr="00AC2428" w:rsidRDefault="00154360" w:rsidP="00A51EA0">
      <w:pPr>
        <w:jc w:val="both"/>
      </w:pPr>
    </w:p>
    <w:p w14:paraId="320314E4" w14:textId="1FD17CC5" w:rsidR="00154360" w:rsidRPr="00AC2428" w:rsidRDefault="00FC7497" w:rsidP="00A51EA0">
      <w:pPr>
        <w:jc w:val="both"/>
      </w:pPr>
      <w:r>
        <w:rPr>
          <w:i/>
        </w:rPr>
        <w:lastRenderedPageBreak/>
        <w:t>Artículo R. 111-20-17.</w:t>
      </w:r>
      <w:r>
        <w:t xml:space="preserve"> - Antes de la presentación de la solicitud de licencia de obra, el dueño de la obra realizará un estudio de viabilidad técnica y económica de las distintas soluciones de suministro de energía para la calefacción, la ventilación, la refrigeración, la producción de agua caliente sanitaria y la iluminación de las instalaciones. </w:t>
      </w:r>
    </w:p>
    <w:p w14:paraId="3B453DBA" w14:textId="77777777" w:rsidR="00154360" w:rsidRPr="00AC2428" w:rsidRDefault="00154360" w:rsidP="00A51EA0">
      <w:pPr>
        <w:pStyle w:val="NormalWeb"/>
        <w:spacing w:before="0" w:beforeAutospacing="0" w:after="0" w:afterAutospacing="0"/>
        <w:jc w:val="both"/>
      </w:pPr>
      <w:r>
        <w:t>Este estudio examinará en particular:</w:t>
      </w:r>
    </w:p>
    <w:p w14:paraId="6A5DECAC" w14:textId="4AC3B04F" w:rsidR="00154360" w:rsidRPr="00AC2428" w:rsidRDefault="00806611" w:rsidP="00A51EA0">
      <w:pPr>
        <w:pStyle w:val="NormalWeb"/>
        <w:spacing w:before="0" w:beforeAutospacing="0" w:after="0" w:afterAutospacing="0"/>
        <w:jc w:val="both"/>
      </w:pPr>
      <w:r>
        <w:t>- el uso de la energía solar y de otras energías renovables mencionadas en el artículo 29 de la Ley n.º 2005-781, de 13 de julio de 2005,</w:t>
      </w:r>
    </w:p>
    <w:p w14:paraId="304D761A" w14:textId="01E86051" w:rsidR="00154360" w:rsidRPr="00AC2428" w:rsidRDefault="00806611" w:rsidP="00A51EA0">
      <w:pPr>
        <w:pStyle w:val="NormalWeb"/>
        <w:spacing w:before="0" w:beforeAutospacing="0" w:after="0" w:afterAutospacing="0"/>
        <w:jc w:val="both"/>
      </w:pPr>
      <w:r>
        <w:t>- la conexión a una red de calefacción o refrigeración colectiva o urbana, si existe cerca del terreno de construcción del edificio o de la operación,</w:t>
      </w:r>
    </w:p>
    <w:p w14:paraId="26B88157" w14:textId="7AA40889" w:rsidR="00154360" w:rsidRPr="00AC2428" w:rsidRDefault="00806611" w:rsidP="00A51EA0">
      <w:pPr>
        <w:pStyle w:val="NormalWeb"/>
        <w:spacing w:before="0" w:beforeAutospacing="0" w:after="0" w:afterAutospacing="0"/>
        <w:jc w:val="both"/>
      </w:pPr>
      <w:r>
        <w:t>- el uso de bombas de calor y calderas de condensación,</w:t>
      </w:r>
    </w:p>
    <w:p w14:paraId="0F469B6F" w14:textId="56F11AF5" w:rsidR="00154360" w:rsidRPr="00AC2428" w:rsidRDefault="00806611" w:rsidP="00A51EA0">
      <w:pPr>
        <w:pStyle w:val="NormalWeb"/>
        <w:spacing w:before="0" w:beforeAutospacing="0" w:after="0" w:afterAutospacing="0"/>
        <w:jc w:val="both"/>
      </w:pPr>
      <w:r>
        <w:t xml:space="preserve">- el uso de la producción combinada de calor y electricidad. </w:t>
      </w:r>
    </w:p>
    <w:p w14:paraId="70D7269F" w14:textId="77777777" w:rsidR="00A51EA0" w:rsidRDefault="00A51EA0" w:rsidP="00A51EA0">
      <w:pPr>
        <w:pStyle w:val="NormalWeb"/>
        <w:spacing w:before="0" w:beforeAutospacing="0" w:after="0" w:afterAutospacing="0"/>
        <w:jc w:val="both"/>
      </w:pPr>
    </w:p>
    <w:p w14:paraId="22C5A6FA" w14:textId="1220011B" w:rsidR="00154360" w:rsidRPr="00AC2428" w:rsidRDefault="00FC7497" w:rsidP="00A51EA0">
      <w:pPr>
        <w:pStyle w:val="NormalWeb"/>
        <w:spacing w:before="0" w:beforeAutospacing="0" w:after="0" w:afterAutospacing="0"/>
        <w:jc w:val="both"/>
      </w:pPr>
      <w:r>
        <w:t xml:space="preserve">Este estudio presentará las ventajas y desventajas de cada una de las soluciones estudiadas, en lo que se refiere a las condiciones de gestión del dispositivo, de los costes de inversión y de explotación, del período de amortización de la inversión y del impacto esperado sobre las emisiones de gases de efecto invernadero. Para la ampliación de un edificio, el estudio tendrá en cuenta los modos de suministro de energía del edificio. </w:t>
      </w:r>
    </w:p>
    <w:p w14:paraId="3807BC1A" w14:textId="77777777" w:rsidR="00A51EA0" w:rsidRDefault="00A51EA0" w:rsidP="00A51EA0">
      <w:pPr>
        <w:pStyle w:val="NormalWeb"/>
        <w:spacing w:before="0" w:beforeAutospacing="0" w:after="0" w:afterAutospacing="0"/>
        <w:jc w:val="both"/>
      </w:pPr>
    </w:p>
    <w:p w14:paraId="13A37A66" w14:textId="08F19C59" w:rsidR="00154360" w:rsidRPr="00AC2428" w:rsidRDefault="00FC7497" w:rsidP="00A51EA0">
      <w:pPr>
        <w:pStyle w:val="NormalWeb"/>
        <w:spacing w:before="0" w:beforeAutospacing="0" w:after="0" w:afterAutospacing="0"/>
        <w:jc w:val="both"/>
      </w:pPr>
      <w:r>
        <w:t xml:space="preserve">El estudio especificará las razones por las cuales el dueño de la obra ha escogido la solución de suministro seleccionada. </w:t>
      </w:r>
    </w:p>
    <w:p w14:paraId="64A7DE37" w14:textId="77777777" w:rsidR="00A51EA0" w:rsidRDefault="00A51EA0" w:rsidP="00A51EA0">
      <w:pPr>
        <w:pStyle w:val="NormalWeb"/>
        <w:spacing w:before="0" w:beforeAutospacing="0" w:after="0" w:afterAutospacing="0"/>
        <w:jc w:val="both"/>
      </w:pPr>
    </w:p>
    <w:p w14:paraId="019B49AA" w14:textId="1BC80D03" w:rsidR="00154360" w:rsidRPr="00AC2428" w:rsidRDefault="00FC7497" w:rsidP="00A51EA0">
      <w:pPr>
        <w:pStyle w:val="NormalWeb"/>
        <w:spacing w:before="0" w:beforeAutospacing="0" w:after="0" w:afterAutospacing="0"/>
        <w:jc w:val="both"/>
      </w:pPr>
      <w:r>
        <w:t>En los perímetros de desarrollo prioritario de una red de calor o frío que haya sido objeto de una decisión de clasificación vigente de conformidad con lo dispuesto en los artículos </w:t>
      </w:r>
      <w:r>
        <w:rPr>
          <w:highlight w:val="yellow"/>
        </w:rPr>
        <w:t>L. 712-1 a L. 712-3</w:t>
      </w:r>
      <w:r>
        <w:t xml:space="preserve"> del Código de Energía, el estudio de viabilidad técnica y económica previsto en el párrafo primero solo será obligatorio para los edificios a los que no les sea de aplicación la obligación de conexión a la red y a los que hayan obtenido una exención de la obligación de conexión a la red.</w:t>
      </w:r>
    </w:p>
    <w:p w14:paraId="3D65B17C" w14:textId="77777777" w:rsidR="00154360" w:rsidRPr="00AC2428" w:rsidRDefault="00154360" w:rsidP="00A51EA0">
      <w:pPr>
        <w:jc w:val="both"/>
      </w:pPr>
    </w:p>
    <w:p w14:paraId="7747B28A" w14:textId="3C9ABDAF" w:rsidR="00154360" w:rsidRPr="00AC2428" w:rsidRDefault="00FC7497" w:rsidP="00A51EA0">
      <w:pPr>
        <w:jc w:val="both"/>
      </w:pPr>
      <w:r>
        <w:rPr>
          <w:i/>
        </w:rPr>
        <w:t>Artículo R. 111-20-18</w:t>
      </w:r>
      <w:r>
        <w:t>. - Los requisitos del artículo </w:t>
      </w:r>
      <w:r>
        <w:rPr>
          <w:highlight w:val="yellow"/>
        </w:rPr>
        <w:t xml:space="preserve">R. 111-20-17 </w:t>
      </w:r>
      <w:r>
        <w:t xml:space="preserve">se aplicarán a la construcción de edificios o partes de edificios contemplados en la subsección 3, a excepción de las siguientes categorías: </w:t>
      </w:r>
    </w:p>
    <w:p w14:paraId="2EECB0B1" w14:textId="77777777" w:rsidR="00A51EA0" w:rsidRDefault="00A51EA0" w:rsidP="00A51EA0">
      <w:pPr>
        <w:pStyle w:val="NormalWeb"/>
        <w:spacing w:before="0" w:beforeAutospacing="0" w:after="0" w:afterAutospacing="0"/>
        <w:jc w:val="both"/>
      </w:pPr>
    </w:p>
    <w:p w14:paraId="70DACC20" w14:textId="1704D1AE" w:rsidR="00FC7497" w:rsidRPr="00AC2428" w:rsidRDefault="00FC7497" w:rsidP="00A51EA0">
      <w:pPr>
        <w:pStyle w:val="NormalWeb"/>
        <w:spacing w:before="0" w:beforeAutospacing="0" w:after="0" w:afterAutospacing="0"/>
        <w:jc w:val="both"/>
      </w:pPr>
      <w:r>
        <w:t>a) las construcciones provisionales previstas para una período de utilización inferior a dos años;</w:t>
      </w:r>
    </w:p>
    <w:p w14:paraId="33A60670" w14:textId="77777777" w:rsidR="00A51EA0" w:rsidRDefault="00A51EA0" w:rsidP="00A51EA0">
      <w:pPr>
        <w:pStyle w:val="NormalWeb"/>
        <w:spacing w:before="0" w:beforeAutospacing="0" w:after="0" w:afterAutospacing="0"/>
        <w:jc w:val="both"/>
      </w:pPr>
    </w:p>
    <w:p w14:paraId="565DE0E0" w14:textId="49433DC8" w:rsidR="00154360" w:rsidRPr="00AC2428" w:rsidRDefault="00FC7497" w:rsidP="00A51EA0">
      <w:pPr>
        <w:pStyle w:val="NormalWeb"/>
        <w:spacing w:before="0" w:beforeAutospacing="0" w:after="0" w:afterAutospacing="0"/>
        <w:jc w:val="both"/>
      </w:pPr>
      <w:r>
        <w:t xml:space="preserve">b) los edificios de uso agrícola, artesanal o industrial, distintos de las instalaciones destinadas a la vivienda, que solo requieren una pequeña cantidad de energía para la calefacción, la producción de agua caliente sanitaria o la refrigeración; </w:t>
      </w:r>
    </w:p>
    <w:p w14:paraId="70BD2A9F" w14:textId="77777777" w:rsidR="00A51EA0" w:rsidRDefault="00A51EA0" w:rsidP="00A51EA0">
      <w:pPr>
        <w:pStyle w:val="NormalWeb"/>
        <w:spacing w:before="0" w:beforeAutospacing="0" w:after="0" w:afterAutospacing="0"/>
        <w:jc w:val="both"/>
      </w:pPr>
    </w:p>
    <w:p w14:paraId="6A88E476" w14:textId="0351B5EE" w:rsidR="00154360" w:rsidRPr="00AC2428" w:rsidRDefault="00FC7497" w:rsidP="00A51EA0">
      <w:pPr>
        <w:pStyle w:val="NormalWeb"/>
        <w:spacing w:before="0" w:beforeAutospacing="0" w:after="0" w:afterAutospacing="0"/>
        <w:jc w:val="both"/>
      </w:pPr>
      <w:r>
        <w:t xml:space="preserve">c) los edificios utilizados como lugares de culto; </w:t>
      </w:r>
    </w:p>
    <w:p w14:paraId="3668BDEE" w14:textId="77777777" w:rsidR="00A51EA0" w:rsidRDefault="00A51EA0" w:rsidP="00A51EA0">
      <w:pPr>
        <w:pStyle w:val="NormalWeb"/>
        <w:spacing w:before="0" w:beforeAutospacing="0" w:after="0" w:afterAutospacing="0"/>
        <w:jc w:val="both"/>
      </w:pPr>
    </w:p>
    <w:p w14:paraId="20B18312" w14:textId="6083ABF5" w:rsidR="00154360" w:rsidRPr="00AC2428" w:rsidRDefault="00FC7497" w:rsidP="00A51EA0">
      <w:pPr>
        <w:pStyle w:val="NormalWeb"/>
        <w:spacing w:before="0" w:beforeAutospacing="0" w:after="0" w:afterAutospacing="0"/>
        <w:jc w:val="both"/>
      </w:pPr>
      <w:r>
        <w:t xml:space="preserve">d) las ampliaciones de monumentos históricos clasificados o registrados en inventario en virtud del Código de Patrimonio; </w:t>
      </w:r>
    </w:p>
    <w:p w14:paraId="3DB6D8EA" w14:textId="77777777" w:rsidR="00A51EA0" w:rsidRDefault="00A51EA0" w:rsidP="00A51EA0">
      <w:pPr>
        <w:pStyle w:val="NormalWeb"/>
        <w:spacing w:before="0" w:beforeAutospacing="0" w:after="0" w:afterAutospacing="0"/>
        <w:jc w:val="both"/>
      </w:pPr>
    </w:p>
    <w:p w14:paraId="2DC4D4D8" w14:textId="6B4B2AD3" w:rsidR="00AC2428" w:rsidRPr="00AC2428" w:rsidRDefault="00FC7497" w:rsidP="00A51EA0">
      <w:pPr>
        <w:pStyle w:val="NormalWeb"/>
        <w:spacing w:before="0" w:beforeAutospacing="0" w:after="0" w:afterAutospacing="0"/>
        <w:jc w:val="both"/>
      </w:pPr>
      <w:r>
        <w:t xml:space="preserve">e) los edificios independientes cuya nueva superficie total del suelo construida sea inferior a 50 m²; </w:t>
      </w:r>
    </w:p>
    <w:p w14:paraId="2FACCF49" w14:textId="77777777" w:rsidR="00A51EA0" w:rsidRDefault="00A51EA0" w:rsidP="00A51EA0">
      <w:pPr>
        <w:pStyle w:val="NormalWeb"/>
        <w:spacing w:before="0" w:beforeAutospacing="0" w:after="0" w:afterAutospacing="0"/>
        <w:jc w:val="both"/>
      </w:pPr>
    </w:p>
    <w:p w14:paraId="54FE1B36" w14:textId="2AAC5104" w:rsidR="00154360" w:rsidRPr="00AC2428" w:rsidRDefault="00FC7497" w:rsidP="00A51EA0">
      <w:pPr>
        <w:pStyle w:val="NormalWeb"/>
        <w:spacing w:before="0" w:beforeAutospacing="0" w:after="0" w:afterAutospacing="0"/>
        <w:jc w:val="both"/>
      </w:pPr>
      <w:r>
        <w:t>f) los edificios a los que la normativa térmica definida en el artículo </w:t>
      </w:r>
      <w:r>
        <w:rPr>
          <w:highlight w:val="yellow"/>
        </w:rPr>
        <w:t>R. 111-20-10</w:t>
      </w:r>
      <w:r>
        <w:t xml:space="preserve"> imponga el uso de una fuente de energía renovable.</w:t>
      </w:r>
    </w:p>
    <w:p w14:paraId="3366C002" w14:textId="77777777" w:rsidR="00154360" w:rsidRPr="00AC2428" w:rsidRDefault="00154360" w:rsidP="00A51EA0">
      <w:pPr>
        <w:jc w:val="both"/>
      </w:pPr>
    </w:p>
    <w:p w14:paraId="583C8E64" w14:textId="00E6D283" w:rsidR="00154360" w:rsidRPr="00AC2428" w:rsidRDefault="00FC7497" w:rsidP="00A51EA0">
      <w:pPr>
        <w:jc w:val="both"/>
      </w:pPr>
      <w:r>
        <w:rPr>
          <w:i/>
        </w:rPr>
        <w:t>Artículo R. 111-20-19</w:t>
      </w:r>
      <w:r>
        <w:t>. - Una orden conjunta de los ministros responsables de la construcción y la energía determinará las modalidades de aplicación de los artículos</w:t>
      </w:r>
      <w:r>
        <w:rPr>
          <w:highlight w:val="yellow"/>
        </w:rPr>
        <w:t> R. 111-20-17 y R. 111-20-18</w:t>
      </w:r>
      <w:r>
        <w:t>.</w:t>
      </w:r>
    </w:p>
    <w:p w14:paraId="262F84AC" w14:textId="04829472" w:rsidR="00154360" w:rsidRPr="00AC2428" w:rsidRDefault="00154360" w:rsidP="00A51EA0">
      <w:pPr>
        <w:jc w:val="both"/>
      </w:pPr>
    </w:p>
    <w:p w14:paraId="08017502" w14:textId="47FCEB88" w:rsidR="00154360" w:rsidRPr="00AC2428" w:rsidRDefault="00FC7497" w:rsidP="00A51EA0">
      <w:pPr>
        <w:jc w:val="both"/>
        <w:rPr>
          <w:i/>
        </w:rPr>
      </w:pPr>
      <w:r>
        <w:rPr>
          <w:i/>
        </w:rPr>
        <w:t>Subsección 5: Ejemplaridad energética y medioambiental de las construcciones</w:t>
      </w:r>
    </w:p>
    <w:p w14:paraId="36C53CF3" w14:textId="77777777" w:rsidR="00D71C64" w:rsidRPr="00AC2428" w:rsidRDefault="00D71C64" w:rsidP="00A51EA0">
      <w:pPr>
        <w:jc w:val="both"/>
      </w:pPr>
    </w:p>
    <w:p w14:paraId="038762C0" w14:textId="59A7326E" w:rsidR="00154360" w:rsidRPr="00AC2428" w:rsidRDefault="00FC7497" w:rsidP="00A51EA0">
      <w:pPr>
        <w:jc w:val="both"/>
      </w:pPr>
      <w:r>
        <w:rPr>
          <w:i/>
        </w:rPr>
        <w:t>Artículo R. 111-20-20</w:t>
      </w:r>
      <w:r>
        <w:t>. - Para beneficiarse de un rebasamiento de las normas de edificabilidad previstas en el artículo L. 151-28, punto 3, del Código de Urbanismo, los edificios contemplados en la subsección 3 deberán demostrar una ejemplaridad energética con arreglo a las condiciones definidas en el apartado I, o una ejemplaridad medioambiental de acuerdo con las condiciones definidas en el apartado II o ser considerados energía positiva de conformidad con las condiciones definidas en el apartado III.</w:t>
      </w:r>
    </w:p>
    <w:p w14:paraId="6CAD2194" w14:textId="77777777" w:rsidR="00A51EA0" w:rsidRDefault="00A51EA0" w:rsidP="00A51EA0">
      <w:pPr>
        <w:pStyle w:val="NormalWeb"/>
        <w:spacing w:before="0" w:beforeAutospacing="0" w:after="0" w:afterAutospacing="0"/>
        <w:jc w:val="both"/>
      </w:pPr>
    </w:p>
    <w:p w14:paraId="7BE40476" w14:textId="1398EC47" w:rsidR="00154360" w:rsidRPr="00AC2428" w:rsidRDefault="00FC7497" w:rsidP="00A51EA0">
      <w:pPr>
        <w:pStyle w:val="NormalWeb"/>
        <w:spacing w:before="0" w:beforeAutospacing="0" w:after="0" w:afterAutospacing="0"/>
        <w:jc w:val="both"/>
      </w:pPr>
      <w:r>
        <w:t>I.- El edificio demostrará ejemplaridad energética si su consumo de energía convencional es como mínimo un 20 % inferior al consumo de energía convencional definido en el artículo </w:t>
      </w:r>
      <w:r>
        <w:rPr>
          <w:highlight w:val="yellow"/>
        </w:rPr>
        <w:t>R. 111-20-10</w:t>
      </w:r>
      <w:r>
        <w:t>, apartado I, punto 1, del presente Código.</w:t>
      </w:r>
    </w:p>
    <w:p w14:paraId="70F6A03D" w14:textId="77777777" w:rsidR="00A51EA0" w:rsidRDefault="00A51EA0" w:rsidP="00A51EA0">
      <w:pPr>
        <w:pStyle w:val="NormalWeb"/>
        <w:spacing w:before="0" w:beforeAutospacing="0" w:after="0" w:afterAutospacing="0"/>
        <w:jc w:val="both"/>
      </w:pPr>
    </w:p>
    <w:p w14:paraId="758C2337" w14:textId="48EE1709" w:rsidR="00154360" w:rsidRPr="00AC2428" w:rsidRDefault="00FC7497" w:rsidP="00A51EA0">
      <w:pPr>
        <w:pStyle w:val="NormalWeb"/>
        <w:spacing w:before="0" w:beforeAutospacing="0" w:after="0" w:afterAutospacing="0"/>
        <w:jc w:val="both"/>
      </w:pPr>
      <w:r>
        <w:t>II. - Un edificio demostrará ejemplaridad medioambiental si cumple, por un lado, el requisito de eficiencia del punto 1 a continuación y, por otro lado, dos de los criterios de eficiencia enumerados en los puntos 2, 3 y 4 a continuación:</w:t>
      </w:r>
    </w:p>
    <w:p w14:paraId="5FC8E666" w14:textId="77777777" w:rsidR="00A51EA0" w:rsidRDefault="00A51EA0" w:rsidP="00A51EA0">
      <w:pPr>
        <w:pStyle w:val="NormalWeb"/>
        <w:spacing w:before="0" w:beforeAutospacing="0" w:after="0" w:afterAutospacing="0"/>
        <w:jc w:val="both"/>
      </w:pPr>
    </w:p>
    <w:p w14:paraId="1C2FFB08" w14:textId="406E3A8C" w:rsidR="00154360" w:rsidRPr="00AC2428" w:rsidRDefault="00FC7497" w:rsidP="00A51EA0">
      <w:pPr>
        <w:pStyle w:val="NormalWeb"/>
        <w:spacing w:before="0" w:beforeAutospacing="0" w:after="0" w:afterAutospacing="0"/>
        <w:jc w:val="both"/>
      </w:pPr>
      <w:r>
        <w:t>1) la cantidad de emisiones de gases de efecto invernadero el conjunto del ciclo de vida del edificio es inferior a un umbral expresado en kilogramos del dióxido de carbono equivalente por metro cuadrado;</w:t>
      </w:r>
    </w:p>
    <w:p w14:paraId="42572EDB" w14:textId="77777777" w:rsidR="00A51EA0" w:rsidRDefault="00A51EA0" w:rsidP="00A51EA0">
      <w:pPr>
        <w:pStyle w:val="NormalWeb"/>
        <w:spacing w:before="0" w:beforeAutospacing="0" w:after="0" w:afterAutospacing="0"/>
        <w:jc w:val="both"/>
      </w:pPr>
    </w:p>
    <w:p w14:paraId="77BE13BB" w14:textId="393BB338" w:rsidR="00154360" w:rsidRPr="00AC2428" w:rsidRDefault="00FC7497" w:rsidP="00A51EA0">
      <w:pPr>
        <w:pStyle w:val="NormalWeb"/>
        <w:spacing w:before="0" w:beforeAutospacing="0" w:after="0" w:afterAutospacing="0"/>
        <w:jc w:val="both"/>
      </w:pPr>
      <w:r>
        <w:t>2) la cantidad de residuos de obra valorizados para la construcción del edificio es superior a un umbral fijado mediante orden;</w:t>
      </w:r>
    </w:p>
    <w:p w14:paraId="05874E5D" w14:textId="77777777" w:rsidR="00A51EA0" w:rsidRDefault="00A51EA0" w:rsidP="00A51EA0">
      <w:pPr>
        <w:pStyle w:val="NormalWeb"/>
        <w:spacing w:before="0" w:beforeAutospacing="0" w:after="0" w:afterAutospacing="0"/>
        <w:jc w:val="both"/>
      </w:pPr>
    </w:p>
    <w:p w14:paraId="5207E51E" w14:textId="25AD5449" w:rsidR="00154360" w:rsidRPr="00AC2428" w:rsidRDefault="00FC7497" w:rsidP="00A51EA0">
      <w:pPr>
        <w:pStyle w:val="NormalWeb"/>
        <w:spacing w:before="0" w:beforeAutospacing="0" w:after="0" w:afterAutospacing="0"/>
        <w:jc w:val="both"/>
      </w:pPr>
      <w:r>
        <w:t>3) el edificio contiene una proporción mínima de materiales de baja emisión en compuestos orgánicos volátiles y las instalaciones de ventilación están sujetas a un enfoque de calidad previsto mediante orden;</w:t>
      </w:r>
    </w:p>
    <w:p w14:paraId="548EFF1B" w14:textId="77777777" w:rsidR="00A51EA0" w:rsidRDefault="00A51EA0" w:rsidP="00A51EA0">
      <w:pPr>
        <w:pStyle w:val="NormalWeb"/>
        <w:spacing w:before="0" w:beforeAutospacing="0" w:after="0" w:afterAutospacing="0"/>
        <w:jc w:val="both"/>
      </w:pPr>
    </w:p>
    <w:p w14:paraId="13ED973A" w14:textId="32D5F118" w:rsidR="00154360" w:rsidRPr="00AC2428" w:rsidRDefault="00FC7497" w:rsidP="00A51EA0">
      <w:pPr>
        <w:pStyle w:val="NormalWeb"/>
        <w:spacing w:before="0" w:beforeAutospacing="0" w:after="0" w:afterAutospacing="0"/>
        <w:jc w:val="both"/>
      </w:pPr>
      <w:r>
        <w:t>4) el edificio incluye la tasa mínima de materiales de base biológica mencionada en el artículo </w:t>
      </w:r>
      <w:r>
        <w:rPr>
          <w:highlight w:val="yellow"/>
        </w:rPr>
        <w:t>R. 111-20-22</w:t>
      </w:r>
      <w:r>
        <w:t>.</w:t>
      </w:r>
    </w:p>
    <w:p w14:paraId="2DD24BCF" w14:textId="77777777" w:rsidR="00A51EA0" w:rsidRDefault="00A51EA0" w:rsidP="00A51EA0">
      <w:pPr>
        <w:pStyle w:val="NormalWeb"/>
        <w:spacing w:before="0" w:beforeAutospacing="0" w:after="0" w:afterAutospacing="0"/>
        <w:jc w:val="both"/>
      </w:pPr>
    </w:p>
    <w:p w14:paraId="1CCF520E" w14:textId="0CDDA367" w:rsidR="00154360" w:rsidRPr="00AC2428" w:rsidRDefault="00FC7497" w:rsidP="00A51EA0">
      <w:pPr>
        <w:pStyle w:val="NormalWeb"/>
        <w:spacing w:before="0" w:beforeAutospacing="0" w:after="0" w:afterAutospacing="0"/>
        <w:jc w:val="both"/>
      </w:pPr>
      <w:r>
        <w:t>III. - Se considerará energía positiva la de un edificio que tenga como objetivo alcanzar un equilibrio entre su consumo de energía no renovable y su producción de energía renovable inyectada en la red, cuyo balance energético esté por debajo de un umbral definido mediante orden, que podrá modularse en función de la ubicación, las características y el uso del edificio.</w:t>
      </w:r>
    </w:p>
    <w:p w14:paraId="2B806F3B" w14:textId="77777777" w:rsidR="00A51EA0" w:rsidRDefault="00A51EA0" w:rsidP="00A51EA0">
      <w:pPr>
        <w:pStyle w:val="NormalWeb"/>
        <w:spacing w:before="0" w:beforeAutospacing="0" w:after="0" w:afterAutospacing="0"/>
        <w:jc w:val="both"/>
      </w:pPr>
    </w:p>
    <w:p w14:paraId="588BAF96" w14:textId="77B3102C" w:rsidR="00154360" w:rsidRPr="00AC2428" w:rsidRDefault="00FC7497" w:rsidP="00A51EA0">
      <w:pPr>
        <w:pStyle w:val="NormalWeb"/>
        <w:spacing w:before="0" w:beforeAutospacing="0" w:after="0" w:afterAutospacing="0"/>
        <w:jc w:val="both"/>
      </w:pPr>
      <w:r>
        <w:t>Este equilibrio se define por la diferencia, expresada en energía primaria, entre la cantidad de energía que no es renovable ni recuperada, consumida por el edificio y la cantidad de energía renovable o recuperada producida e inyectada en la red por el edificio y sus espacios contiguos. Las energías renovables y la recuperación de energía están definidas en el artículo R. 712-1, puntos 1 y 2 del Código de Energía. El balance energético cubre el conjunto de usos energéticos del edificio.</w:t>
      </w:r>
    </w:p>
    <w:p w14:paraId="743F8C27" w14:textId="77777777" w:rsidR="00A51EA0" w:rsidRDefault="00A51EA0" w:rsidP="00A51EA0">
      <w:pPr>
        <w:pStyle w:val="NormalWeb"/>
        <w:spacing w:before="0" w:beforeAutospacing="0" w:after="0" w:afterAutospacing="0"/>
        <w:jc w:val="both"/>
      </w:pPr>
    </w:p>
    <w:p w14:paraId="01DBF8CB" w14:textId="7937FF06" w:rsidR="00154360" w:rsidRPr="00AC2428" w:rsidRDefault="00FC7497" w:rsidP="00A51EA0">
      <w:pPr>
        <w:pStyle w:val="NormalWeb"/>
        <w:spacing w:before="0" w:beforeAutospacing="0" w:after="0" w:afterAutospacing="0"/>
        <w:jc w:val="both"/>
      </w:pPr>
      <w:r>
        <w:t>IV. - Para justificar la ejemplaridad energética, el dueño de la obra adjuntará a la solicitud de la licencia de obra, de conformidad con el artículo R. 431-18 del Código de Urbanismo, un documento que acredite que ha tenido en cuenta o que ha hecho que el director del proyecto tenga en cuenta, cuando este último esté a cargo de una misión de diseño de operación, los criterios de eficiencia energética requeridos.</w:t>
      </w:r>
    </w:p>
    <w:p w14:paraId="5E7012D9" w14:textId="77777777" w:rsidR="00A51EA0" w:rsidRDefault="00A51EA0" w:rsidP="00A51EA0">
      <w:pPr>
        <w:pStyle w:val="NormalWeb"/>
        <w:spacing w:before="0" w:beforeAutospacing="0" w:after="0" w:afterAutospacing="0"/>
        <w:jc w:val="both"/>
      </w:pPr>
    </w:p>
    <w:p w14:paraId="6EE43B6A" w14:textId="44F0A17D" w:rsidR="00154360" w:rsidRPr="00AC2428" w:rsidRDefault="00FC7497" w:rsidP="00A51EA0">
      <w:pPr>
        <w:pStyle w:val="NormalWeb"/>
        <w:spacing w:before="0" w:beforeAutospacing="0" w:after="0" w:afterAutospacing="0"/>
        <w:jc w:val="both"/>
      </w:pPr>
      <w:r>
        <w:t xml:space="preserve">Para justificar la ejemplaridad medioambiental o la calificación energética positiva del edificio, este estará sujeto a una certificación, en virtud de los artículos L. 433-3 a L. 433-10 del Código de Consumo, por un organismo acreditado según la norma NF EN ISO/ CEI 17065 para esta actividad </w:t>
      </w:r>
      <w:r>
        <w:lastRenderedPageBreak/>
        <w:t>de certificación por el Comité Francés de Acreditación (COFRAC) o por cualquier otro organismo de acreditación signatario del acuerdo multilateral celebrado en el marco de la coordinación europea de organismos de acreditación y que haya firmado un convenio a tal efecto con el ministro responsable de la construcción. El dueño de la obra adjuntará a la solicitud de la licencia de obra, de conformidad con el artículo R. 431-18 del Código de Urbanismo, un documento elaborado por el organismo de certificación que acredite que se han tenido en cuenta en la etapa de la licencia de obra los criterios exigidos mencionados respectivamente en los apartados II y III del presente artículo.</w:t>
      </w:r>
    </w:p>
    <w:p w14:paraId="093F7041" w14:textId="77777777" w:rsidR="00A51EA0" w:rsidRDefault="00A51EA0" w:rsidP="00A51EA0">
      <w:pPr>
        <w:pStyle w:val="NormalWeb"/>
        <w:spacing w:before="0" w:beforeAutospacing="0" w:after="0" w:afterAutospacing="0"/>
        <w:jc w:val="both"/>
      </w:pPr>
    </w:p>
    <w:p w14:paraId="44C85024" w14:textId="0C8FF1E4" w:rsidR="00154360" w:rsidRPr="00AC2428" w:rsidRDefault="00FC7497" w:rsidP="00A51EA0">
      <w:pPr>
        <w:pStyle w:val="NormalWeb"/>
        <w:spacing w:before="0" w:beforeAutospacing="0" w:after="0" w:afterAutospacing="0"/>
        <w:jc w:val="both"/>
      </w:pPr>
      <w:r>
        <w:t>V.- Una orden conjunta de los ministros responsables de la construcción y la energía especificará las modalidades de aplicación del presente artículo.</w:t>
      </w:r>
    </w:p>
    <w:p w14:paraId="6E31AFE6" w14:textId="77777777" w:rsidR="00A51EA0" w:rsidRDefault="00A51EA0" w:rsidP="00A51EA0">
      <w:pPr>
        <w:jc w:val="both"/>
      </w:pPr>
    </w:p>
    <w:p w14:paraId="6F1E11FC" w14:textId="61C21878" w:rsidR="00154360" w:rsidRPr="00AC2428" w:rsidRDefault="00FC7497" w:rsidP="00A51EA0">
      <w:pPr>
        <w:jc w:val="both"/>
      </w:pPr>
      <w:r>
        <w:rPr>
          <w:i/>
        </w:rPr>
        <w:t>Artículo R. 111-20-21</w:t>
      </w:r>
      <w:r>
        <w:t>. - Sin perjuicio de la aplicación, en su caso, de las penas más severas previstas en los artículos </w:t>
      </w:r>
      <w:r>
        <w:rPr>
          <w:highlight w:val="yellow"/>
        </w:rPr>
        <w:t>L 152-2 a L 152-9</w:t>
      </w:r>
      <w:r>
        <w:t>, el hecho de que el titular de la licencia de obra, o su derechohabiente, que se haya beneficiado de lo previsto en el artículo L. 151-28, punto 3, del Código de Urbanismo, no haya construido un edificio que cumpla los criterios de funcionamiento exigidos o no haya respetado dentro de los tres años siguientes a la terminación de la obra su compromiso de instalar los equipos de producción de energía renovable, será sancionado con la multa prevista para las infracciones de quinta clase.</w:t>
      </w:r>
    </w:p>
    <w:p w14:paraId="477ED1E2" w14:textId="77777777" w:rsidR="00A51EA0" w:rsidRDefault="00A51EA0" w:rsidP="00A51EA0">
      <w:pPr>
        <w:pStyle w:val="NormalWeb"/>
        <w:spacing w:before="0" w:beforeAutospacing="0" w:after="0" w:afterAutospacing="0"/>
        <w:jc w:val="both"/>
      </w:pPr>
    </w:p>
    <w:p w14:paraId="6FA4E342" w14:textId="0335F183" w:rsidR="00154360" w:rsidRPr="00AC2428" w:rsidRDefault="00FC7497" w:rsidP="00A51EA0">
      <w:pPr>
        <w:pStyle w:val="NormalWeb"/>
        <w:spacing w:before="0" w:beforeAutospacing="0" w:after="0" w:afterAutospacing="0"/>
        <w:jc w:val="both"/>
      </w:pPr>
      <w:r>
        <w:t>La persona condenada por estos delitos incurrirá también en la pena adicional de publicación o difusión, por parte de la prensa escrita o cualquier medio de comunicación audiovisual, de la sentencia pronunciada, en las condiciones previstas en los artículos 131-35 y 131-48. del Código Penal.</w:t>
      </w:r>
    </w:p>
    <w:p w14:paraId="19A057D8" w14:textId="77777777" w:rsidR="00A51EA0" w:rsidRDefault="00A51EA0" w:rsidP="00A51EA0">
      <w:pPr>
        <w:pStyle w:val="NormalWeb"/>
        <w:spacing w:before="0" w:beforeAutospacing="0" w:after="0" w:afterAutospacing="0"/>
        <w:jc w:val="both"/>
      </w:pPr>
    </w:p>
    <w:p w14:paraId="23AF5EC7" w14:textId="674693C8" w:rsidR="00154360" w:rsidRPr="00AC2428" w:rsidRDefault="00FC7497" w:rsidP="00A51EA0">
      <w:pPr>
        <w:pStyle w:val="NormalWeb"/>
        <w:spacing w:before="0" w:beforeAutospacing="0" w:after="0" w:afterAutospacing="0"/>
        <w:jc w:val="both"/>
      </w:pPr>
      <w:r>
        <w:t>La reincidencia estará penada de conformidad con lo dispuesto en los artículos 132-11 y 132-15 del Código Penal.</w:t>
      </w:r>
    </w:p>
    <w:p w14:paraId="153AFA4F" w14:textId="77777777" w:rsidR="00A51EA0" w:rsidRDefault="00A51EA0" w:rsidP="00A51EA0">
      <w:pPr>
        <w:jc w:val="both"/>
        <w:rPr>
          <w:color w:val="000000" w:themeColor="text1"/>
        </w:rPr>
      </w:pPr>
    </w:p>
    <w:p w14:paraId="6355671F" w14:textId="3756BA6F" w:rsidR="00154360" w:rsidRPr="00AC2428" w:rsidRDefault="00FC7497" w:rsidP="00A51EA0">
      <w:pPr>
        <w:jc w:val="both"/>
        <w:rPr>
          <w:color w:val="000000" w:themeColor="text1"/>
        </w:rPr>
      </w:pPr>
      <w:r>
        <w:rPr>
          <w:i/>
          <w:color w:val="000000" w:themeColor="text1"/>
        </w:rPr>
        <w:t>Artículo R. 111-20-22</w:t>
      </w:r>
      <w:r>
        <w:rPr>
          <w:color w:val="000000" w:themeColor="text1"/>
        </w:rPr>
        <w:t>. - Las construcciones de edificios o partes de edificios que contengan una cantidad mínima de carbono procedente de la atmósfera y se almacenen en productos de construcción o decoración podrán optar a la obtención de una etiqueta de “edificio de base biológica”. Una orden del ministro responsable de la construcción determinará las condiciones para atribución de esta etiqueta.».</w:t>
      </w:r>
    </w:p>
    <w:p w14:paraId="6C910CEC" w14:textId="77777777" w:rsidR="00D71C64" w:rsidRPr="00AC2428" w:rsidRDefault="00D71C64" w:rsidP="00A51EA0">
      <w:pPr>
        <w:jc w:val="both"/>
      </w:pPr>
    </w:p>
    <w:p w14:paraId="4B8A190E" w14:textId="1475E363" w:rsidR="00D71C64" w:rsidRPr="00AC2428" w:rsidRDefault="00D71C64" w:rsidP="00A51EA0">
      <w:pPr>
        <w:jc w:val="both"/>
      </w:pPr>
    </w:p>
    <w:p w14:paraId="09A0FAAD" w14:textId="13CD1DBF" w:rsidR="00500EA5" w:rsidRPr="00AC2428" w:rsidRDefault="00500EA5" w:rsidP="00A51EA0">
      <w:pPr>
        <w:jc w:val="center"/>
        <w:rPr>
          <w:b/>
        </w:rPr>
      </w:pPr>
      <w:r>
        <w:rPr>
          <w:b/>
        </w:rPr>
        <w:t>Artículo 2</w:t>
      </w:r>
    </w:p>
    <w:p w14:paraId="1C07E527" w14:textId="75EEBD2A" w:rsidR="00500EA5" w:rsidRPr="00AC2428" w:rsidRDefault="00500EA5" w:rsidP="00A51EA0">
      <w:pPr>
        <w:jc w:val="both"/>
      </w:pPr>
    </w:p>
    <w:p w14:paraId="62DBF6B5" w14:textId="0CFB74CB" w:rsidR="00500EA5" w:rsidRPr="00AC2428" w:rsidRDefault="00500EA5" w:rsidP="00A51EA0">
      <w:pPr>
        <w:jc w:val="both"/>
      </w:pPr>
      <w:r>
        <w:t>Después del artículo R. 111-20-22, se añade un artículo R. 111-20-23 en la subsección 5, con la siguiente redacción:</w:t>
      </w:r>
    </w:p>
    <w:p w14:paraId="20B27905" w14:textId="77777777" w:rsidR="00500EA5" w:rsidRPr="00AC2428" w:rsidRDefault="00500EA5" w:rsidP="00A51EA0">
      <w:pPr>
        <w:jc w:val="both"/>
      </w:pPr>
    </w:p>
    <w:p w14:paraId="737F03F2" w14:textId="793896FE" w:rsidR="00154360" w:rsidRPr="00AC2428" w:rsidRDefault="000E3CDC" w:rsidP="00A51EA0">
      <w:pPr>
        <w:jc w:val="both"/>
        <w:rPr>
          <w:color w:val="000000" w:themeColor="text1"/>
        </w:rPr>
      </w:pPr>
      <w:r>
        <w:rPr>
          <w:color w:val="000000" w:themeColor="text1"/>
        </w:rPr>
        <w:t>«</w:t>
      </w:r>
      <w:r>
        <w:rPr>
          <w:i/>
          <w:color w:val="000000" w:themeColor="text1"/>
        </w:rPr>
        <w:t>Artículo R. 111-20-23.</w:t>
      </w:r>
      <w:r>
        <w:rPr>
          <w:color w:val="000000" w:themeColor="text1"/>
        </w:rPr>
        <w:t xml:space="preserve"> - Una orden del ministro responsable de la energía, del ministro encargado del medioambiente y del ministro responsable de la construcción determinará las condiciones de atribución a una construcción de edificios o parte de edificios contemplados la subsección 1 de la etiqueta de “alta eficiencia energética y alto comportamiento medioambiental”.».</w:t>
      </w:r>
    </w:p>
    <w:p w14:paraId="629331AA" w14:textId="77777777" w:rsidR="00154360" w:rsidRPr="00AC2428" w:rsidRDefault="00154360" w:rsidP="00A51EA0">
      <w:pPr>
        <w:jc w:val="both"/>
      </w:pPr>
    </w:p>
    <w:p w14:paraId="43E5417E" w14:textId="77777777" w:rsidR="00154360" w:rsidRPr="00AC2428" w:rsidRDefault="00154360" w:rsidP="00A51EA0">
      <w:pPr>
        <w:jc w:val="both"/>
      </w:pPr>
    </w:p>
    <w:p w14:paraId="4D0E467B" w14:textId="2577C0AD" w:rsidR="00154360" w:rsidRPr="00AC2428" w:rsidRDefault="00154360" w:rsidP="00A51EA0">
      <w:pPr>
        <w:jc w:val="center"/>
        <w:rPr>
          <w:b/>
        </w:rPr>
      </w:pPr>
      <w:r>
        <w:rPr>
          <w:b/>
        </w:rPr>
        <w:t>Artículo 3</w:t>
      </w:r>
    </w:p>
    <w:p w14:paraId="2491E38C" w14:textId="77777777" w:rsidR="00D71C64" w:rsidRPr="00AC2428" w:rsidRDefault="00D71C64" w:rsidP="00A51EA0">
      <w:pPr>
        <w:jc w:val="both"/>
        <w:rPr>
          <w:b/>
        </w:rPr>
      </w:pPr>
    </w:p>
    <w:p w14:paraId="37B2B001" w14:textId="57EEE2CC" w:rsidR="00154360" w:rsidRPr="00AC2428" w:rsidRDefault="00154360" w:rsidP="00A51EA0">
      <w:pPr>
        <w:jc w:val="both"/>
      </w:pPr>
      <w:r>
        <w:t>El libro I, título I, capítulo I, sección 4, subsección 5, del Código de la construcción y la vivienda pasa a ser la subsección 6 de la misma sección.</w:t>
      </w:r>
    </w:p>
    <w:p w14:paraId="027F84AE" w14:textId="77777777" w:rsidR="000E3CDC" w:rsidRPr="00AC2428" w:rsidRDefault="000E3CDC" w:rsidP="00A51EA0">
      <w:pPr>
        <w:jc w:val="both"/>
      </w:pPr>
    </w:p>
    <w:p w14:paraId="5CFD0A3F" w14:textId="43223EF7" w:rsidR="002422A2" w:rsidRPr="00AC2428" w:rsidRDefault="002422A2" w:rsidP="00A51EA0">
      <w:pPr>
        <w:jc w:val="both"/>
      </w:pPr>
    </w:p>
    <w:p w14:paraId="13D6654C" w14:textId="5791814C" w:rsidR="001F3786" w:rsidRPr="00AC2428" w:rsidRDefault="001F3786" w:rsidP="00A51EA0">
      <w:pPr>
        <w:jc w:val="center"/>
        <w:rPr>
          <w:b/>
        </w:rPr>
      </w:pPr>
      <w:r>
        <w:rPr>
          <w:b/>
        </w:rPr>
        <w:t>Artículo 4</w:t>
      </w:r>
    </w:p>
    <w:p w14:paraId="3CED07FE" w14:textId="77777777" w:rsidR="001F3786" w:rsidRPr="00AC2428" w:rsidRDefault="001F3786" w:rsidP="00A51EA0">
      <w:pPr>
        <w:jc w:val="both"/>
      </w:pPr>
    </w:p>
    <w:p w14:paraId="4E6B60F9" w14:textId="647EC0EF" w:rsidR="00E756DF" w:rsidRPr="00AC2428" w:rsidRDefault="00E756DF" w:rsidP="00A51EA0">
      <w:pPr>
        <w:jc w:val="both"/>
      </w:pPr>
      <w:r>
        <w:t xml:space="preserve">I. - Las disposiciones de los artículos 1 y 3 del presente Decreto entrarán en vigor a partir del 1 de julio de 2021. </w:t>
      </w:r>
    </w:p>
    <w:p w14:paraId="6DBC70E1" w14:textId="77777777" w:rsidR="0083620D" w:rsidRPr="00AC2428" w:rsidRDefault="0083620D" w:rsidP="00A51EA0">
      <w:pPr>
        <w:jc w:val="both"/>
      </w:pPr>
    </w:p>
    <w:p w14:paraId="0D875F96" w14:textId="7111AF25" w:rsidR="00D71C64" w:rsidRPr="00AC2428" w:rsidRDefault="00E756DF" w:rsidP="00A51EA0">
      <w:pPr>
        <w:jc w:val="both"/>
      </w:pPr>
      <w:r>
        <w:t>II. - Las disposiciones del artículo 2 del presente Decreto entrarán en vigor en una fecha definida mediante orden y, a más tardar, el 30 de junio de 2022.</w:t>
      </w:r>
    </w:p>
    <w:p w14:paraId="4E791787" w14:textId="77777777" w:rsidR="000E3CDC" w:rsidRPr="00AC2428" w:rsidRDefault="000E3CDC" w:rsidP="00A51EA0">
      <w:pPr>
        <w:jc w:val="both"/>
      </w:pPr>
    </w:p>
    <w:p w14:paraId="27CFF1BB" w14:textId="77777777" w:rsidR="001F3786" w:rsidRPr="00AC2428" w:rsidRDefault="001F3786" w:rsidP="00A51EA0">
      <w:pPr>
        <w:jc w:val="both"/>
        <w:rPr>
          <w:b/>
        </w:rPr>
      </w:pPr>
    </w:p>
    <w:p w14:paraId="5D16EF9A" w14:textId="4A6D21E1" w:rsidR="00154360" w:rsidRPr="00AC2428" w:rsidRDefault="00D71C64" w:rsidP="00A51EA0">
      <w:pPr>
        <w:jc w:val="center"/>
        <w:rPr>
          <w:b/>
        </w:rPr>
      </w:pPr>
      <w:r>
        <w:rPr>
          <w:b/>
        </w:rPr>
        <w:t>Artículo 5</w:t>
      </w:r>
    </w:p>
    <w:p w14:paraId="41A1DF81" w14:textId="77777777" w:rsidR="00D71C64" w:rsidRPr="00AC2428" w:rsidRDefault="00D71C64" w:rsidP="00A51EA0">
      <w:pPr>
        <w:jc w:val="both"/>
        <w:rPr>
          <w:b/>
        </w:rPr>
      </w:pPr>
    </w:p>
    <w:p w14:paraId="53F2CD99" w14:textId="680DCEDD" w:rsidR="00154360" w:rsidRPr="00AC2428" w:rsidRDefault="00154360" w:rsidP="00A51EA0">
      <w:pPr>
        <w:widowControl w:val="0"/>
        <w:jc w:val="both"/>
      </w:pPr>
      <w:r>
        <w:t>La Ministra de la Transición Ecológica y la Ministra Delegada de la Ministra de la Transición Ecológica, responsable de Vivienda, serán las responsables, dentro de sus respectivas competencias, de la ejecución del presente Decreto, que se publicará en el Boletín Oficial de la República Francesa. </w:t>
      </w:r>
    </w:p>
    <w:p w14:paraId="24C63A94" w14:textId="77777777" w:rsidR="00154360" w:rsidRPr="00AC2428" w:rsidRDefault="00154360" w:rsidP="00A51EA0">
      <w:pPr>
        <w:widowControl w:val="0"/>
        <w:jc w:val="both"/>
      </w:pPr>
    </w:p>
    <w:p w14:paraId="63C20AFE" w14:textId="77777777" w:rsidR="00154360" w:rsidRPr="00AC2428" w:rsidRDefault="00154360" w:rsidP="00A51EA0">
      <w:pPr>
        <w:widowControl w:val="0"/>
        <w:jc w:val="both"/>
      </w:pPr>
    </w:p>
    <w:p w14:paraId="262C9A33" w14:textId="77777777" w:rsidR="00154360" w:rsidRPr="00AC2428" w:rsidRDefault="00154360" w:rsidP="00A51EA0">
      <w:pPr>
        <w:pStyle w:val="SNSignature"/>
        <w:jc w:val="right"/>
      </w:pPr>
    </w:p>
    <w:p w14:paraId="18246DE6" w14:textId="2C1CDB08" w:rsidR="00154360" w:rsidRPr="00AC2428" w:rsidRDefault="00154360" w:rsidP="00A51EA0">
      <w:pPr>
        <w:pStyle w:val="SNSignature"/>
        <w:ind w:firstLine="0"/>
        <w:rPr>
          <w:color w:val="000000"/>
        </w:rPr>
      </w:pPr>
      <w:r>
        <w:rPr>
          <w:color w:val="000000"/>
        </w:rPr>
        <w:t>Por el Primer Ministro:</w:t>
      </w:r>
    </w:p>
    <w:p w14:paraId="6A0B9C0B" w14:textId="77777777" w:rsidR="00403727" w:rsidRPr="00AC2428" w:rsidRDefault="00403727" w:rsidP="00A51EA0">
      <w:pPr>
        <w:pStyle w:val="SNSignature"/>
        <w:ind w:firstLine="0"/>
        <w:rPr>
          <w:color w:val="000000"/>
          <w:lang w:eastAsia="fr-FR"/>
        </w:rPr>
      </w:pPr>
    </w:p>
    <w:p w14:paraId="2C642B17" w14:textId="19D5E8B9" w:rsidR="00403727" w:rsidRPr="00AC2428" w:rsidRDefault="00403727" w:rsidP="00A51EA0">
      <w:pPr>
        <w:pStyle w:val="SNSignature"/>
        <w:ind w:firstLine="0"/>
        <w:rPr>
          <w:color w:val="000000"/>
          <w:lang w:eastAsia="fr-FR"/>
        </w:rPr>
      </w:pPr>
    </w:p>
    <w:p w14:paraId="3E4DD31B" w14:textId="77777777" w:rsidR="00403727" w:rsidRPr="00AC2428" w:rsidRDefault="00403727" w:rsidP="00A51EA0">
      <w:pPr>
        <w:pStyle w:val="SNSignature"/>
        <w:ind w:firstLine="0"/>
      </w:pPr>
    </w:p>
    <w:p w14:paraId="4898BC16" w14:textId="77777777" w:rsidR="00154360" w:rsidRPr="00AC2428" w:rsidRDefault="00154360" w:rsidP="00A51EA0">
      <w:pPr>
        <w:pStyle w:val="SNSignature"/>
        <w:jc w:val="right"/>
      </w:pPr>
    </w:p>
    <w:p w14:paraId="2674864A" w14:textId="77777777" w:rsidR="00154360" w:rsidRPr="00AC2428" w:rsidRDefault="00154360" w:rsidP="00A51EA0">
      <w:pPr>
        <w:pStyle w:val="SNSignature"/>
      </w:pPr>
    </w:p>
    <w:p w14:paraId="5F5086BE" w14:textId="77777777" w:rsidR="00154360" w:rsidRPr="00AC2428" w:rsidRDefault="00154360" w:rsidP="00A51EA0">
      <w:pPr>
        <w:pStyle w:val="SNSignature"/>
        <w:ind w:firstLine="0"/>
      </w:pPr>
      <w:r>
        <w:t>La Ministra de la Transición Ecológica,</w:t>
      </w:r>
    </w:p>
    <w:p w14:paraId="0DD79C55" w14:textId="77777777" w:rsidR="00154360" w:rsidRPr="00AC2428" w:rsidRDefault="00154360" w:rsidP="00A51EA0"/>
    <w:p w14:paraId="23951CA8" w14:textId="168874FB" w:rsidR="00154360" w:rsidRPr="00AC2428" w:rsidRDefault="00154360" w:rsidP="00A51EA0">
      <w:r>
        <w:t>Barbara POMPILI</w:t>
      </w:r>
    </w:p>
    <w:p w14:paraId="0BFC79FC" w14:textId="77777777" w:rsidR="000E3CDC" w:rsidRPr="00AC2428" w:rsidRDefault="000E3CDC" w:rsidP="00A51EA0"/>
    <w:p w14:paraId="1CDEBE12" w14:textId="282E7C5A" w:rsidR="008859E2" w:rsidRPr="00AC2428" w:rsidRDefault="008859E2" w:rsidP="00A51EA0">
      <w:pPr>
        <w:jc w:val="right"/>
      </w:pPr>
    </w:p>
    <w:p w14:paraId="1A654AEF" w14:textId="3AF87C2E" w:rsidR="008859E2" w:rsidRPr="00AC2428" w:rsidRDefault="008859E2" w:rsidP="00A51EA0">
      <w:pPr>
        <w:jc w:val="right"/>
      </w:pPr>
    </w:p>
    <w:p w14:paraId="3D75DE50" w14:textId="24DC0399" w:rsidR="008859E2" w:rsidRPr="00AC2428" w:rsidRDefault="008859E2" w:rsidP="00A51EA0">
      <w:pPr>
        <w:jc w:val="right"/>
      </w:pPr>
      <w:r>
        <w:t>La Ministra Delegada de la Ministra de la Transición Ecológica,</w:t>
      </w:r>
    </w:p>
    <w:p w14:paraId="6DDE764E" w14:textId="77777777" w:rsidR="008859E2" w:rsidRPr="00AC2428" w:rsidRDefault="008859E2" w:rsidP="00A51EA0">
      <w:pPr>
        <w:jc w:val="right"/>
      </w:pPr>
      <w:r>
        <w:t>responsable de Vivienda</w:t>
      </w:r>
    </w:p>
    <w:p w14:paraId="0A6D86F9" w14:textId="77777777" w:rsidR="008859E2" w:rsidRPr="00AC2428" w:rsidRDefault="008859E2" w:rsidP="00A51EA0">
      <w:pPr>
        <w:jc w:val="right"/>
      </w:pPr>
    </w:p>
    <w:p w14:paraId="26DFC305" w14:textId="77777777" w:rsidR="008859E2" w:rsidRPr="00AC2428" w:rsidRDefault="008859E2" w:rsidP="00A51EA0">
      <w:pPr>
        <w:jc w:val="right"/>
      </w:pPr>
      <w:r>
        <w:t>Emmanuelle WARGON</w:t>
      </w:r>
    </w:p>
    <w:sectPr w:rsidR="008859E2" w:rsidRPr="00AC2428">
      <w:pgSz w:w="11906" w:h="16838"/>
      <w:pgMar w:top="1134" w:right="1418" w:bottom="1418" w:left="1134"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71A431D" w14:textId="77777777" w:rsidR="001C6476" w:rsidRDefault="001C6476" w:rsidP="00847849">
      <w:r>
        <w:separator/>
      </w:r>
    </w:p>
  </w:endnote>
  <w:endnote w:type="continuationSeparator" w:id="0">
    <w:p w14:paraId="530CABD6" w14:textId="77777777" w:rsidR="001C6476" w:rsidRDefault="001C6476" w:rsidP="0084784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Liberation Sans">
    <w:charset w:val="00"/>
    <w:family w:val="swiss"/>
    <w:pitch w:val="variable"/>
    <w:sig w:usb0="E0000AFF" w:usb1="500078FF" w:usb2="00000021" w:usb3="00000000" w:csb0="000001BF" w:csb1="00000000"/>
  </w:font>
  <w:font w:name="Microsoft YaHei">
    <w:altName w:val="微软雅黑"/>
    <w:panose1 w:val="020B0503020204020204"/>
    <w:charset w:val="86"/>
    <w:family w:val="swiss"/>
    <w:pitch w:val="variable"/>
    <w:sig w:usb0="80000287" w:usb1="2ACF3C50" w:usb2="00000016" w:usb3="00000000" w:csb0="0004001F" w:csb1="00000000"/>
  </w:font>
  <w:font w:name="Arial Unicode MS">
    <w:panose1 w:val="020B0604020202020204"/>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A00002EF" w:usb1="4000207B" w:usb2="00000000" w:usb3="00000000" w:csb0="0000019F" w:csb1="00000000"/>
  </w:font>
  <w:font w:name="Mangal">
    <w:panose1 w:val="02040503050203030202"/>
    <w:charset w:val="00"/>
    <w:family w:val="roman"/>
    <w:pitch w:val="variable"/>
    <w:sig w:usb0="00008003" w:usb1="00000000" w:usb2="00000000" w:usb3="00000000" w:csb0="00000001" w:csb1="00000000"/>
  </w:font>
  <w:font w:name="DengXian">
    <w:altName w:val="等线"/>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F0A3346" w14:textId="77777777" w:rsidR="001C6476" w:rsidRDefault="001C6476" w:rsidP="00847849">
      <w:r>
        <w:separator/>
      </w:r>
    </w:p>
  </w:footnote>
  <w:footnote w:type="continuationSeparator" w:id="0">
    <w:p w14:paraId="20410AEB" w14:textId="77777777" w:rsidR="001C6476" w:rsidRDefault="001C6476" w:rsidP="00847849">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1"/>
    <w:multiLevelType w:val="multilevel"/>
    <w:tmpl w:val="00000001"/>
    <w:lvl w:ilvl="0">
      <w:start w:val="1"/>
      <w:numFmt w:val="none"/>
      <w:pStyle w:val="Heading1"/>
      <w:suff w:val="nothing"/>
      <w:lvlText w:val=""/>
      <w:lvlJc w:val="left"/>
      <w:pPr>
        <w:tabs>
          <w:tab w:val="num" w:pos="142"/>
        </w:tabs>
        <w:ind w:left="142" w:firstLine="0"/>
      </w:pPr>
    </w:lvl>
    <w:lvl w:ilvl="1">
      <w:start w:val="1"/>
      <w:numFmt w:val="none"/>
      <w:pStyle w:val="Heading2"/>
      <w:suff w:val="nothing"/>
      <w:lvlText w:val=""/>
      <w:lvlJc w:val="left"/>
      <w:pPr>
        <w:tabs>
          <w:tab w:val="num" w:pos="142"/>
        </w:tabs>
        <w:ind w:left="142" w:firstLine="0"/>
      </w:pPr>
    </w:lvl>
    <w:lvl w:ilvl="2">
      <w:start w:val="1"/>
      <w:numFmt w:val="none"/>
      <w:pStyle w:val="Heading3"/>
      <w:suff w:val="nothing"/>
      <w:lvlText w:val=""/>
      <w:lvlJc w:val="left"/>
      <w:pPr>
        <w:tabs>
          <w:tab w:val="num" w:pos="142"/>
        </w:tabs>
        <w:ind w:left="142" w:firstLine="0"/>
      </w:pPr>
    </w:lvl>
    <w:lvl w:ilvl="3">
      <w:start w:val="1"/>
      <w:numFmt w:val="none"/>
      <w:suff w:val="nothing"/>
      <w:lvlText w:val=""/>
      <w:lvlJc w:val="left"/>
      <w:pPr>
        <w:tabs>
          <w:tab w:val="num" w:pos="142"/>
        </w:tabs>
        <w:ind w:left="142" w:firstLine="0"/>
      </w:pPr>
    </w:lvl>
    <w:lvl w:ilvl="4">
      <w:start w:val="1"/>
      <w:numFmt w:val="none"/>
      <w:suff w:val="nothing"/>
      <w:lvlText w:val=""/>
      <w:lvlJc w:val="left"/>
      <w:pPr>
        <w:tabs>
          <w:tab w:val="num" w:pos="142"/>
        </w:tabs>
        <w:ind w:left="142" w:firstLine="0"/>
      </w:pPr>
    </w:lvl>
    <w:lvl w:ilvl="5">
      <w:start w:val="1"/>
      <w:numFmt w:val="none"/>
      <w:suff w:val="nothing"/>
      <w:lvlText w:val=""/>
      <w:lvlJc w:val="left"/>
      <w:pPr>
        <w:tabs>
          <w:tab w:val="num" w:pos="142"/>
        </w:tabs>
        <w:ind w:left="142" w:firstLine="0"/>
      </w:pPr>
    </w:lvl>
    <w:lvl w:ilvl="6">
      <w:start w:val="1"/>
      <w:numFmt w:val="none"/>
      <w:suff w:val="nothing"/>
      <w:lvlText w:val=""/>
      <w:lvlJc w:val="left"/>
      <w:pPr>
        <w:tabs>
          <w:tab w:val="num" w:pos="142"/>
        </w:tabs>
        <w:ind w:left="142" w:firstLine="0"/>
      </w:pPr>
    </w:lvl>
    <w:lvl w:ilvl="7">
      <w:start w:val="1"/>
      <w:numFmt w:val="none"/>
      <w:suff w:val="nothing"/>
      <w:lvlText w:val=""/>
      <w:lvlJc w:val="left"/>
      <w:pPr>
        <w:tabs>
          <w:tab w:val="num" w:pos="142"/>
        </w:tabs>
        <w:ind w:left="142" w:firstLine="0"/>
      </w:pPr>
    </w:lvl>
    <w:lvl w:ilvl="8">
      <w:start w:val="1"/>
      <w:numFmt w:val="none"/>
      <w:suff w:val="nothing"/>
      <w:lvlText w:val=""/>
      <w:lvlJc w:val="left"/>
      <w:pPr>
        <w:tabs>
          <w:tab w:val="num" w:pos="142"/>
        </w:tabs>
        <w:ind w:left="142" w:firstLine="0"/>
      </w:pPr>
    </w:lvl>
  </w:abstractNum>
  <w:abstractNum w:abstractNumId="1" w15:restartNumberingAfterBreak="0">
    <w:nsid w:val="00000002"/>
    <w:multiLevelType w:val="singleLevel"/>
    <w:tmpl w:val="00000002"/>
    <w:name w:val="WW8Num3"/>
    <w:lvl w:ilvl="0">
      <w:numFmt w:val="bullet"/>
      <w:lvlText w:val="-"/>
      <w:lvlJc w:val="left"/>
      <w:pPr>
        <w:tabs>
          <w:tab w:val="num" w:pos="0"/>
        </w:tabs>
        <w:ind w:left="720" w:hanging="360"/>
      </w:pPr>
      <w:rPr>
        <w:rFonts w:ascii="Times New Roman" w:hAnsi="Times New Roman" w:cs="Times New Roman" w:hint="default"/>
      </w:rPr>
    </w:lvl>
  </w:abstractNum>
  <w:abstractNum w:abstractNumId="2" w15:restartNumberingAfterBreak="0">
    <w:nsid w:val="00000003"/>
    <w:multiLevelType w:val="singleLevel"/>
    <w:tmpl w:val="00000003"/>
    <w:name w:val="WW8Num4"/>
    <w:lvl w:ilvl="0">
      <w:start w:val="37"/>
      <w:numFmt w:val="bullet"/>
      <w:lvlText w:val="-"/>
      <w:lvlJc w:val="left"/>
      <w:pPr>
        <w:tabs>
          <w:tab w:val="num" w:pos="0"/>
        </w:tabs>
        <w:ind w:left="720" w:hanging="360"/>
      </w:pPr>
      <w:rPr>
        <w:rFonts w:ascii="Times New Roman" w:hAnsi="Times New Roman" w:cs="Times New Roman" w:hint="default"/>
      </w:rPr>
    </w:lvl>
  </w:abstractNum>
  <w:abstractNum w:abstractNumId="3" w15:restartNumberingAfterBreak="0">
    <w:nsid w:val="00000004"/>
    <w:multiLevelType w:val="singleLevel"/>
    <w:tmpl w:val="00000004"/>
    <w:name w:val="WW8Num6"/>
    <w:lvl w:ilvl="0">
      <w:numFmt w:val="bullet"/>
      <w:lvlText w:val="-"/>
      <w:lvlJc w:val="left"/>
      <w:pPr>
        <w:tabs>
          <w:tab w:val="num" w:pos="0"/>
        </w:tabs>
        <w:ind w:left="720" w:hanging="360"/>
      </w:pPr>
      <w:rPr>
        <w:rFonts w:ascii="Times New Roman" w:hAnsi="Times New Roman" w:cs="Times New Roman" w:hint="default"/>
      </w:rPr>
    </w:lvl>
  </w:abstractNum>
  <w:abstractNum w:abstractNumId="4" w15:restartNumberingAfterBreak="0">
    <w:nsid w:val="00000005"/>
    <w:multiLevelType w:val="singleLevel"/>
    <w:tmpl w:val="00000005"/>
    <w:name w:val="WW8Num10"/>
    <w:lvl w:ilvl="0">
      <w:numFmt w:val="bullet"/>
      <w:lvlText w:val="-"/>
      <w:lvlJc w:val="left"/>
      <w:pPr>
        <w:tabs>
          <w:tab w:val="num" w:pos="0"/>
        </w:tabs>
        <w:ind w:left="720" w:hanging="360"/>
      </w:pPr>
      <w:rPr>
        <w:rFonts w:ascii="Times New Roman" w:hAnsi="Times New Roman" w:cs="Times New Roman" w:hint="default"/>
      </w:rPr>
    </w:lvl>
  </w:abstractNum>
  <w:abstractNum w:abstractNumId="5" w15:restartNumberingAfterBreak="0">
    <w:nsid w:val="00000006"/>
    <w:multiLevelType w:val="singleLevel"/>
    <w:tmpl w:val="00000006"/>
    <w:lvl w:ilvl="0">
      <w:numFmt w:val="bullet"/>
      <w:lvlText w:val="-"/>
      <w:lvlJc w:val="left"/>
      <w:pPr>
        <w:tabs>
          <w:tab w:val="num" w:pos="0"/>
        </w:tabs>
        <w:ind w:left="720" w:hanging="360"/>
      </w:pPr>
      <w:rPr>
        <w:rFonts w:ascii="Times New Roman" w:hAnsi="Times New Roman"/>
      </w:rPr>
    </w:lvl>
  </w:abstractNum>
  <w:abstractNum w:abstractNumId="6" w15:restartNumberingAfterBreak="0">
    <w:nsid w:val="061A3559"/>
    <w:multiLevelType w:val="multilevel"/>
    <w:tmpl w:val="B5088CB0"/>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7" w15:restartNumberingAfterBreak="0">
    <w:nsid w:val="145704A1"/>
    <w:multiLevelType w:val="multilevel"/>
    <w:tmpl w:val="C122F124"/>
    <w:lvl w:ilvl="0">
      <w:start w:val="1"/>
      <w:numFmt w:val="bullet"/>
      <w:lvlText w:val=""/>
      <w:lvlJc w:val="left"/>
      <w:pPr>
        <w:tabs>
          <w:tab w:val="num" w:pos="720"/>
        </w:tabs>
        <w:ind w:left="720" w:hanging="360"/>
      </w:pPr>
      <w:rPr>
        <w:rFonts w:ascii="Symbol" w:hAnsi="Symbol" w:hint="default"/>
        <w:sz w:val="20"/>
      </w:rPr>
    </w:lvl>
    <w:lvl w:ilvl="1">
      <w:start w:val="2"/>
      <w:numFmt w:val="lowerLetter"/>
      <w:lvlText w:val="%2."/>
      <w:lvlJc w:val="left"/>
      <w:pPr>
        <w:ind w:left="1440" w:hanging="360"/>
      </w:pPr>
      <w:rPr>
        <w:rFonts w:hint="default"/>
        <w:sz w:val="22"/>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86106A2"/>
    <w:multiLevelType w:val="hybridMultilevel"/>
    <w:tmpl w:val="94EA7EA8"/>
    <w:lvl w:ilvl="0" w:tplc="C308BBBC">
      <w:numFmt w:val="bullet"/>
      <w:lvlText w:val="-"/>
      <w:lvlJc w:val="left"/>
      <w:pPr>
        <w:ind w:left="720"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1BD0361C"/>
    <w:multiLevelType w:val="hybridMultilevel"/>
    <w:tmpl w:val="C27ED1F0"/>
    <w:lvl w:ilvl="0" w:tplc="00000002">
      <w:numFmt w:val="bullet"/>
      <w:lvlText w:val="-"/>
      <w:lvlJc w:val="left"/>
      <w:pPr>
        <w:ind w:left="720" w:hanging="360"/>
      </w:pPr>
      <w:rPr>
        <w:rFonts w:ascii="Times New Roman" w:hAnsi="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1FE65FE8"/>
    <w:multiLevelType w:val="hybridMultilevel"/>
    <w:tmpl w:val="BC50CAC2"/>
    <w:lvl w:ilvl="0" w:tplc="E2C8AE72">
      <w:start w:val="37"/>
      <w:numFmt w:val="bullet"/>
      <w:lvlText w:val="-"/>
      <w:lvlJc w:val="left"/>
      <w:pPr>
        <w:ind w:left="720"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 w15:restartNumberingAfterBreak="0">
    <w:nsid w:val="23907DED"/>
    <w:multiLevelType w:val="hybridMultilevel"/>
    <w:tmpl w:val="7BC22C46"/>
    <w:lvl w:ilvl="0" w:tplc="67D85280">
      <w:numFmt w:val="bullet"/>
      <w:lvlText w:val="-"/>
      <w:lvlJc w:val="left"/>
      <w:pPr>
        <w:ind w:left="720"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 w15:restartNumberingAfterBreak="0">
    <w:nsid w:val="2A8D19BB"/>
    <w:multiLevelType w:val="hybridMultilevel"/>
    <w:tmpl w:val="1DCC9398"/>
    <w:lvl w:ilvl="0" w:tplc="239C771E">
      <w:start w:val="1"/>
      <w:numFmt w:val="lowerLetter"/>
      <w:lvlText w:val="%1."/>
      <w:lvlJc w:val="left"/>
      <w:pPr>
        <w:ind w:left="720" w:hanging="360"/>
      </w:pPr>
      <w:rPr>
        <w:rFonts w:hint="default"/>
        <w:sz w:val="22"/>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3" w15:restartNumberingAfterBreak="0">
    <w:nsid w:val="32E24BB6"/>
    <w:multiLevelType w:val="hybridMultilevel"/>
    <w:tmpl w:val="7310BFE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3BF97E1C"/>
    <w:multiLevelType w:val="hybridMultilevel"/>
    <w:tmpl w:val="778247D8"/>
    <w:lvl w:ilvl="0" w:tplc="C308BBBC">
      <w:numFmt w:val="bullet"/>
      <w:lvlText w:val="-"/>
      <w:lvlJc w:val="left"/>
      <w:pPr>
        <w:ind w:left="720"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44A372F2"/>
    <w:multiLevelType w:val="hybridMultilevel"/>
    <w:tmpl w:val="86F4B344"/>
    <w:lvl w:ilvl="0" w:tplc="7706B1C0">
      <w:start w:val="1"/>
      <w:numFmt w:val="upperRoman"/>
      <w:lvlText w:val="%1."/>
      <w:lvlJc w:val="left"/>
      <w:pPr>
        <w:ind w:left="1004" w:hanging="72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6" w15:restartNumberingAfterBreak="0">
    <w:nsid w:val="47DD26EA"/>
    <w:multiLevelType w:val="hybridMultilevel"/>
    <w:tmpl w:val="D428AEA0"/>
    <w:lvl w:ilvl="0" w:tplc="67D27570">
      <w:numFmt w:val="bullet"/>
      <w:lvlText w:val="-"/>
      <w:lvlJc w:val="left"/>
      <w:pPr>
        <w:ind w:left="720"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498362D5"/>
    <w:multiLevelType w:val="multilevel"/>
    <w:tmpl w:val="C5C82A6A"/>
    <w:lvl w:ilvl="0">
      <w:start w:val="1"/>
      <w:numFmt w:val="bullet"/>
      <w:lvlText w:val=""/>
      <w:lvlJc w:val="left"/>
      <w:pPr>
        <w:tabs>
          <w:tab w:val="num" w:pos="720"/>
        </w:tabs>
        <w:ind w:left="720" w:hanging="360"/>
      </w:pPr>
      <w:rPr>
        <w:rFonts w:ascii="Symbol" w:hAnsi="Symbol" w:hint="default"/>
        <w:sz w:val="20"/>
      </w:rPr>
    </w:lvl>
    <w:lvl w:ilvl="1">
      <w:start w:val="3"/>
      <w:numFmt w:val="bullet"/>
      <w:lvlText w:val=""/>
      <w:lvlJc w:val="left"/>
      <w:pPr>
        <w:ind w:left="1440" w:hanging="360"/>
      </w:pPr>
      <w:rPr>
        <w:rFonts w:ascii="Wingdings" w:eastAsia="Times New Roman" w:hAnsi="Wingdings" w:cs="Times New Roman"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6791709"/>
    <w:multiLevelType w:val="hybridMultilevel"/>
    <w:tmpl w:val="DF94DAC0"/>
    <w:lvl w:ilvl="0" w:tplc="C308BBBC">
      <w:numFmt w:val="bullet"/>
      <w:lvlText w:val="-"/>
      <w:lvlJc w:val="left"/>
      <w:pPr>
        <w:ind w:left="1080" w:hanging="360"/>
      </w:pPr>
      <w:rPr>
        <w:rFonts w:ascii="Times New Roman" w:eastAsia="Times New Roman" w:hAnsi="Times New Roman" w:cs="Times New Roman"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19" w15:restartNumberingAfterBreak="0">
    <w:nsid w:val="5D6523B4"/>
    <w:multiLevelType w:val="multilevel"/>
    <w:tmpl w:val="B15EE5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FCB459A"/>
    <w:multiLevelType w:val="hybridMultilevel"/>
    <w:tmpl w:val="E0A0D928"/>
    <w:lvl w:ilvl="0" w:tplc="C308BBBC">
      <w:numFmt w:val="bullet"/>
      <w:lvlText w:val="-"/>
      <w:lvlJc w:val="left"/>
      <w:pPr>
        <w:ind w:left="720"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1" w15:restartNumberingAfterBreak="0">
    <w:nsid w:val="68041DFA"/>
    <w:multiLevelType w:val="hybridMultilevel"/>
    <w:tmpl w:val="5B100876"/>
    <w:lvl w:ilvl="0" w:tplc="173E2A5A">
      <w:start w:val="18"/>
      <w:numFmt w:val="bullet"/>
      <w:lvlText w:val="-"/>
      <w:lvlJc w:val="left"/>
      <w:pPr>
        <w:ind w:left="360" w:hanging="360"/>
      </w:pPr>
      <w:rPr>
        <w:rFonts w:ascii="Calibri" w:eastAsia="Calibri" w:hAnsi="Calibri" w:cs="Calibri"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22" w15:restartNumberingAfterBreak="0">
    <w:nsid w:val="6BF86002"/>
    <w:multiLevelType w:val="hybridMultilevel"/>
    <w:tmpl w:val="CE308682"/>
    <w:lvl w:ilvl="0" w:tplc="C308BBBC">
      <w:numFmt w:val="bullet"/>
      <w:lvlText w:val="-"/>
      <w:lvlJc w:val="left"/>
      <w:pPr>
        <w:ind w:left="720"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3" w15:restartNumberingAfterBreak="0">
    <w:nsid w:val="734E54B7"/>
    <w:multiLevelType w:val="multilevel"/>
    <w:tmpl w:val="705C0BE0"/>
    <w:lvl w:ilvl="0">
      <w:start w:val="1"/>
      <w:numFmt w:val="upperRoman"/>
      <w:lvlText w:val="%1."/>
      <w:lvlJc w:val="left"/>
      <w:pPr>
        <w:ind w:left="720" w:hanging="360"/>
      </w:pPr>
      <w:rPr>
        <w:rFonts w:ascii="Calibri" w:eastAsia="Calibri" w:hAnsi="Calibri" w:cs="Calibri"/>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4" w15:restartNumberingAfterBreak="0">
    <w:nsid w:val="75465341"/>
    <w:multiLevelType w:val="hybridMultilevel"/>
    <w:tmpl w:val="9C2EF688"/>
    <w:lvl w:ilvl="0" w:tplc="040C0017">
      <w:start w:val="1"/>
      <w:numFmt w:val="low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abstractNumId w:val="0"/>
  </w:num>
  <w:num w:numId="2">
    <w:abstractNumId w:val="1"/>
  </w:num>
  <w:num w:numId="3">
    <w:abstractNumId w:val="2"/>
  </w:num>
  <w:num w:numId="4">
    <w:abstractNumId w:val="3"/>
  </w:num>
  <w:num w:numId="5">
    <w:abstractNumId w:val="4"/>
  </w:num>
  <w:num w:numId="6">
    <w:abstractNumId w:val="10"/>
  </w:num>
  <w:num w:numId="7">
    <w:abstractNumId w:val="8"/>
  </w:num>
  <w:num w:numId="8">
    <w:abstractNumId w:val="19"/>
  </w:num>
  <w:num w:numId="9">
    <w:abstractNumId w:val="17"/>
  </w:num>
  <w:num w:numId="10">
    <w:abstractNumId w:val="7"/>
  </w:num>
  <w:num w:numId="11">
    <w:abstractNumId w:val="12"/>
  </w:num>
  <w:num w:numId="12">
    <w:abstractNumId w:val="22"/>
  </w:num>
  <w:num w:numId="13">
    <w:abstractNumId w:val="18"/>
  </w:num>
  <w:num w:numId="14">
    <w:abstractNumId w:val="14"/>
  </w:num>
  <w:num w:numId="15">
    <w:abstractNumId w:val="20"/>
  </w:num>
  <w:num w:numId="16">
    <w:abstractNumId w:val="13"/>
  </w:num>
  <w:num w:numId="17">
    <w:abstractNumId w:val="5"/>
  </w:num>
  <w:num w:numId="18">
    <w:abstractNumId w:val="9"/>
  </w:num>
  <w:num w:numId="19">
    <w:abstractNumId w:val="11"/>
  </w:num>
  <w:num w:numId="20">
    <w:abstractNumId w:val="16"/>
  </w:num>
  <w:num w:numId="21">
    <w:abstractNumId w:val="15"/>
  </w:num>
  <w:num w:numId="22">
    <w:abstractNumId w:val="6"/>
  </w:num>
  <w:num w:numId="23">
    <w:abstractNumId w:val="23"/>
  </w:num>
  <w:num w:numId="24">
    <w:abstractNumId w:val="24"/>
  </w:num>
  <w:num w:numId="25">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activeWritingStyle w:appName="MSWord" w:lang="fr-FR" w:vendorID="64" w:dllVersion="6" w:nlCheck="1" w:checkStyle="0"/>
  <w:activeWritingStyle w:appName="MSWord" w:lang="fr-FR" w:vendorID="64" w:dllVersion="4096" w:nlCheck="1" w:checkStyle="0"/>
  <w:activeWritingStyle w:appName="MSWord" w:lang="es-ES" w:vendorID="64" w:dllVersion="4096" w:nlCheck="1" w:checkStyle="0"/>
  <w:attachedTemplate r:id="rId1"/>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hyphenationZone w:val="425"/>
  <w:doNotHyphenateCaps/>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16F67"/>
    <w:rsid w:val="0000614F"/>
    <w:rsid w:val="000170A1"/>
    <w:rsid w:val="000571FB"/>
    <w:rsid w:val="0007296A"/>
    <w:rsid w:val="000937AB"/>
    <w:rsid w:val="000B3F2C"/>
    <w:rsid w:val="000B6DAB"/>
    <w:rsid w:val="000B6F57"/>
    <w:rsid w:val="000C69D2"/>
    <w:rsid w:val="000C7EEA"/>
    <w:rsid w:val="000D1E2B"/>
    <w:rsid w:val="000E3CDC"/>
    <w:rsid w:val="000E79A1"/>
    <w:rsid w:val="0010794D"/>
    <w:rsid w:val="00111EE5"/>
    <w:rsid w:val="00114953"/>
    <w:rsid w:val="00126671"/>
    <w:rsid w:val="001367AB"/>
    <w:rsid w:val="00154360"/>
    <w:rsid w:val="0015511A"/>
    <w:rsid w:val="0016406E"/>
    <w:rsid w:val="00166B18"/>
    <w:rsid w:val="00171560"/>
    <w:rsid w:val="00171FD0"/>
    <w:rsid w:val="00173D1D"/>
    <w:rsid w:val="00184159"/>
    <w:rsid w:val="00185AF6"/>
    <w:rsid w:val="00192DA4"/>
    <w:rsid w:val="001958A9"/>
    <w:rsid w:val="0019632A"/>
    <w:rsid w:val="001B1C42"/>
    <w:rsid w:val="001C46EC"/>
    <w:rsid w:val="001C6476"/>
    <w:rsid w:val="001E5E7E"/>
    <w:rsid w:val="001E62EB"/>
    <w:rsid w:val="001F2570"/>
    <w:rsid w:val="001F375A"/>
    <w:rsid w:val="001F3786"/>
    <w:rsid w:val="001F465F"/>
    <w:rsid w:val="0020077C"/>
    <w:rsid w:val="00216F67"/>
    <w:rsid w:val="002343E7"/>
    <w:rsid w:val="002358BE"/>
    <w:rsid w:val="002422A2"/>
    <w:rsid w:val="00256D90"/>
    <w:rsid w:val="002633B9"/>
    <w:rsid w:val="00265EB8"/>
    <w:rsid w:val="00272FDC"/>
    <w:rsid w:val="0029131C"/>
    <w:rsid w:val="00292C1F"/>
    <w:rsid w:val="002A0050"/>
    <w:rsid w:val="002A6400"/>
    <w:rsid w:val="002B041A"/>
    <w:rsid w:val="002B2352"/>
    <w:rsid w:val="002C2E88"/>
    <w:rsid w:val="002E4886"/>
    <w:rsid w:val="002E5B2D"/>
    <w:rsid w:val="002F57C9"/>
    <w:rsid w:val="003222E1"/>
    <w:rsid w:val="003364A0"/>
    <w:rsid w:val="00341FBF"/>
    <w:rsid w:val="00351CB0"/>
    <w:rsid w:val="00361792"/>
    <w:rsid w:val="0037164C"/>
    <w:rsid w:val="00374987"/>
    <w:rsid w:val="00387E58"/>
    <w:rsid w:val="00392CE8"/>
    <w:rsid w:val="00393BCB"/>
    <w:rsid w:val="003B7761"/>
    <w:rsid w:val="003C6BCD"/>
    <w:rsid w:val="003F03C1"/>
    <w:rsid w:val="00403727"/>
    <w:rsid w:val="004061F0"/>
    <w:rsid w:val="00413F3D"/>
    <w:rsid w:val="004144B5"/>
    <w:rsid w:val="00425531"/>
    <w:rsid w:val="004314FD"/>
    <w:rsid w:val="00435807"/>
    <w:rsid w:val="004464D5"/>
    <w:rsid w:val="00447F33"/>
    <w:rsid w:val="00457D4B"/>
    <w:rsid w:val="00461CFB"/>
    <w:rsid w:val="00472A5D"/>
    <w:rsid w:val="00476A9D"/>
    <w:rsid w:val="00483354"/>
    <w:rsid w:val="00484378"/>
    <w:rsid w:val="004959E2"/>
    <w:rsid w:val="00497DF9"/>
    <w:rsid w:val="004C024B"/>
    <w:rsid w:val="004C1E63"/>
    <w:rsid w:val="004E3381"/>
    <w:rsid w:val="004F15E7"/>
    <w:rsid w:val="00500EA5"/>
    <w:rsid w:val="0050452B"/>
    <w:rsid w:val="005065BE"/>
    <w:rsid w:val="00513B9C"/>
    <w:rsid w:val="005262D1"/>
    <w:rsid w:val="00533C49"/>
    <w:rsid w:val="0053536C"/>
    <w:rsid w:val="005357FC"/>
    <w:rsid w:val="00537E92"/>
    <w:rsid w:val="00550333"/>
    <w:rsid w:val="00553D85"/>
    <w:rsid w:val="005627F2"/>
    <w:rsid w:val="005677A9"/>
    <w:rsid w:val="0057047D"/>
    <w:rsid w:val="005716EE"/>
    <w:rsid w:val="0058273B"/>
    <w:rsid w:val="00583F56"/>
    <w:rsid w:val="005920C9"/>
    <w:rsid w:val="00597CCF"/>
    <w:rsid w:val="005A6090"/>
    <w:rsid w:val="005B5D62"/>
    <w:rsid w:val="005C103C"/>
    <w:rsid w:val="005D5107"/>
    <w:rsid w:val="005F5845"/>
    <w:rsid w:val="005F65E9"/>
    <w:rsid w:val="005F78F2"/>
    <w:rsid w:val="00602972"/>
    <w:rsid w:val="00603D65"/>
    <w:rsid w:val="00607E93"/>
    <w:rsid w:val="00616DFC"/>
    <w:rsid w:val="006470F6"/>
    <w:rsid w:val="00651481"/>
    <w:rsid w:val="00657670"/>
    <w:rsid w:val="00661F52"/>
    <w:rsid w:val="0069482D"/>
    <w:rsid w:val="006B6736"/>
    <w:rsid w:val="006B6DE7"/>
    <w:rsid w:val="006D520A"/>
    <w:rsid w:val="006E1AAD"/>
    <w:rsid w:val="006F1171"/>
    <w:rsid w:val="006F5DA2"/>
    <w:rsid w:val="006F64AC"/>
    <w:rsid w:val="00703D48"/>
    <w:rsid w:val="007071EA"/>
    <w:rsid w:val="00716FC3"/>
    <w:rsid w:val="00722029"/>
    <w:rsid w:val="00723A29"/>
    <w:rsid w:val="00733299"/>
    <w:rsid w:val="00740BDC"/>
    <w:rsid w:val="00741A77"/>
    <w:rsid w:val="00764538"/>
    <w:rsid w:val="00764E5B"/>
    <w:rsid w:val="00765FD4"/>
    <w:rsid w:val="0077282C"/>
    <w:rsid w:val="00772CE3"/>
    <w:rsid w:val="00775F70"/>
    <w:rsid w:val="00783017"/>
    <w:rsid w:val="00784211"/>
    <w:rsid w:val="007865AC"/>
    <w:rsid w:val="0079149B"/>
    <w:rsid w:val="007959A8"/>
    <w:rsid w:val="007A6C4C"/>
    <w:rsid w:val="007C5C04"/>
    <w:rsid w:val="0080491C"/>
    <w:rsid w:val="00806611"/>
    <w:rsid w:val="008163DC"/>
    <w:rsid w:val="00817F70"/>
    <w:rsid w:val="00824CE9"/>
    <w:rsid w:val="0083620D"/>
    <w:rsid w:val="008431DE"/>
    <w:rsid w:val="00847849"/>
    <w:rsid w:val="008532CF"/>
    <w:rsid w:val="00864578"/>
    <w:rsid w:val="0087260F"/>
    <w:rsid w:val="00876BAE"/>
    <w:rsid w:val="00880FA4"/>
    <w:rsid w:val="00882711"/>
    <w:rsid w:val="008859E2"/>
    <w:rsid w:val="008B067B"/>
    <w:rsid w:val="008B3B64"/>
    <w:rsid w:val="008C2199"/>
    <w:rsid w:val="008C6AC8"/>
    <w:rsid w:val="008D6BE0"/>
    <w:rsid w:val="008E37A6"/>
    <w:rsid w:val="008E3BDF"/>
    <w:rsid w:val="008F01A4"/>
    <w:rsid w:val="008F75B3"/>
    <w:rsid w:val="00911A97"/>
    <w:rsid w:val="009144EE"/>
    <w:rsid w:val="0091475F"/>
    <w:rsid w:val="00914814"/>
    <w:rsid w:val="00924DC4"/>
    <w:rsid w:val="009276F9"/>
    <w:rsid w:val="00947CF0"/>
    <w:rsid w:val="00967F45"/>
    <w:rsid w:val="009918F3"/>
    <w:rsid w:val="009A1433"/>
    <w:rsid w:val="009D13C8"/>
    <w:rsid w:val="009E3368"/>
    <w:rsid w:val="009F5058"/>
    <w:rsid w:val="00A015D5"/>
    <w:rsid w:val="00A01F96"/>
    <w:rsid w:val="00A247EF"/>
    <w:rsid w:val="00A40924"/>
    <w:rsid w:val="00A51EA0"/>
    <w:rsid w:val="00A6367C"/>
    <w:rsid w:val="00A655F4"/>
    <w:rsid w:val="00A65ABB"/>
    <w:rsid w:val="00A65EA8"/>
    <w:rsid w:val="00A84083"/>
    <w:rsid w:val="00A8440F"/>
    <w:rsid w:val="00A941DE"/>
    <w:rsid w:val="00AB78BF"/>
    <w:rsid w:val="00AC1F32"/>
    <w:rsid w:val="00AC2428"/>
    <w:rsid w:val="00AD6E20"/>
    <w:rsid w:val="00AE7990"/>
    <w:rsid w:val="00AF66EB"/>
    <w:rsid w:val="00B037CE"/>
    <w:rsid w:val="00B21C8A"/>
    <w:rsid w:val="00B3258F"/>
    <w:rsid w:val="00B32D50"/>
    <w:rsid w:val="00B347E0"/>
    <w:rsid w:val="00B411FD"/>
    <w:rsid w:val="00B41696"/>
    <w:rsid w:val="00B43ED9"/>
    <w:rsid w:val="00B4435C"/>
    <w:rsid w:val="00B50F74"/>
    <w:rsid w:val="00B53DD6"/>
    <w:rsid w:val="00B8790B"/>
    <w:rsid w:val="00B93F95"/>
    <w:rsid w:val="00B95F9C"/>
    <w:rsid w:val="00BC7E4E"/>
    <w:rsid w:val="00BD0987"/>
    <w:rsid w:val="00BD39F5"/>
    <w:rsid w:val="00BE4319"/>
    <w:rsid w:val="00BF698A"/>
    <w:rsid w:val="00C005F0"/>
    <w:rsid w:val="00C42A9D"/>
    <w:rsid w:val="00C50B6C"/>
    <w:rsid w:val="00C65BD2"/>
    <w:rsid w:val="00C8159C"/>
    <w:rsid w:val="00C9274D"/>
    <w:rsid w:val="00C92A23"/>
    <w:rsid w:val="00CA2FAF"/>
    <w:rsid w:val="00CB5D14"/>
    <w:rsid w:val="00CC0115"/>
    <w:rsid w:val="00CE5DAA"/>
    <w:rsid w:val="00CF4E11"/>
    <w:rsid w:val="00D02C39"/>
    <w:rsid w:val="00D05BC0"/>
    <w:rsid w:val="00D14780"/>
    <w:rsid w:val="00D16BD8"/>
    <w:rsid w:val="00D32220"/>
    <w:rsid w:val="00D45CFA"/>
    <w:rsid w:val="00D603DB"/>
    <w:rsid w:val="00D63479"/>
    <w:rsid w:val="00D66E48"/>
    <w:rsid w:val="00D71C64"/>
    <w:rsid w:val="00D808AA"/>
    <w:rsid w:val="00DA5663"/>
    <w:rsid w:val="00DD47DE"/>
    <w:rsid w:val="00DD675F"/>
    <w:rsid w:val="00DE4EDB"/>
    <w:rsid w:val="00DF7EE4"/>
    <w:rsid w:val="00E06C49"/>
    <w:rsid w:val="00E07CBF"/>
    <w:rsid w:val="00E24F34"/>
    <w:rsid w:val="00E2556F"/>
    <w:rsid w:val="00E56243"/>
    <w:rsid w:val="00E710FB"/>
    <w:rsid w:val="00E72C80"/>
    <w:rsid w:val="00E756DF"/>
    <w:rsid w:val="00EC037D"/>
    <w:rsid w:val="00EF099E"/>
    <w:rsid w:val="00F02147"/>
    <w:rsid w:val="00F063D5"/>
    <w:rsid w:val="00F123C8"/>
    <w:rsid w:val="00F15206"/>
    <w:rsid w:val="00F436F2"/>
    <w:rsid w:val="00F545A7"/>
    <w:rsid w:val="00F55328"/>
    <w:rsid w:val="00F72FDD"/>
    <w:rsid w:val="00F77FD1"/>
    <w:rsid w:val="00F81AC7"/>
    <w:rsid w:val="00F826C1"/>
    <w:rsid w:val="00F9491B"/>
    <w:rsid w:val="00FA0C0D"/>
    <w:rsid w:val="00FA273F"/>
    <w:rsid w:val="00FB13BE"/>
    <w:rsid w:val="00FC2428"/>
    <w:rsid w:val="00FC7497"/>
    <w:rsid w:val="00FD3E5E"/>
    <w:rsid w:val="00FD6985"/>
    <w:rsid w:val="00FE3124"/>
    <w:rsid w:val="00FE45FE"/>
    <w:rsid w:val="00FF74AB"/>
  </w:rsids>
  <m:mathPr>
    <m:mathFont m:val="Cambria Math"/>
    <m:brkBin m:val="before"/>
    <m:brkBinSub m:val="--"/>
    <m:smallFrac m:val="0"/>
    <m:dispDef/>
    <m:lMargin m:val="0"/>
    <m:rMargin m:val="0"/>
    <m:defJc m:val="centerGroup"/>
    <m:wrapIndent m:val="1440"/>
    <m:intLim m:val="subSup"/>
    <m:naryLim m:val="undOvr"/>
  </m:mathPr>
  <w:themeFontLang w:val="fr-FR" w:eastAsia="zh-CN" w:bidi="hi-I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oNotEmbedSmartTags/>
  <w:decimalSymbol w:val="."/>
  <w:listSeparator w:val=","/>
  <w14:docId w14:val="5E8D4259"/>
  <w15:docId w15:val="{8A1ED248-64B3-4BB5-8EE5-3A8C802BAF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s-ES" w:eastAsia="fr-FR"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0"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uppressAutoHyphens/>
    </w:pPr>
    <w:rPr>
      <w:sz w:val="24"/>
      <w:szCs w:val="24"/>
      <w:lang w:eastAsia="zh-CN"/>
    </w:rPr>
  </w:style>
  <w:style w:type="paragraph" w:styleId="Heading1">
    <w:name w:val="heading 1"/>
    <w:basedOn w:val="Normal"/>
    <w:next w:val="Normal"/>
    <w:qFormat/>
    <w:pPr>
      <w:keepNext/>
      <w:numPr>
        <w:numId w:val="1"/>
      </w:numPr>
      <w:spacing w:before="240"/>
      <w:jc w:val="center"/>
      <w:outlineLvl w:val="0"/>
    </w:pPr>
    <w:rPr>
      <w:rFonts w:cs="Arial"/>
      <w:bCs/>
      <w:caps/>
      <w:kern w:val="2"/>
    </w:rPr>
  </w:style>
  <w:style w:type="paragraph" w:styleId="Heading2">
    <w:name w:val="heading 2"/>
    <w:basedOn w:val="Normal"/>
    <w:next w:val="Normal"/>
    <w:qFormat/>
    <w:pPr>
      <w:keepNext/>
      <w:numPr>
        <w:ilvl w:val="1"/>
        <w:numId w:val="1"/>
      </w:numPr>
      <w:spacing w:before="240"/>
      <w:jc w:val="center"/>
      <w:outlineLvl w:val="1"/>
    </w:pPr>
    <w:rPr>
      <w:bCs/>
      <w:iCs/>
      <w:smallCaps/>
    </w:rPr>
  </w:style>
  <w:style w:type="paragraph" w:styleId="Heading3">
    <w:name w:val="heading 3"/>
    <w:basedOn w:val="Normal"/>
    <w:next w:val="Normal"/>
    <w:qFormat/>
    <w:pPr>
      <w:keepNext/>
      <w:numPr>
        <w:ilvl w:val="2"/>
        <w:numId w:val="1"/>
      </w:numPr>
      <w:spacing w:before="120"/>
      <w:jc w:val="center"/>
      <w:outlineLvl w:val="2"/>
    </w:pPr>
    <w:rPr>
      <w:rFonts w:cs="Arial"/>
      <w:bCs/>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1z0">
    <w:name w:val="WW8Num1z0"/>
  </w:style>
  <w:style w:type="character" w:customStyle="1" w:styleId="WW8Num1z1">
    <w:name w:val="WW8Num1z1"/>
  </w:style>
  <w:style w:type="character" w:customStyle="1" w:styleId="WW8Num1z2">
    <w:name w:val="WW8Num1z2"/>
  </w:style>
  <w:style w:type="character" w:customStyle="1" w:styleId="WW8Num1z3">
    <w:name w:val="WW8Num1z3"/>
  </w:style>
  <w:style w:type="character" w:customStyle="1" w:styleId="WW8Num1z4">
    <w:name w:val="WW8Num1z4"/>
  </w:style>
  <w:style w:type="character" w:customStyle="1" w:styleId="WW8Num1z5">
    <w:name w:val="WW8Num1z5"/>
  </w:style>
  <w:style w:type="character" w:customStyle="1" w:styleId="WW8Num1z6">
    <w:name w:val="WW8Num1z6"/>
  </w:style>
  <w:style w:type="character" w:customStyle="1" w:styleId="WW8Num1z7">
    <w:name w:val="WW8Num1z7"/>
  </w:style>
  <w:style w:type="character" w:customStyle="1" w:styleId="WW8Num1z8">
    <w:name w:val="WW8Num1z8"/>
  </w:style>
  <w:style w:type="character" w:customStyle="1" w:styleId="WW8Num2z0">
    <w:name w:val="WW8Num2z0"/>
  </w:style>
  <w:style w:type="character" w:customStyle="1" w:styleId="WW8Num2z1">
    <w:name w:val="WW8Num2z1"/>
    <w:rPr>
      <w:rFonts w:hint="default"/>
      <w:sz w:val="22"/>
    </w:rPr>
  </w:style>
  <w:style w:type="character" w:customStyle="1" w:styleId="WW8Num2z2">
    <w:name w:val="WW8Num2z2"/>
    <w:rPr>
      <w:rFonts w:ascii="Wingdings" w:hAnsi="Wingdings" w:cs="Wingdings" w:hint="default"/>
      <w:sz w:val="20"/>
    </w:rPr>
  </w:style>
  <w:style w:type="character" w:customStyle="1" w:styleId="WW8Num3z0">
    <w:name w:val="WW8Num3z0"/>
    <w:rPr>
      <w:rFonts w:ascii="Times New Roman" w:eastAsia="Times New Roman" w:hAnsi="Times New Roman" w:cs="Times New Roman" w:hint="default"/>
    </w:rPr>
  </w:style>
  <w:style w:type="character" w:customStyle="1" w:styleId="WW8Num3z1">
    <w:name w:val="WW8Num3z1"/>
    <w:rPr>
      <w:rFonts w:ascii="Courier New" w:hAnsi="Courier New" w:cs="Courier New" w:hint="default"/>
    </w:rPr>
  </w:style>
  <w:style w:type="character" w:customStyle="1" w:styleId="WW8Num3z2">
    <w:name w:val="WW8Num3z2"/>
    <w:rPr>
      <w:rFonts w:ascii="Wingdings" w:hAnsi="Wingdings" w:cs="Wingdings" w:hint="default"/>
    </w:rPr>
  </w:style>
  <w:style w:type="character" w:customStyle="1" w:styleId="WW8Num3z3">
    <w:name w:val="WW8Num3z3"/>
    <w:rPr>
      <w:rFonts w:ascii="Symbol" w:hAnsi="Symbol" w:cs="Symbol" w:hint="default"/>
    </w:rPr>
  </w:style>
  <w:style w:type="character" w:customStyle="1" w:styleId="WW8Num4z0">
    <w:name w:val="WW8Num4z0"/>
    <w:rPr>
      <w:rFonts w:ascii="Times New Roman" w:eastAsia="Times New Roman" w:hAnsi="Times New Roman" w:cs="Times New Roman" w:hint="default"/>
    </w:rPr>
  </w:style>
  <w:style w:type="character" w:customStyle="1" w:styleId="WW8Num4z1">
    <w:name w:val="WW8Num4z1"/>
    <w:rPr>
      <w:rFonts w:ascii="Courier New" w:hAnsi="Courier New" w:cs="Courier New" w:hint="default"/>
    </w:rPr>
  </w:style>
  <w:style w:type="character" w:customStyle="1" w:styleId="WW8Num4z2">
    <w:name w:val="WW8Num4z2"/>
    <w:rPr>
      <w:rFonts w:ascii="Wingdings" w:hAnsi="Wingdings" w:cs="Wingdings" w:hint="default"/>
    </w:rPr>
  </w:style>
  <w:style w:type="character" w:customStyle="1" w:styleId="WW8Num4z3">
    <w:name w:val="WW8Num4z3"/>
    <w:rPr>
      <w:rFonts w:ascii="Symbol" w:hAnsi="Symbol" w:cs="Symbol" w:hint="default"/>
    </w:rPr>
  </w:style>
  <w:style w:type="character" w:customStyle="1" w:styleId="WW8Num5z0">
    <w:name w:val="WW8Num5z0"/>
    <w:rPr>
      <w:rFonts w:ascii="Symbol" w:hAnsi="Symbol" w:cs="Symbol" w:hint="default"/>
    </w:rPr>
  </w:style>
  <w:style w:type="character" w:customStyle="1" w:styleId="WW8Num5z1">
    <w:name w:val="WW8Num5z1"/>
  </w:style>
  <w:style w:type="character" w:customStyle="1" w:styleId="WW8Num5z2">
    <w:name w:val="WW8Num5z2"/>
  </w:style>
  <w:style w:type="character" w:customStyle="1" w:styleId="WW8Num5z3">
    <w:name w:val="WW8Num5z3"/>
  </w:style>
  <w:style w:type="character" w:customStyle="1" w:styleId="WW8Num5z4">
    <w:name w:val="WW8Num5z4"/>
  </w:style>
  <w:style w:type="character" w:customStyle="1" w:styleId="WW8Num5z5">
    <w:name w:val="WW8Num5z5"/>
  </w:style>
  <w:style w:type="character" w:customStyle="1" w:styleId="WW8Num5z6">
    <w:name w:val="WW8Num5z6"/>
  </w:style>
  <w:style w:type="character" w:customStyle="1" w:styleId="WW8Num5z7">
    <w:name w:val="WW8Num5z7"/>
  </w:style>
  <w:style w:type="character" w:customStyle="1" w:styleId="WW8Num5z8">
    <w:name w:val="WW8Num5z8"/>
  </w:style>
  <w:style w:type="character" w:customStyle="1" w:styleId="WW8Num6z0">
    <w:name w:val="WW8Num6z0"/>
    <w:rPr>
      <w:rFonts w:ascii="Symbol" w:hAnsi="Symbol" w:cs="Symbol" w:hint="default"/>
    </w:rPr>
  </w:style>
  <w:style w:type="character" w:customStyle="1" w:styleId="WW8Num6z1">
    <w:name w:val="WW8Num6z1"/>
    <w:rPr>
      <w:rFonts w:ascii="Courier New" w:hAnsi="Courier New" w:cs="Courier New" w:hint="default"/>
    </w:rPr>
  </w:style>
  <w:style w:type="character" w:customStyle="1" w:styleId="WW8Num6z2">
    <w:name w:val="WW8Num6z2"/>
    <w:rPr>
      <w:rFonts w:ascii="Wingdings" w:hAnsi="Wingdings" w:cs="Wingdings" w:hint="default"/>
    </w:rPr>
  </w:style>
  <w:style w:type="character" w:customStyle="1" w:styleId="WW8Num6z3">
    <w:name w:val="WW8Num6z3"/>
    <w:rPr>
      <w:rFonts w:ascii="Symbol" w:hAnsi="Symbol" w:cs="Symbol" w:hint="default"/>
    </w:rPr>
  </w:style>
  <w:style w:type="character" w:customStyle="1" w:styleId="WW8Num7z0">
    <w:name w:val="WW8Num7z0"/>
    <w:rPr>
      <w:rFonts w:ascii="Symbol" w:hAnsi="Symbol" w:cs="Symbol" w:hint="default"/>
      <w:sz w:val="20"/>
    </w:rPr>
  </w:style>
  <w:style w:type="character" w:customStyle="1" w:styleId="WW8Num7z1">
    <w:name w:val="WW8Num7z1"/>
    <w:rPr>
      <w:rFonts w:ascii="Wingdings" w:eastAsia="Times New Roman" w:hAnsi="Wingdings" w:cs="Times New Roman" w:hint="default"/>
    </w:rPr>
  </w:style>
  <w:style w:type="character" w:customStyle="1" w:styleId="WW8Num7z2">
    <w:name w:val="WW8Num7z2"/>
    <w:rPr>
      <w:rFonts w:ascii="Wingdings" w:hAnsi="Wingdings" w:cs="Wingdings" w:hint="default"/>
      <w:sz w:val="20"/>
    </w:rPr>
  </w:style>
  <w:style w:type="character" w:customStyle="1" w:styleId="WW8Num8z0">
    <w:name w:val="WW8Num8z0"/>
    <w:rPr>
      <w:rFonts w:ascii="Symbol" w:hAnsi="Symbol" w:cs="Symbol" w:hint="default"/>
    </w:rPr>
  </w:style>
  <w:style w:type="character" w:customStyle="1" w:styleId="WW8Num8z1">
    <w:name w:val="WW8Num8z1"/>
    <w:rPr>
      <w:rFonts w:ascii="Courier New" w:hAnsi="Courier New" w:cs="Courier New" w:hint="default"/>
    </w:rPr>
  </w:style>
  <w:style w:type="character" w:customStyle="1" w:styleId="WW8Num8z2">
    <w:name w:val="WW8Num8z2"/>
    <w:rPr>
      <w:rFonts w:ascii="Wingdings" w:hAnsi="Wingdings" w:cs="Wingdings" w:hint="default"/>
    </w:rPr>
  </w:style>
  <w:style w:type="character" w:customStyle="1" w:styleId="WW8Num8z3">
    <w:name w:val="WW8Num8z3"/>
    <w:rPr>
      <w:rFonts w:ascii="Symbol" w:hAnsi="Symbol" w:cs="Symbol" w:hint="default"/>
    </w:rPr>
  </w:style>
  <w:style w:type="character" w:customStyle="1" w:styleId="WW8Num9z0">
    <w:name w:val="WW8Num9z0"/>
  </w:style>
  <w:style w:type="character" w:customStyle="1" w:styleId="WW8Num9z1">
    <w:name w:val="WW8Num9z1"/>
    <w:rPr>
      <w:rFonts w:ascii="Courier New" w:hAnsi="Courier New" w:cs="Courier New" w:hint="default"/>
      <w:sz w:val="20"/>
    </w:rPr>
  </w:style>
  <w:style w:type="character" w:customStyle="1" w:styleId="WW8Num9z2">
    <w:name w:val="WW8Num9z2"/>
    <w:rPr>
      <w:rFonts w:ascii="Wingdings" w:hAnsi="Wingdings" w:cs="Wingdings" w:hint="default"/>
      <w:sz w:val="20"/>
    </w:rPr>
  </w:style>
  <w:style w:type="character" w:customStyle="1" w:styleId="WW8Num10z0">
    <w:name w:val="WW8Num10z0"/>
    <w:rPr>
      <w:rFonts w:ascii="Symbol" w:hAnsi="Symbol" w:cs="Symbol" w:hint="default"/>
    </w:rPr>
  </w:style>
  <w:style w:type="character" w:customStyle="1" w:styleId="WW8Num10z1">
    <w:name w:val="WW8Num10z1"/>
    <w:rPr>
      <w:rFonts w:ascii="Courier New" w:hAnsi="Courier New" w:cs="Courier New" w:hint="default"/>
    </w:rPr>
  </w:style>
  <w:style w:type="character" w:customStyle="1" w:styleId="WW8Num10z2">
    <w:name w:val="WW8Num10z2"/>
    <w:rPr>
      <w:rFonts w:ascii="Wingdings" w:hAnsi="Wingdings" w:cs="Wingdings" w:hint="default"/>
    </w:rPr>
  </w:style>
  <w:style w:type="character" w:customStyle="1" w:styleId="WW8Num10z3">
    <w:name w:val="WW8Num10z3"/>
    <w:rPr>
      <w:rFonts w:ascii="Symbol" w:hAnsi="Symbol" w:cs="Symbol" w:hint="default"/>
    </w:rPr>
  </w:style>
  <w:style w:type="character" w:customStyle="1" w:styleId="WW8Num11z0">
    <w:name w:val="WW8Num11z0"/>
    <w:rPr>
      <w:rFonts w:ascii="Times New Roman" w:eastAsia="Times New Roman" w:hAnsi="Times New Roman" w:cs="Times New Roman" w:hint="default"/>
    </w:rPr>
  </w:style>
  <w:style w:type="character" w:customStyle="1" w:styleId="WW8Num11z1">
    <w:name w:val="WW8Num11z1"/>
  </w:style>
  <w:style w:type="character" w:customStyle="1" w:styleId="WW8Num11z2">
    <w:name w:val="WW8Num11z2"/>
  </w:style>
  <w:style w:type="character" w:customStyle="1" w:styleId="WW8Num11z3">
    <w:name w:val="WW8Num11z3"/>
  </w:style>
  <w:style w:type="character" w:customStyle="1" w:styleId="Policepardfaut3">
    <w:name w:val="Police par défaut3"/>
  </w:style>
  <w:style w:type="character" w:customStyle="1" w:styleId="Policepardfaut2">
    <w:name w:val="Police par défaut2"/>
  </w:style>
  <w:style w:type="character" w:customStyle="1" w:styleId="WW8Num11z4">
    <w:name w:val="WW8Num11z4"/>
  </w:style>
  <w:style w:type="character" w:customStyle="1" w:styleId="WW8Num11z5">
    <w:name w:val="WW8Num11z5"/>
  </w:style>
  <w:style w:type="character" w:customStyle="1" w:styleId="WW8Num11z6">
    <w:name w:val="WW8Num11z6"/>
  </w:style>
  <w:style w:type="character" w:customStyle="1" w:styleId="WW8Num11z7">
    <w:name w:val="WW8Num11z7"/>
  </w:style>
  <w:style w:type="character" w:customStyle="1" w:styleId="WW8Num11z8">
    <w:name w:val="WW8Num11z8"/>
  </w:style>
  <w:style w:type="character" w:customStyle="1" w:styleId="WW8Num12z0">
    <w:name w:val="WW8Num12z0"/>
    <w:rPr>
      <w:rFonts w:ascii="Symbol" w:hAnsi="Symbol" w:cs="Symbol" w:hint="default"/>
    </w:rPr>
  </w:style>
  <w:style w:type="character" w:customStyle="1" w:styleId="WW8Num12z1">
    <w:name w:val="WW8Num12z1"/>
    <w:rPr>
      <w:rFonts w:ascii="Courier New" w:hAnsi="Courier New" w:cs="Courier New" w:hint="default"/>
    </w:rPr>
  </w:style>
  <w:style w:type="character" w:customStyle="1" w:styleId="WW8Num12z2">
    <w:name w:val="WW8Num12z2"/>
    <w:rPr>
      <w:rFonts w:ascii="Wingdings" w:hAnsi="Wingdings" w:cs="Wingdings" w:hint="default"/>
    </w:rPr>
  </w:style>
  <w:style w:type="character" w:customStyle="1" w:styleId="WW8Num13z0">
    <w:name w:val="WW8Num13z0"/>
  </w:style>
  <w:style w:type="character" w:customStyle="1" w:styleId="WW8Num13z1">
    <w:name w:val="WW8Num13z1"/>
  </w:style>
  <w:style w:type="character" w:customStyle="1" w:styleId="WW8Num13z2">
    <w:name w:val="WW8Num13z2"/>
  </w:style>
  <w:style w:type="character" w:customStyle="1" w:styleId="WW8Num13z3">
    <w:name w:val="WW8Num13z3"/>
  </w:style>
  <w:style w:type="character" w:customStyle="1" w:styleId="WW8Num13z4">
    <w:name w:val="WW8Num13z4"/>
  </w:style>
  <w:style w:type="character" w:customStyle="1" w:styleId="WW8Num13z5">
    <w:name w:val="WW8Num13z5"/>
  </w:style>
  <w:style w:type="character" w:customStyle="1" w:styleId="WW8Num13z6">
    <w:name w:val="WW8Num13z6"/>
  </w:style>
  <w:style w:type="character" w:customStyle="1" w:styleId="WW8Num13z7">
    <w:name w:val="WW8Num13z7"/>
  </w:style>
  <w:style w:type="character" w:customStyle="1" w:styleId="WW8Num13z8">
    <w:name w:val="WW8Num13z8"/>
  </w:style>
  <w:style w:type="character" w:customStyle="1" w:styleId="WW8Num14z0">
    <w:name w:val="WW8Num14z0"/>
    <w:rPr>
      <w:rFonts w:ascii="Symbol" w:hAnsi="Symbol" w:cs="Symbol" w:hint="default"/>
    </w:rPr>
  </w:style>
  <w:style w:type="character" w:customStyle="1" w:styleId="WW8Num14z1">
    <w:name w:val="WW8Num14z1"/>
    <w:rPr>
      <w:rFonts w:ascii="Courier New" w:hAnsi="Courier New" w:cs="Courier New" w:hint="default"/>
    </w:rPr>
  </w:style>
  <w:style w:type="character" w:customStyle="1" w:styleId="WW8Num14z2">
    <w:name w:val="WW8Num14z2"/>
    <w:rPr>
      <w:rFonts w:ascii="Wingdings" w:hAnsi="Wingdings" w:cs="Wingdings" w:hint="default"/>
    </w:rPr>
  </w:style>
  <w:style w:type="character" w:customStyle="1" w:styleId="Policepardfaut1">
    <w:name w:val="Police par défaut1"/>
  </w:style>
  <w:style w:type="character" w:customStyle="1" w:styleId="SNTimbreCar">
    <w:name w:val="SNTimbre Car"/>
    <w:rPr>
      <w:rFonts w:eastAsia="Lucida Sans Unicode"/>
      <w:sz w:val="24"/>
      <w:szCs w:val="24"/>
      <w:lang w:val="es-ES" w:bidi="ar-SA"/>
    </w:rPr>
  </w:style>
  <w:style w:type="character" w:customStyle="1" w:styleId="SNDateCar">
    <w:name w:val="SNDate Car"/>
    <w:rPr>
      <w:sz w:val="24"/>
      <w:szCs w:val="24"/>
      <w:lang w:val="es-ES" w:bidi="ar-SA"/>
    </w:rPr>
  </w:style>
  <w:style w:type="character" w:customStyle="1" w:styleId="SNArticleCar">
    <w:name w:val="SNArticle Car"/>
    <w:rPr>
      <w:b/>
      <w:sz w:val="24"/>
      <w:szCs w:val="24"/>
      <w:lang w:val="es-ES" w:bidi="ar-SA"/>
    </w:rPr>
  </w:style>
  <w:style w:type="character" w:customStyle="1" w:styleId="SNenProjet">
    <w:name w:val="SNenProjet"/>
    <w:basedOn w:val="Policepardfaut1"/>
  </w:style>
  <w:style w:type="character" w:styleId="Hyperlink">
    <w:name w:val="Hyperlink"/>
    <w:rPr>
      <w:color w:val="000080"/>
      <w:u w:val="single"/>
    </w:rPr>
  </w:style>
  <w:style w:type="character" w:customStyle="1" w:styleId="Marquedecommentaire1">
    <w:name w:val="Marque de commentaire1"/>
    <w:rPr>
      <w:sz w:val="16"/>
      <w:szCs w:val="16"/>
    </w:rPr>
  </w:style>
  <w:style w:type="character" w:customStyle="1" w:styleId="CommentaireCar">
    <w:name w:val="Commentaire Car"/>
    <w:uiPriority w:val="99"/>
    <w:rPr>
      <w:lang w:eastAsia="zh-CN"/>
    </w:rPr>
  </w:style>
  <w:style w:type="character" w:customStyle="1" w:styleId="ObjetducommentaireCar">
    <w:name w:val="Objet du commentaire Car"/>
    <w:rPr>
      <w:b/>
      <w:bCs/>
      <w:lang w:eastAsia="zh-CN"/>
    </w:rPr>
  </w:style>
  <w:style w:type="character" w:customStyle="1" w:styleId="Marquedecommentaire2">
    <w:name w:val="Marque de commentaire2"/>
    <w:rPr>
      <w:sz w:val="16"/>
      <w:szCs w:val="16"/>
    </w:rPr>
  </w:style>
  <w:style w:type="character" w:customStyle="1" w:styleId="CommentaireCar1">
    <w:name w:val="Commentaire Car1"/>
    <w:uiPriority w:val="99"/>
    <w:rPr>
      <w:lang w:eastAsia="zh-CN"/>
    </w:rPr>
  </w:style>
  <w:style w:type="paragraph" w:customStyle="1" w:styleId="Titre3">
    <w:name w:val="Titre3"/>
    <w:basedOn w:val="Normal"/>
    <w:next w:val="BodyText"/>
    <w:pPr>
      <w:keepNext/>
      <w:spacing w:before="240" w:after="120"/>
    </w:pPr>
    <w:rPr>
      <w:rFonts w:ascii="Liberation Sans" w:eastAsia="Microsoft YaHei" w:hAnsi="Liberation Sans" w:cs="Arial Unicode MS"/>
      <w:sz w:val="28"/>
      <w:szCs w:val="28"/>
    </w:rPr>
  </w:style>
  <w:style w:type="paragraph" w:styleId="BodyText">
    <w:name w:val="Body Text"/>
    <w:basedOn w:val="Normal"/>
    <w:pPr>
      <w:spacing w:after="120"/>
      <w:jc w:val="both"/>
    </w:pPr>
  </w:style>
  <w:style w:type="paragraph" w:styleId="List">
    <w:name w:val="List"/>
    <w:basedOn w:val="BodyText"/>
    <w:rPr>
      <w:rFonts w:cs="Arial"/>
    </w:rPr>
  </w:style>
  <w:style w:type="paragraph" w:styleId="Caption">
    <w:name w:val="caption"/>
    <w:basedOn w:val="Normal"/>
    <w:qFormat/>
    <w:pPr>
      <w:suppressLineNumbers/>
      <w:spacing w:before="120" w:after="120"/>
    </w:pPr>
    <w:rPr>
      <w:rFonts w:cs="Arial"/>
      <w:i/>
      <w:iCs/>
    </w:rPr>
  </w:style>
  <w:style w:type="paragraph" w:customStyle="1" w:styleId="Index">
    <w:name w:val="Index"/>
    <w:basedOn w:val="Normal"/>
    <w:pPr>
      <w:suppressLineNumbers/>
    </w:pPr>
    <w:rPr>
      <w:rFonts w:cs="Arial"/>
    </w:rPr>
  </w:style>
  <w:style w:type="paragraph" w:customStyle="1" w:styleId="Titre2">
    <w:name w:val="Titre2"/>
    <w:basedOn w:val="Normal"/>
    <w:next w:val="BodyText"/>
    <w:pPr>
      <w:keepNext/>
      <w:spacing w:before="240" w:after="120"/>
    </w:pPr>
    <w:rPr>
      <w:rFonts w:ascii="Liberation Sans" w:eastAsia="Microsoft YaHei" w:hAnsi="Liberation Sans" w:cs="Arial"/>
      <w:sz w:val="28"/>
      <w:szCs w:val="28"/>
    </w:rPr>
  </w:style>
  <w:style w:type="paragraph" w:customStyle="1" w:styleId="Titre1">
    <w:name w:val="Titre1"/>
    <w:basedOn w:val="Normal"/>
    <w:next w:val="BodyText"/>
    <w:pPr>
      <w:keepNext/>
      <w:spacing w:before="240" w:after="120"/>
    </w:pPr>
    <w:rPr>
      <w:rFonts w:ascii="Liberation Sans" w:eastAsia="Microsoft YaHei" w:hAnsi="Liberation Sans" w:cs="Arial"/>
      <w:sz w:val="28"/>
      <w:szCs w:val="28"/>
    </w:rPr>
  </w:style>
  <w:style w:type="paragraph" w:customStyle="1" w:styleId="SNREPUBLIQUE">
    <w:name w:val="SNREPUBLIQUE"/>
    <w:basedOn w:val="Normal"/>
    <w:pPr>
      <w:jc w:val="center"/>
    </w:pPr>
    <w:rPr>
      <w:b/>
      <w:bCs/>
      <w:szCs w:val="20"/>
    </w:rPr>
  </w:style>
  <w:style w:type="paragraph" w:customStyle="1" w:styleId="puce1">
    <w:name w:val="puce1"/>
    <w:basedOn w:val="Normal"/>
    <w:pPr>
      <w:widowControl w:val="0"/>
      <w:tabs>
        <w:tab w:val="left" w:pos="1429"/>
      </w:tabs>
      <w:spacing w:before="240"/>
      <w:ind w:left="1429" w:hanging="360"/>
    </w:pPr>
    <w:rPr>
      <w:rFonts w:eastAsia="Lucida Sans Unicode"/>
    </w:rPr>
  </w:style>
  <w:style w:type="paragraph" w:customStyle="1" w:styleId="puce2">
    <w:name w:val="puce2"/>
    <w:basedOn w:val="Normal"/>
    <w:pPr>
      <w:widowControl w:val="0"/>
      <w:tabs>
        <w:tab w:val="left" w:pos="2149"/>
      </w:tabs>
      <w:spacing w:before="240"/>
      <w:ind w:left="2149" w:hanging="360"/>
    </w:pPr>
    <w:rPr>
      <w:rFonts w:eastAsia="Lucida Sans Unicode"/>
    </w:rPr>
  </w:style>
  <w:style w:type="paragraph" w:customStyle="1" w:styleId="puce3">
    <w:name w:val="puce3"/>
    <w:basedOn w:val="Normal"/>
    <w:pPr>
      <w:widowControl w:val="0"/>
      <w:tabs>
        <w:tab w:val="left" w:pos="2869"/>
      </w:tabs>
      <w:spacing w:before="240"/>
      <w:ind w:left="2869" w:hanging="360"/>
    </w:pPr>
    <w:rPr>
      <w:rFonts w:eastAsia="Lucida Sans Unicode"/>
    </w:rPr>
  </w:style>
  <w:style w:type="paragraph" w:customStyle="1" w:styleId="num1">
    <w:name w:val="num1"/>
    <w:basedOn w:val="Normal"/>
    <w:pPr>
      <w:widowControl w:val="0"/>
      <w:tabs>
        <w:tab w:val="left" w:pos="1429"/>
      </w:tabs>
      <w:spacing w:before="240"/>
      <w:ind w:left="1429" w:hanging="360"/>
    </w:pPr>
    <w:rPr>
      <w:rFonts w:eastAsia="Lucida Sans Unicode"/>
    </w:rPr>
  </w:style>
  <w:style w:type="paragraph" w:customStyle="1" w:styleId="num2">
    <w:name w:val="num2"/>
    <w:basedOn w:val="Normal"/>
    <w:pPr>
      <w:widowControl w:val="0"/>
      <w:tabs>
        <w:tab w:val="left" w:pos="2149"/>
      </w:tabs>
      <w:spacing w:before="240"/>
      <w:ind w:left="2149" w:hanging="360"/>
    </w:pPr>
    <w:rPr>
      <w:rFonts w:eastAsia="Lucida Sans Unicode"/>
    </w:rPr>
  </w:style>
  <w:style w:type="paragraph" w:customStyle="1" w:styleId="num3">
    <w:name w:val="num3"/>
    <w:basedOn w:val="Normal"/>
    <w:pPr>
      <w:widowControl w:val="0"/>
      <w:tabs>
        <w:tab w:val="left" w:pos="2869"/>
      </w:tabs>
      <w:spacing w:before="240"/>
      <w:ind w:left="2869" w:hanging="180"/>
    </w:pPr>
    <w:rPr>
      <w:rFonts w:eastAsia="Lucida Sans Unicode"/>
    </w:rPr>
  </w:style>
  <w:style w:type="paragraph" w:customStyle="1" w:styleId="SNConsultation">
    <w:name w:val="SNConsultation"/>
    <w:basedOn w:val="Normal"/>
    <w:pPr>
      <w:widowControl w:val="0"/>
      <w:spacing w:before="120" w:after="120"/>
      <w:ind w:firstLine="709"/>
      <w:jc w:val="both"/>
    </w:pPr>
    <w:rPr>
      <w:rFonts w:eastAsia="Lucida Sans Unicode"/>
    </w:rPr>
  </w:style>
  <w:style w:type="paragraph" w:customStyle="1" w:styleId="SNNature">
    <w:name w:val="SNNature"/>
    <w:basedOn w:val="Normal"/>
    <w:next w:val="SNtitre"/>
    <w:pPr>
      <w:widowControl w:val="0"/>
      <w:suppressLineNumbers/>
      <w:spacing w:before="720" w:after="120"/>
      <w:jc w:val="center"/>
    </w:pPr>
    <w:rPr>
      <w:rFonts w:eastAsia="Lucida Sans Unicode"/>
      <w:b/>
      <w:bCs/>
    </w:rPr>
  </w:style>
  <w:style w:type="paragraph" w:customStyle="1" w:styleId="SNtitre">
    <w:name w:val="SNtitre"/>
    <w:basedOn w:val="Normal"/>
    <w:next w:val="SNNORCentr"/>
    <w:pPr>
      <w:widowControl w:val="0"/>
      <w:suppressLineNumbers/>
      <w:spacing w:after="360"/>
      <w:jc w:val="center"/>
    </w:pPr>
    <w:rPr>
      <w:rFonts w:eastAsia="Lucida Sans Unicode"/>
      <w:b/>
    </w:rPr>
  </w:style>
  <w:style w:type="paragraph" w:customStyle="1" w:styleId="SNNORCentr">
    <w:name w:val="SNNOR+Centré"/>
    <w:next w:val="SNAutorit"/>
    <w:pPr>
      <w:suppressAutoHyphens/>
      <w:jc w:val="center"/>
    </w:pPr>
    <w:rPr>
      <w:bCs/>
      <w:sz w:val="24"/>
      <w:lang w:eastAsia="zh-CN"/>
    </w:rPr>
  </w:style>
  <w:style w:type="paragraph" w:customStyle="1" w:styleId="SNAutorit">
    <w:name w:val="SNAutorité"/>
    <w:basedOn w:val="Normal"/>
    <w:pPr>
      <w:spacing w:before="720" w:after="240"/>
      <w:ind w:firstLine="720"/>
    </w:pPr>
    <w:rPr>
      <w:b/>
    </w:rPr>
  </w:style>
  <w:style w:type="paragraph" w:customStyle="1" w:styleId="SNSignatureDroite">
    <w:name w:val="SNSignatureDroite"/>
    <w:basedOn w:val="Normal"/>
    <w:next w:val="SNSignatureprnomnomDroite"/>
    <w:pPr>
      <w:spacing w:before="120" w:after="1680"/>
      <w:ind w:left="5040"/>
      <w:jc w:val="right"/>
    </w:pPr>
    <w:rPr>
      <w:color w:val="000000"/>
    </w:rPr>
  </w:style>
  <w:style w:type="paragraph" w:customStyle="1" w:styleId="SNSignatureprnomnomDroite">
    <w:name w:val="SNSignature prénom+nom Droite"/>
    <w:basedOn w:val="SNSignatureDroite"/>
    <w:next w:val="SNSignatureGauche"/>
    <w:pPr>
      <w:spacing w:after="120"/>
      <w:ind w:left="5041"/>
    </w:pPr>
  </w:style>
  <w:style w:type="paragraph" w:customStyle="1" w:styleId="SNSignatureGauche">
    <w:name w:val="SNSignatureGauche"/>
    <w:basedOn w:val="Normal"/>
    <w:next w:val="SNSignatureprnomnomGauche"/>
    <w:pPr>
      <w:spacing w:before="120" w:after="1680"/>
      <w:ind w:left="720" w:right="4494"/>
    </w:pPr>
  </w:style>
  <w:style w:type="paragraph" w:customStyle="1" w:styleId="SNSignatureprnomnomGauche">
    <w:name w:val="SNSignature prénom+nom Gauche"/>
    <w:basedOn w:val="SNSignatureGauche"/>
    <w:next w:val="SNSignatureDroite"/>
    <w:pPr>
      <w:spacing w:after="120"/>
    </w:pPr>
    <w:rPr>
      <w:color w:val="000000"/>
    </w:rPr>
  </w:style>
  <w:style w:type="paragraph" w:customStyle="1" w:styleId="SNTimbre">
    <w:name w:val="SNTimbre"/>
    <w:basedOn w:val="Normal"/>
    <w:pPr>
      <w:widowControl w:val="0"/>
      <w:snapToGrid w:val="0"/>
      <w:spacing w:before="120"/>
      <w:jc w:val="center"/>
    </w:pPr>
    <w:rPr>
      <w:rFonts w:eastAsia="Lucida Sans Unicode"/>
    </w:rPr>
  </w:style>
  <w:style w:type="paragraph" w:customStyle="1" w:styleId="SNRapport">
    <w:name w:val="SNRapport"/>
    <w:basedOn w:val="Normal"/>
    <w:pPr>
      <w:spacing w:before="240" w:after="120"/>
      <w:ind w:firstLine="720"/>
    </w:pPr>
  </w:style>
  <w:style w:type="paragraph" w:customStyle="1" w:styleId="SNVisa">
    <w:name w:val="SNVisa"/>
    <w:basedOn w:val="Normal"/>
    <w:pPr>
      <w:spacing w:before="120" w:after="120"/>
      <w:ind w:firstLine="720"/>
    </w:pPr>
  </w:style>
  <w:style w:type="paragraph" w:customStyle="1" w:styleId="SNDate">
    <w:name w:val="SNDate"/>
    <w:basedOn w:val="Normal"/>
    <w:next w:val="SNContreseing"/>
    <w:pPr>
      <w:spacing w:before="480" w:after="2760"/>
      <w:ind w:firstLine="720"/>
    </w:pPr>
  </w:style>
  <w:style w:type="paragraph" w:customStyle="1" w:styleId="SNContreseing">
    <w:name w:val="SNContreseing"/>
    <w:basedOn w:val="Normal"/>
    <w:next w:val="SNSignatureGauche"/>
    <w:pPr>
      <w:spacing w:before="480"/>
      <w:ind w:firstLine="720"/>
    </w:pPr>
  </w:style>
  <w:style w:type="paragraph" w:customStyle="1" w:styleId="SNActe">
    <w:name w:val="SNActe"/>
    <w:basedOn w:val="Normal"/>
    <w:pPr>
      <w:spacing w:before="480" w:after="360"/>
      <w:jc w:val="center"/>
    </w:pPr>
    <w:rPr>
      <w:b/>
    </w:rPr>
  </w:style>
  <w:style w:type="paragraph" w:customStyle="1" w:styleId="SNArticle">
    <w:name w:val="SNArticle"/>
    <w:basedOn w:val="Normal"/>
    <w:next w:val="BodyText"/>
    <w:pPr>
      <w:spacing w:before="240" w:after="240"/>
      <w:jc w:val="center"/>
    </w:pPr>
    <w:rPr>
      <w:b/>
    </w:rPr>
  </w:style>
  <w:style w:type="paragraph" w:customStyle="1" w:styleId="SNConsidrant">
    <w:name w:val="SNConsidérant"/>
    <w:basedOn w:val="Normal"/>
    <w:pPr>
      <w:ind w:firstLine="720"/>
    </w:pPr>
  </w:style>
  <w:style w:type="paragraph" w:customStyle="1" w:styleId="SNConsultationCE">
    <w:name w:val="SNConsultationCE"/>
    <w:basedOn w:val="SNConsultation"/>
  </w:style>
  <w:style w:type="paragraph" w:customStyle="1" w:styleId="SNConsultationCM">
    <w:name w:val="SNConsultationCM"/>
    <w:basedOn w:val="SNConsultation"/>
  </w:style>
  <w:style w:type="paragraph" w:customStyle="1" w:styleId="SNDirection">
    <w:name w:val="SNDirection"/>
    <w:basedOn w:val="Normal"/>
    <w:pPr>
      <w:spacing w:before="720"/>
      <w:jc w:val="center"/>
    </w:pPr>
    <w:rPr>
      <w:b/>
    </w:rPr>
  </w:style>
  <w:style w:type="paragraph" w:customStyle="1" w:styleId="SNListePrincipale">
    <w:name w:val="SNListePrincipale"/>
    <w:basedOn w:val="Normal"/>
  </w:style>
  <w:style w:type="paragraph" w:customStyle="1" w:styleId="SNIntitul">
    <w:name w:val="SNIntitulé"/>
    <w:basedOn w:val="Normal"/>
    <w:pPr>
      <w:jc w:val="center"/>
    </w:pPr>
  </w:style>
  <w:style w:type="paragraph" w:customStyle="1" w:styleId="SNTitreRapport">
    <w:name w:val="SNTitreRapport"/>
    <w:basedOn w:val="SNActe"/>
  </w:style>
  <w:style w:type="paragraph" w:customStyle="1" w:styleId="SNExcution">
    <w:name w:val="SNExécution"/>
    <w:basedOn w:val="Normal"/>
  </w:style>
  <w:style w:type="paragraph" w:customStyle="1" w:styleId="SNAdoption">
    <w:name w:val="SNAdoption"/>
    <w:basedOn w:val="Normal"/>
  </w:style>
  <w:style w:type="paragraph" w:customStyle="1" w:styleId="SNLibell">
    <w:name w:val="SNLibellé"/>
    <w:basedOn w:val="Normal"/>
  </w:style>
  <w:style w:type="paragraph" w:styleId="BalloonText">
    <w:name w:val="Balloon Text"/>
    <w:basedOn w:val="Normal"/>
    <w:rPr>
      <w:rFonts w:ascii="Tahoma" w:hAnsi="Tahoma" w:cs="Tahoma"/>
      <w:sz w:val="16"/>
      <w:szCs w:val="16"/>
    </w:rPr>
  </w:style>
  <w:style w:type="paragraph" w:customStyle="1" w:styleId="Titre1objet">
    <w:name w:val="Titre 1 objet"/>
    <w:basedOn w:val="Heading1"/>
    <w:pPr>
      <w:numPr>
        <w:numId w:val="0"/>
      </w:numPr>
      <w:spacing w:before="0" w:after="120"/>
    </w:pPr>
    <w:rPr>
      <w:b/>
    </w:rPr>
  </w:style>
  <w:style w:type="paragraph" w:customStyle="1" w:styleId="Titre2objet">
    <w:name w:val="Titre 2 objet"/>
    <w:basedOn w:val="Heading2"/>
    <w:next w:val="Normal"/>
    <w:pPr>
      <w:numPr>
        <w:ilvl w:val="0"/>
        <w:numId w:val="0"/>
      </w:numPr>
      <w:spacing w:before="0" w:after="120"/>
    </w:pPr>
    <w:rPr>
      <w:b/>
    </w:rPr>
  </w:style>
  <w:style w:type="paragraph" w:customStyle="1" w:styleId="titre3objet">
    <w:name w:val="titre 3 objet"/>
    <w:basedOn w:val="Heading3"/>
    <w:next w:val="Normal"/>
    <w:pPr>
      <w:numPr>
        <w:ilvl w:val="0"/>
        <w:numId w:val="0"/>
      </w:numPr>
      <w:spacing w:before="0" w:after="120"/>
    </w:pPr>
    <w:rPr>
      <w:b/>
    </w:rPr>
  </w:style>
  <w:style w:type="paragraph" w:customStyle="1" w:styleId="Contenudetableau">
    <w:name w:val="Contenu de tableau"/>
    <w:basedOn w:val="Normal"/>
    <w:pPr>
      <w:suppressLineNumbers/>
    </w:pPr>
  </w:style>
  <w:style w:type="paragraph" w:customStyle="1" w:styleId="Titredetableau">
    <w:name w:val="Titre de tableau"/>
    <w:basedOn w:val="Contenudetableau"/>
    <w:pPr>
      <w:jc w:val="center"/>
    </w:pPr>
    <w:rPr>
      <w:b/>
      <w:bCs/>
    </w:rPr>
  </w:style>
  <w:style w:type="paragraph" w:customStyle="1" w:styleId="SNSignature">
    <w:name w:val="SNSignature"/>
    <w:basedOn w:val="Normal"/>
    <w:pPr>
      <w:ind w:firstLine="720"/>
    </w:pPr>
  </w:style>
  <w:style w:type="paragraph" w:customStyle="1" w:styleId="SNSignaturePrincipale">
    <w:name w:val="SNSignaturePrincipale"/>
    <w:basedOn w:val="Normal"/>
    <w:next w:val="Normal"/>
    <w:pPr>
      <w:spacing w:before="480" w:after="480"/>
    </w:pPr>
  </w:style>
  <w:style w:type="paragraph" w:customStyle="1" w:styleId="Commentaire1">
    <w:name w:val="Commentaire1"/>
    <w:basedOn w:val="Normal"/>
    <w:rPr>
      <w:sz w:val="20"/>
      <w:szCs w:val="20"/>
    </w:rPr>
  </w:style>
  <w:style w:type="paragraph" w:styleId="CommentSubject">
    <w:name w:val="annotation subject"/>
    <w:basedOn w:val="Commentaire1"/>
    <w:next w:val="Commentaire1"/>
    <w:rPr>
      <w:b/>
      <w:bCs/>
    </w:rPr>
  </w:style>
  <w:style w:type="paragraph" w:customStyle="1" w:styleId="Commentaire2">
    <w:name w:val="Commentaire2"/>
    <w:basedOn w:val="Normal"/>
    <w:rPr>
      <w:sz w:val="20"/>
      <w:szCs w:val="20"/>
    </w:rPr>
  </w:style>
  <w:style w:type="paragraph" w:styleId="Revision">
    <w:name w:val="Revision"/>
    <w:hidden/>
    <w:uiPriority w:val="99"/>
    <w:semiHidden/>
    <w:rPr>
      <w:sz w:val="24"/>
      <w:szCs w:val="24"/>
      <w:lang w:eastAsia="zh-CN"/>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semiHidden/>
    <w:rPr>
      <w:lang w:eastAsia="zh-CN"/>
    </w:rPr>
  </w:style>
  <w:style w:type="character" w:customStyle="1" w:styleId="WW8Num12z3">
    <w:name w:val="WW8Num12z3"/>
    <w:rPr>
      <w:rFonts w:ascii="Symbol" w:hAnsi="Symbol" w:cs="Symbol"/>
    </w:rPr>
  </w:style>
  <w:style w:type="paragraph" w:styleId="Header">
    <w:name w:val="header"/>
    <w:basedOn w:val="Normal"/>
    <w:link w:val="HeaderChar"/>
    <w:uiPriority w:val="99"/>
    <w:unhideWhenUsed/>
    <w:rsid w:val="00847849"/>
    <w:pPr>
      <w:tabs>
        <w:tab w:val="center" w:pos="4536"/>
        <w:tab w:val="right" w:pos="9072"/>
      </w:tabs>
    </w:pPr>
  </w:style>
  <w:style w:type="character" w:customStyle="1" w:styleId="HeaderChar">
    <w:name w:val="Header Char"/>
    <w:basedOn w:val="DefaultParagraphFont"/>
    <w:link w:val="Header"/>
    <w:uiPriority w:val="99"/>
    <w:rsid w:val="00847849"/>
    <w:rPr>
      <w:sz w:val="24"/>
      <w:szCs w:val="24"/>
      <w:lang w:eastAsia="zh-CN"/>
    </w:rPr>
  </w:style>
  <w:style w:type="paragraph" w:styleId="Footer">
    <w:name w:val="footer"/>
    <w:basedOn w:val="Normal"/>
    <w:link w:val="FooterChar"/>
    <w:uiPriority w:val="99"/>
    <w:unhideWhenUsed/>
    <w:rsid w:val="00847849"/>
    <w:pPr>
      <w:tabs>
        <w:tab w:val="center" w:pos="4536"/>
        <w:tab w:val="right" w:pos="9072"/>
      </w:tabs>
    </w:pPr>
  </w:style>
  <w:style w:type="character" w:customStyle="1" w:styleId="FooterChar">
    <w:name w:val="Footer Char"/>
    <w:basedOn w:val="DefaultParagraphFont"/>
    <w:link w:val="Footer"/>
    <w:uiPriority w:val="99"/>
    <w:rsid w:val="00847849"/>
    <w:rPr>
      <w:sz w:val="24"/>
      <w:szCs w:val="24"/>
      <w:lang w:eastAsia="zh-CN"/>
    </w:rPr>
  </w:style>
  <w:style w:type="character" w:customStyle="1" w:styleId="print-title-summary">
    <w:name w:val="print-title-summary"/>
    <w:basedOn w:val="DefaultParagraphFont"/>
    <w:rsid w:val="009918F3"/>
  </w:style>
  <w:style w:type="paragraph" w:styleId="ListParagraph">
    <w:name w:val="List Paragraph"/>
    <w:basedOn w:val="Normal"/>
    <w:uiPriority w:val="34"/>
    <w:qFormat/>
    <w:rsid w:val="004C1E63"/>
    <w:pPr>
      <w:suppressAutoHyphens w:val="0"/>
      <w:spacing w:after="200" w:line="276" w:lineRule="auto"/>
      <w:ind w:left="720"/>
      <w:contextualSpacing/>
    </w:pPr>
    <w:rPr>
      <w:rFonts w:ascii="Calibri" w:eastAsia="Calibri" w:hAnsi="Calibri" w:cs="Calibri"/>
      <w:sz w:val="22"/>
      <w:szCs w:val="22"/>
      <w:lang w:eastAsia="fr-FR"/>
    </w:rPr>
  </w:style>
  <w:style w:type="paragraph" w:customStyle="1" w:styleId="Date1">
    <w:name w:val="Date1"/>
    <w:basedOn w:val="Normal"/>
    <w:rsid w:val="00154360"/>
    <w:pPr>
      <w:suppressAutoHyphens w:val="0"/>
      <w:spacing w:before="100" w:beforeAutospacing="1" w:after="100" w:afterAutospacing="1"/>
    </w:pPr>
    <w:rPr>
      <w:lang w:eastAsia="fr-FR"/>
    </w:rPr>
  </w:style>
  <w:style w:type="paragraph" w:styleId="NormalWeb">
    <w:name w:val="Normal (Web)"/>
    <w:basedOn w:val="Normal"/>
    <w:uiPriority w:val="99"/>
    <w:semiHidden/>
    <w:unhideWhenUsed/>
    <w:rsid w:val="00154360"/>
    <w:pPr>
      <w:suppressAutoHyphens w:val="0"/>
      <w:spacing w:before="100" w:beforeAutospacing="1" w:after="100" w:afterAutospacing="1"/>
    </w:pPr>
    <w:rPr>
      <w:lang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72881885">
      <w:bodyDiv w:val="1"/>
      <w:marLeft w:val="0"/>
      <w:marRight w:val="0"/>
      <w:marTop w:val="0"/>
      <w:marBottom w:val="0"/>
      <w:divBdr>
        <w:top w:val="none" w:sz="0" w:space="0" w:color="auto"/>
        <w:left w:val="none" w:sz="0" w:space="0" w:color="auto"/>
        <w:bottom w:val="none" w:sz="0" w:space="0" w:color="auto"/>
        <w:right w:val="none" w:sz="0" w:space="0" w:color="auto"/>
      </w:divBdr>
    </w:div>
    <w:div w:id="703486825">
      <w:bodyDiv w:val="1"/>
      <w:marLeft w:val="0"/>
      <w:marRight w:val="0"/>
      <w:marTop w:val="0"/>
      <w:marBottom w:val="0"/>
      <w:divBdr>
        <w:top w:val="none" w:sz="0" w:space="0" w:color="auto"/>
        <w:left w:val="none" w:sz="0" w:space="0" w:color="auto"/>
        <w:bottom w:val="none" w:sz="0" w:space="0" w:color="auto"/>
        <w:right w:val="none" w:sz="0" w:space="0" w:color="auto"/>
      </w:divBdr>
    </w:div>
    <w:div w:id="931427816">
      <w:bodyDiv w:val="1"/>
      <w:marLeft w:val="0"/>
      <w:marRight w:val="0"/>
      <w:marTop w:val="0"/>
      <w:marBottom w:val="0"/>
      <w:divBdr>
        <w:top w:val="none" w:sz="0" w:space="0" w:color="auto"/>
        <w:left w:val="none" w:sz="0" w:space="0" w:color="auto"/>
        <w:bottom w:val="none" w:sz="0" w:space="0" w:color="auto"/>
        <w:right w:val="none" w:sz="0" w:space="0" w:color="auto"/>
      </w:divBdr>
    </w:div>
    <w:div w:id="1128402633">
      <w:bodyDiv w:val="1"/>
      <w:marLeft w:val="0"/>
      <w:marRight w:val="0"/>
      <w:marTop w:val="0"/>
      <w:marBottom w:val="0"/>
      <w:divBdr>
        <w:top w:val="none" w:sz="0" w:space="0" w:color="auto"/>
        <w:left w:val="none" w:sz="0" w:space="0" w:color="auto"/>
        <w:bottom w:val="none" w:sz="0" w:space="0" w:color="auto"/>
        <w:right w:val="none" w:sz="0" w:space="0" w:color="auto"/>
      </w:divBdr>
    </w:div>
    <w:div w:id="1160997085">
      <w:bodyDiv w:val="1"/>
      <w:marLeft w:val="0"/>
      <w:marRight w:val="0"/>
      <w:marTop w:val="0"/>
      <w:marBottom w:val="0"/>
      <w:divBdr>
        <w:top w:val="none" w:sz="0" w:space="0" w:color="auto"/>
        <w:left w:val="none" w:sz="0" w:space="0" w:color="auto"/>
        <w:bottom w:val="none" w:sz="0" w:space="0" w:color="auto"/>
        <w:right w:val="none" w:sz="0" w:space="0" w:color="auto"/>
      </w:divBdr>
      <w:divsChild>
        <w:div w:id="193815163">
          <w:marLeft w:val="0"/>
          <w:marRight w:val="0"/>
          <w:marTop w:val="0"/>
          <w:marBottom w:val="0"/>
          <w:divBdr>
            <w:top w:val="none" w:sz="0" w:space="0" w:color="auto"/>
            <w:left w:val="none" w:sz="0" w:space="0" w:color="auto"/>
            <w:bottom w:val="none" w:sz="0" w:space="0" w:color="auto"/>
            <w:right w:val="none" w:sz="0" w:space="0" w:color="auto"/>
          </w:divBdr>
          <w:divsChild>
            <w:div w:id="37434685">
              <w:marLeft w:val="0"/>
              <w:marRight w:val="0"/>
              <w:marTop w:val="0"/>
              <w:marBottom w:val="0"/>
              <w:divBdr>
                <w:top w:val="none" w:sz="0" w:space="0" w:color="auto"/>
                <w:left w:val="none" w:sz="0" w:space="0" w:color="auto"/>
                <w:bottom w:val="none" w:sz="0" w:space="0" w:color="auto"/>
                <w:right w:val="none" w:sz="0" w:space="0" w:color="auto"/>
              </w:divBdr>
            </w:div>
          </w:divsChild>
        </w:div>
        <w:div w:id="138235604">
          <w:marLeft w:val="0"/>
          <w:marRight w:val="0"/>
          <w:marTop w:val="0"/>
          <w:marBottom w:val="0"/>
          <w:divBdr>
            <w:top w:val="none" w:sz="0" w:space="0" w:color="auto"/>
            <w:left w:val="none" w:sz="0" w:space="0" w:color="auto"/>
            <w:bottom w:val="none" w:sz="0" w:space="0" w:color="auto"/>
            <w:right w:val="none" w:sz="0" w:space="0" w:color="auto"/>
          </w:divBdr>
          <w:divsChild>
            <w:div w:id="1606884514">
              <w:marLeft w:val="0"/>
              <w:marRight w:val="0"/>
              <w:marTop w:val="0"/>
              <w:marBottom w:val="0"/>
              <w:divBdr>
                <w:top w:val="none" w:sz="0" w:space="0" w:color="auto"/>
                <w:left w:val="none" w:sz="0" w:space="0" w:color="auto"/>
                <w:bottom w:val="none" w:sz="0" w:space="0" w:color="auto"/>
                <w:right w:val="none" w:sz="0" w:space="0" w:color="auto"/>
              </w:divBdr>
            </w:div>
          </w:divsChild>
        </w:div>
        <w:div w:id="1840191435">
          <w:marLeft w:val="0"/>
          <w:marRight w:val="0"/>
          <w:marTop w:val="0"/>
          <w:marBottom w:val="0"/>
          <w:divBdr>
            <w:top w:val="none" w:sz="0" w:space="0" w:color="auto"/>
            <w:left w:val="none" w:sz="0" w:space="0" w:color="auto"/>
            <w:bottom w:val="none" w:sz="0" w:space="0" w:color="auto"/>
            <w:right w:val="none" w:sz="0" w:space="0" w:color="auto"/>
          </w:divBdr>
          <w:divsChild>
            <w:div w:id="453254262">
              <w:marLeft w:val="0"/>
              <w:marRight w:val="0"/>
              <w:marTop w:val="0"/>
              <w:marBottom w:val="0"/>
              <w:divBdr>
                <w:top w:val="none" w:sz="0" w:space="0" w:color="auto"/>
                <w:left w:val="none" w:sz="0" w:space="0" w:color="auto"/>
                <w:bottom w:val="none" w:sz="0" w:space="0" w:color="auto"/>
                <w:right w:val="none" w:sz="0" w:space="0" w:color="auto"/>
              </w:divBdr>
            </w:div>
          </w:divsChild>
        </w:div>
        <w:div w:id="499539545">
          <w:marLeft w:val="0"/>
          <w:marRight w:val="0"/>
          <w:marTop w:val="0"/>
          <w:marBottom w:val="0"/>
          <w:divBdr>
            <w:top w:val="none" w:sz="0" w:space="0" w:color="auto"/>
            <w:left w:val="none" w:sz="0" w:space="0" w:color="auto"/>
            <w:bottom w:val="none" w:sz="0" w:space="0" w:color="auto"/>
            <w:right w:val="none" w:sz="0" w:space="0" w:color="auto"/>
          </w:divBdr>
          <w:divsChild>
            <w:div w:id="1691763694">
              <w:marLeft w:val="0"/>
              <w:marRight w:val="0"/>
              <w:marTop w:val="0"/>
              <w:marBottom w:val="0"/>
              <w:divBdr>
                <w:top w:val="none" w:sz="0" w:space="0" w:color="auto"/>
                <w:left w:val="none" w:sz="0" w:space="0" w:color="auto"/>
                <w:bottom w:val="none" w:sz="0" w:space="0" w:color="auto"/>
                <w:right w:val="none" w:sz="0" w:space="0" w:color="auto"/>
              </w:divBdr>
            </w:div>
          </w:divsChild>
        </w:div>
        <w:div w:id="772550366">
          <w:marLeft w:val="0"/>
          <w:marRight w:val="0"/>
          <w:marTop w:val="0"/>
          <w:marBottom w:val="0"/>
          <w:divBdr>
            <w:top w:val="none" w:sz="0" w:space="0" w:color="auto"/>
            <w:left w:val="none" w:sz="0" w:space="0" w:color="auto"/>
            <w:bottom w:val="none" w:sz="0" w:space="0" w:color="auto"/>
            <w:right w:val="none" w:sz="0" w:space="0" w:color="auto"/>
          </w:divBdr>
          <w:divsChild>
            <w:div w:id="681006130">
              <w:marLeft w:val="0"/>
              <w:marRight w:val="0"/>
              <w:marTop w:val="0"/>
              <w:marBottom w:val="0"/>
              <w:divBdr>
                <w:top w:val="none" w:sz="0" w:space="0" w:color="auto"/>
                <w:left w:val="none" w:sz="0" w:space="0" w:color="auto"/>
                <w:bottom w:val="none" w:sz="0" w:space="0" w:color="auto"/>
                <w:right w:val="none" w:sz="0" w:space="0" w:color="auto"/>
              </w:divBdr>
            </w:div>
          </w:divsChild>
        </w:div>
        <w:div w:id="1376272221">
          <w:marLeft w:val="0"/>
          <w:marRight w:val="0"/>
          <w:marTop w:val="0"/>
          <w:marBottom w:val="0"/>
          <w:divBdr>
            <w:top w:val="none" w:sz="0" w:space="0" w:color="auto"/>
            <w:left w:val="none" w:sz="0" w:space="0" w:color="auto"/>
            <w:bottom w:val="none" w:sz="0" w:space="0" w:color="auto"/>
            <w:right w:val="none" w:sz="0" w:space="0" w:color="auto"/>
          </w:divBdr>
          <w:divsChild>
            <w:div w:id="775173102">
              <w:marLeft w:val="0"/>
              <w:marRight w:val="0"/>
              <w:marTop w:val="0"/>
              <w:marBottom w:val="0"/>
              <w:divBdr>
                <w:top w:val="none" w:sz="0" w:space="0" w:color="auto"/>
                <w:left w:val="none" w:sz="0" w:space="0" w:color="auto"/>
                <w:bottom w:val="none" w:sz="0" w:space="0" w:color="auto"/>
                <w:right w:val="none" w:sz="0" w:space="0" w:color="auto"/>
              </w:divBdr>
            </w:div>
          </w:divsChild>
        </w:div>
        <w:div w:id="828643560">
          <w:marLeft w:val="0"/>
          <w:marRight w:val="0"/>
          <w:marTop w:val="0"/>
          <w:marBottom w:val="0"/>
          <w:divBdr>
            <w:top w:val="none" w:sz="0" w:space="0" w:color="auto"/>
            <w:left w:val="none" w:sz="0" w:space="0" w:color="auto"/>
            <w:bottom w:val="none" w:sz="0" w:space="0" w:color="auto"/>
            <w:right w:val="none" w:sz="0" w:space="0" w:color="auto"/>
          </w:divBdr>
          <w:divsChild>
            <w:div w:id="1150903601">
              <w:marLeft w:val="0"/>
              <w:marRight w:val="0"/>
              <w:marTop w:val="0"/>
              <w:marBottom w:val="0"/>
              <w:divBdr>
                <w:top w:val="none" w:sz="0" w:space="0" w:color="auto"/>
                <w:left w:val="none" w:sz="0" w:space="0" w:color="auto"/>
                <w:bottom w:val="none" w:sz="0" w:space="0" w:color="auto"/>
                <w:right w:val="none" w:sz="0" w:space="0" w:color="auto"/>
              </w:divBdr>
            </w:div>
          </w:divsChild>
        </w:div>
        <w:div w:id="1081947175">
          <w:marLeft w:val="0"/>
          <w:marRight w:val="0"/>
          <w:marTop w:val="0"/>
          <w:marBottom w:val="0"/>
          <w:divBdr>
            <w:top w:val="none" w:sz="0" w:space="0" w:color="auto"/>
            <w:left w:val="none" w:sz="0" w:space="0" w:color="auto"/>
            <w:bottom w:val="none" w:sz="0" w:space="0" w:color="auto"/>
            <w:right w:val="none" w:sz="0" w:space="0" w:color="auto"/>
          </w:divBdr>
          <w:divsChild>
            <w:div w:id="840461615">
              <w:marLeft w:val="0"/>
              <w:marRight w:val="0"/>
              <w:marTop w:val="0"/>
              <w:marBottom w:val="0"/>
              <w:divBdr>
                <w:top w:val="none" w:sz="0" w:space="0" w:color="auto"/>
                <w:left w:val="none" w:sz="0" w:space="0" w:color="auto"/>
                <w:bottom w:val="none" w:sz="0" w:space="0" w:color="auto"/>
                <w:right w:val="none" w:sz="0" w:space="0" w:color="auto"/>
              </w:divBdr>
            </w:div>
          </w:divsChild>
        </w:div>
        <w:div w:id="1724018795">
          <w:marLeft w:val="0"/>
          <w:marRight w:val="0"/>
          <w:marTop w:val="0"/>
          <w:marBottom w:val="0"/>
          <w:divBdr>
            <w:top w:val="none" w:sz="0" w:space="0" w:color="auto"/>
            <w:left w:val="none" w:sz="0" w:space="0" w:color="auto"/>
            <w:bottom w:val="none" w:sz="0" w:space="0" w:color="auto"/>
            <w:right w:val="none" w:sz="0" w:space="0" w:color="auto"/>
          </w:divBdr>
          <w:divsChild>
            <w:div w:id="17144954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7981031">
      <w:bodyDiv w:val="1"/>
      <w:marLeft w:val="0"/>
      <w:marRight w:val="0"/>
      <w:marTop w:val="0"/>
      <w:marBottom w:val="0"/>
      <w:divBdr>
        <w:top w:val="none" w:sz="0" w:space="0" w:color="auto"/>
        <w:left w:val="none" w:sz="0" w:space="0" w:color="auto"/>
        <w:bottom w:val="none" w:sz="0" w:space="0" w:color="auto"/>
        <w:right w:val="none" w:sz="0" w:space="0" w:color="auto"/>
      </w:divBdr>
    </w:div>
    <w:div w:id="1619750549">
      <w:bodyDiv w:val="1"/>
      <w:marLeft w:val="0"/>
      <w:marRight w:val="0"/>
      <w:marTop w:val="0"/>
      <w:marBottom w:val="0"/>
      <w:divBdr>
        <w:top w:val="none" w:sz="0" w:space="0" w:color="auto"/>
        <w:left w:val="none" w:sz="0" w:space="0" w:color="auto"/>
        <w:bottom w:val="none" w:sz="0" w:space="0" w:color="auto"/>
        <w:right w:val="none" w:sz="0" w:space="0" w:color="auto"/>
      </w:divBdr>
    </w:div>
    <w:div w:id="1972592040">
      <w:bodyDiv w:val="1"/>
      <w:marLeft w:val="0"/>
      <w:marRight w:val="0"/>
      <w:marTop w:val="0"/>
      <w:marBottom w:val="0"/>
      <w:divBdr>
        <w:top w:val="none" w:sz="0" w:space="0" w:color="auto"/>
        <w:left w:val="none" w:sz="0" w:space="0" w:color="auto"/>
        <w:bottom w:val="none" w:sz="0" w:space="0" w:color="auto"/>
        <w:right w:val="none" w:sz="0" w:space="0" w:color="auto"/>
      </w:divBdr>
      <w:divsChild>
        <w:div w:id="678049393">
          <w:marLeft w:val="0"/>
          <w:marRight w:val="0"/>
          <w:marTop w:val="60"/>
          <w:marBottom w:val="0"/>
          <w:divBdr>
            <w:top w:val="none" w:sz="0" w:space="0" w:color="auto"/>
            <w:left w:val="none" w:sz="0" w:space="0" w:color="auto"/>
            <w:bottom w:val="none" w:sz="0" w:space="0" w:color="auto"/>
            <w:right w:val="none" w:sz="0" w:space="0" w:color="auto"/>
          </w:divBdr>
        </w:div>
        <w:div w:id="830025437">
          <w:marLeft w:val="0"/>
          <w:marRight w:val="0"/>
          <w:marTop w:val="60"/>
          <w:marBottom w:val="0"/>
          <w:divBdr>
            <w:top w:val="none" w:sz="0" w:space="0" w:color="auto"/>
            <w:left w:val="none" w:sz="0" w:space="0" w:color="auto"/>
            <w:bottom w:val="none" w:sz="0" w:space="0" w:color="auto"/>
            <w:right w:val="none" w:sz="0" w:space="0" w:color="auto"/>
          </w:divBdr>
        </w:div>
        <w:div w:id="2055762842">
          <w:marLeft w:val="0"/>
          <w:marRight w:val="0"/>
          <w:marTop w:val="6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legifrance.gouv.fr"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odonata\SOLON\solon\Mod&#232;les_bis\solon.dot"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172C5FD-EEAC-4E66-9D30-87023ED49D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solon.dot</Template>
  <TotalTime>20</TotalTime>
  <Pages>1</Pages>
  <Words>5649</Words>
  <Characters>32203</Characters>
  <Application>Microsoft Office Word</Application>
  <DocSecurity>0</DocSecurity>
  <Lines>268</Lines>
  <Paragraphs>75</Paragraphs>
  <ScaleCrop>false</ScaleCrop>
  <HeadingPairs>
    <vt:vector size="2" baseType="variant">
      <vt:variant>
        <vt:lpstr>Titre</vt:lpstr>
      </vt:variant>
      <vt:variant>
        <vt:i4>1</vt:i4>
      </vt:variant>
    </vt:vector>
  </HeadingPairs>
  <TitlesOfParts>
    <vt:vector size="1" baseType="lpstr">
      <vt:lpstr>REPUBLIQUE FRANCAISE</vt:lpstr>
    </vt:vector>
  </TitlesOfParts>
  <Company>MI</Company>
  <LinksUpToDate>false</LinksUpToDate>
  <CharactersWithSpaces>37777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REPUBLIQUE FRANCAISE</dc:title>
  <dc:creator>SPM</dc:creator>
  <cp:lastModifiedBy>Ke, Tingting</cp:lastModifiedBy>
  <cp:revision>9</cp:revision>
  <cp:lastPrinted>2020-11-27T10:44:00Z</cp:lastPrinted>
  <dcterms:created xsi:type="dcterms:W3CDTF">2020-12-11T13:35:00Z</dcterms:created>
  <dcterms:modified xsi:type="dcterms:W3CDTF">2020-12-29T04:04:00Z</dcterms:modified>
</cp:coreProperties>
</file>