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5DE245A" w14:textId="29B3D357" w:rsidR="00BD0987" w:rsidRPr="00361792" w:rsidRDefault="00BD0987" w:rsidP="00BD0987">
      <w:pPr>
        <w:jc w:val="center"/>
        <w:rPr>
          <w:rFonts w:ascii="Courier New" w:hAnsi="Courier New"/>
          <w:sz w:val="20"/>
        </w:rPr>
      </w:pPr>
      <w:r>
        <w:rPr>
          <w:rFonts w:ascii="Courier New" w:hAnsi="Courier New"/>
          <w:sz w:val="20"/>
        </w:rPr>
        <w:t>1. ------IND- 2020 0790 F-- PL- ------ 20201228 --- --- PROJET</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216F67" w:rsidRPr="00AC2428" w14:paraId="0B513256" w14:textId="77777777">
        <w:trPr>
          <w:cantSplit/>
        </w:trPr>
        <w:tc>
          <w:tcPr>
            <w:tcW w:w="3982" w:type="dxa"/>
            <w:gridSpan w:val="3"/>
            <w:shd w:val="clear" w:color="auto" w:fill="auto"/>
          </w:tcPr>
          <w:p w14:paraId="5E62B1F0" w14:textId="77777777" w:rsidR="00216F67" w:rsidRPr="00AC2428" w:rsidRDefault="002633B9" w:rsidP="00775F70">
            <w:pPr>
              <w:pStyle w:val="SNREPUBLIQUE"/>
            </w:pPr>
            <w:r>
              <w:t>REPUBLIKA FRANCUSKA</w:t>
            </w:r>
          </w:p>
        </w:tc>
      </w:tr>
      <w:tr w:rsidR="00924DC4" w:rsidRPr="00AC2428" w14:paraId="2B5129B6" w14:textId="77777777" w:rsidTr="00AC2428">
        <w:trPr>
          <w:cantSplit/>
          <w:trHeight w:hRule="exact" w:val="113"/>
        </w:trPr>
        <w:tc>
          <w:tcPr>
            <w:tcW w:w="1527" w:type="dxa"/>
            <w:shd w:val="clear" w:color="auto" w:fill="auto"/>
          </w:tcPr>
          <w:p w14:paraId="4504C12B" w14:textId="77777777" w:rsidR="00216F67" w:rsidRPr="00AC2428" w:rsidRDefault="00216F67" w:rsidP="00775F70">
            <w:pPr>
              <w:snapToGrid w:val="0"/>
              <w:rPr>
                <w:rFonts w:cs="Tahoma"/>
              </w:rPr>
            </w:pPr>
          </w:p>
        </w:tc>
        <w:tc>
          <w:tcPr>
            <w:tcW w:w="968" w:type="dxa"/>
            <w:tcBorders>
              <w:bottom w:val="single" w:sz="4" w:space="0" w:color="auto"/>
            </w:tcBorders>
            <w:shd w:val="clear" w:color="auto" w:fill="auto"/>
          </w:tcPr>
          <w:p w14:paraId="627363BD" w14:textId="77777777" w:rsidR="00216F67" w:rsidRPr="00AC2428" w:rsidRDefault="00216F67" w:rsidP="00775F70">
            <w:pPr>
              <w:snapToGrid w:val="0"/>
              <w:rPr>
                <w:rFonts w:cs="Tahoma"/>
              </w:rPr>
            </w:pPr>
          </w:p>
        </w:tc>
        <w:tc>
          <w:tcPr>
            <w:tcW w:w="1487" w:type="dxa"/>
            <w:shd w:val="clear" w:color="auto" w:fill="auto"/>
          </w:tcPr>
          <w:p w14:paraId="7FC630AF" w14:textId="77777777" w:rsidR="00216F67" w:rsidRPr="00AC2428" w:rsidRDefault="00216F67" w:rsidP="00775F70">
            <w:pPr>
              <w:snapToGrid w:val="0"/>
              <w:rPr>
                <w:rFonts w:cs="Tahoma"/>
              </w:rPr>
            </w:pPr>
          </w:p>
        </w:tc>
      </w:tr>
      <w:tr w:rsidR="00216F67" w:rsidRPr="00AC2428" w14:paraId="27C4D09B" w14:textId="77777777">
        <w:trPr>
          <w:cantSplit/>
        </w:trPr>
        <w:tc>
          <w:tcPr>
            <w:tcW w:w="3982" w:type="dxa"/>
            <w:gridSpan w:val="3"/>
            <w:shd w:val="clear" w:color="auto" w:fill="auto"/>
          </w:tcPr>
          <w:p w14:paraId="226DC996" w14:textId="77777777" w:rsidR="00216F67" w:rsidRPr="00AC2428" w:rsidRDefault="002633B9" w:rsidP="00775F70">
            <w:pPr>
              <w:pStyle w:val="SNTimbre"/>
            </w:pPr>
            <w:r>
              <w:t>Ministerstwo Transformacji Ekologicznej</w:t>
            </w:r>
          </w:p>
          <w:p w14:paraId="3D84B948" w14:textId="004B8F71" w:rsidR="00472A5D" w:rsidRPr="00AC2428" w:rsidRDefault="00472A5D" w:rsidP="00775F70">
            <w:pPr>
              <w:pStyle w:val="SNTimbre"/>
            </w:pPr>
            <w:r>
              <w:t>Mieszkalnictwo</w:t>
            </w:r>
          </w:p>
        </w:tc>
      </w:tr>
      <w:tr w:rsidR="00924DC4" w:rsidRPr="00AC2428" w14:paraId="7179E6E4" w14:textId="77777777" w:rsidTr="00AC2428">
        <w:trPr>
          <w:cantSplit/>
          <w:trHeight w:hRule="exact" w:val="227"/>
        </w:trPr>
        <w:tc>
          <w:tcPr>
            <w:tcW w:w="1527" w:type="dxa"/>
            <w:shd w:val="clear" w:color="auto" w:fill="auto"/>
          </w:tcPr>
          <w:p w14:paraId="44838ECB" w14:textId="77777777" w:rsidR="00216F67" w:rsidRPr="00AC2428" w:rsidRDefault="00216F67" w:rsidP="00775F70">
            <w:pPr>
              <w:snapToGrid w:val="0"/>
            </w:pPr>
          </w:p>
        </w:tc>
        <w:tc>
          <w:tcPr>
            <w:tcW w:w="968" w:type="dxa"/>
            <w:tcBorders>
              <w:bottom w:val="single" w:sz="4" w:space="0" w:color="auto"/>
            </w:tcBorders>
            <w:shd w:val="clear" w:color="auto" w:fill="auto"/>
          </w:tcPr>
          <w:p w14:paraId="0609DC57" w14:textId="77777777" w:rsidR="00216F67" w:rsidRPr="00AC2428" w:rsidRDefault="00216F67" w:rsidP="00775F70">
            <w:pPr>
              <w:snapToGrid w:val="0"/>
            </w:pPr>
          </w:p>
        </w:tc>
        <w:tc>
          <w:tcPr>
            <w:tcW w:w="1487" w:type="dxa"/>
            <w:shd w:val="clear" w:color="auto" w:fill="auto"/>
          </w:tcPr>
          <w:p w14:paraId="435699DF" w14:textId="77777777" w:rsidR="00216F67" w:rsidRPr="00AC2428" w:rsidRDefault="00216F67" w:rsidP="00775F70">
            <w:pPr>
              <w:snapToGrid w:val="0"/>
            </w:pPr>
          </w:p>
        </w:tc>
      </w:tr>
      <w:tr w:rsidR="00216F67" w:rsidRPr="00AC2428" w14:paraId="0D7DAF39" w14:textId="77777777">
        <w:trPr>
          <w:cantSplit/>
          <w:trHeight w:hRule="exact" w:val="227"/>
        </w:trPr>
        <w:tc>
          <w:tcPr>
            <w:tcW w:w="1527" w:type="dxa"/>
            <w:shd w:val="clear" w:color="auto" w:fill="auto"/>
          </w:tcPr>
          <w:p w14:paraId="4D88D78F" w14:textId="77777777" w:rsidR="00216F67" w:rsidRPr="00AC2428" w:rsidRDefault="00216F67" w:rsidP="00775F70">
            <w:pPr>
              <w:snapToGrid w:val="0"/>
            </w:pPr>
          </w:p>
        </w:tc>
        <w:tc>
          <w:tcPr>
            <w:tcW w:w="968" w:type="dxa"/>
            <w:shd w:val="clear" w:color="auto" w:fill="auto"/>
          </w:tcPr>
          <w:p w14:paraId="15C25800" w14:textId="77777777" w:rsidR="00216F67" w:rsidRPr="00AC2428" w:rsidRDefault="00216F67" w:rsidP="00775F70">
            <w:pPr>
              <w:snapToGrid w:val="0"/>
            </w:pPr>
          </w:p>
        </w:tc>
        <w:tc>
          <w:tcPr>
            <w:tcW w:w="1487" w:type="dxa"/>
            <w:shd w:val="clear" w:color="auto" w:fill="auto"/>
          </w:tcPr>
          <w:p w14:paraId="5BB6C3AD" w14:textId="77777777" w:rsidR="00216F67" w:rsidRPr="00AC2428" w:rsidRDefault="00216F67" w:rsidP="00775F70">
            <w:pPr>
              <w:snapToGrid w:val="0"/>
            </w:pPr>
          </w:p>
        </w:tc>
      </w:tr>
    </w:tbl>
    <w:p w14:paraId="29B7DC59" w14:textId="790B10F4" w:rsidR="00216F67" w:rsidRPr="00AC2428" w:rsidRDefault="002633B9" w:rsidP="00775F70">
      <w:pPr>
        <w:pStyle w:val="SNNature"/>
      </w:pPr>
      <w:r>
        <w:t>Dekret nr        z dnia</w:t>
      </w:r>
    </w:p>
    <w:p w14:paraId="38966963" w14:textId="4F413CBC" w:rsidR="00876BAE" w:rsidRPr="00AC2428" w:rsidRDefault="00876BAE" w:rsidP="00775F70">
      <w:pPr>
        <w:pStyle w:val="SNtitre"/>
      </w:pPr>
      <w:r>
        <w:t>w sprawie wymogów charakterystyki energetycznej i środowiskowej budynków mieszkalnych, biurowych lub oświatowych na poziomie podstawowym lub średnim we Francji metropolitalnej</w:t>
      </w:r>
    </w:p>
    <w:p w14:paraId="7B3F7245" w14:textId="77777777" w:rsidR="00F15206" w:rsidRPr="00AC2428" w:rsidRDefault="00F15206" w:rsidP="00775F70">
      <w:pPr>
        <w:pStyle w:val="SNNORCentr"/>
      </w:pPr>
    </w:p>
    <w:p w14:paraId="78A41F7B" w14:textId="6CCC78B4" w:rsidR="00216F67" w:rsidRPr="00AC2428" w:rsidRDefault="002633B9" w:rsidP="00A51EA0">
      <w:pPr>
        <w:pStyle w:val="SNNORCentr"/>
      </w:pPr>
      <w:r>
        <w:t xml:space="preserve">NR REF.: </w:t>
      </w:r>
    </w:p>
    <w:p w14:paraId="1D193384" w14:textId="77777777" w:rsidR="00D808AA" w:rsidRPr="00AC2428" w:rsidRDefault="00D808AA" w:rsidP="00A51EA0">
      <w:pPr>
        <w:jc w:val="both"/>
        <w:rPr>
          <w:i/>
        </w:rPr>
      </w:pPr>
    </w:p>
    <w:p w14:paraId="4A7EF1E8" w14:textId="77777777" w:rsidR="00D808AA" w:rsidRPr="00AC2428" w:rsidRDefault="00D808AA" w:rsidP="00A51EA0">
      <w:pPr>
        <w:jc w:val="both"/>
        <w:rPr>
          <w:b/>
          <w:i/>
        </w:rPr>
      </w:pPr>
    </w:p>
    <w:p w14:paraId="34EE94A3" w14:textId="068D3EB3" w:rsidR="00D808AA" w:rsidRPr="00AC2428" w:rsidRDefault="002633B9" w:rsidP="00A51EA0">
      <w:pPr>
        <w:ind w:left="709" w:hanging="1"/>
        <w:jc w:val="both"/>
        <w:rPr>
          <w:i/>
        </w:rPr>
      </w:pPr>
      <w:r>
        <w:rPr>
          <w:b/>
          <w:i/>
        </w:rPr>
        <w:t>Zainteresowane społeczności:</w:t>
      </w:r>
      <w:r>
        <w:rPr>
          <w:i/>
        </w:rPr>
        <w:t xml:space="preserve"> inwestorzy, wykonawcy, budowniczowie i deweloperzy, architekci, biura analiz termicznych i środowiskowych, ekonomiści budowy, kontrolerzy techniczni, przedsiębiorstwa budowlane, producenci materiałów budowlanych i technicznych systemów budowlanych, dostawcy energii, we Francji metropolitalnej.</w:t>
      </w:r>
    </w:p>
    <w:p w14:paraId="74483404" w14:textId="77777777" w:rsidR="00D808AA" w:rsidRPr="00AC2428" w:rsidRDefault="00D808AA" w:rsidP="00A51EA0">
      <w:pPr>
        <w:jc w:val="both"/>
        <w:rPr>
          <w:b/>
        </w:rPr>
      </w:pPr>
    </w:p>
    <w:p w14:paraId="5AF586F2" w14:textId="77777777" w:rsidR="00D808AA" w:rsidRPr="00AC2428" w:rsidRDefault="00D808AA" w:rsidP="00A51EA0">
      <w:pPr>
        <w:jc w:val="both"/>
        <w:rPr>
          <w:b/>
        </w:rPr>
      </w:pPr>
    </w:p>
    <w:p w14:paraId="73B6DE6C" w14:textId="62C18A53" w:rsidR="00D808AA" w:rsidRPr="00AC2428" w:rsidRDefault="002633B9" w:rsidP="00A51EA0">
      <w:pPr>
        <w:ind w:left="709" w:hanging="1"/>
        <w:jc w:val="both"/>
        <w:rPr>
          <w:b/>
          <w:i/>
        </w:rPr>
      </w:pPr>
      <w:r>
        <w:rPr>
          <w:b/>
          <w:i/>
        </w:rPr>
        <w:t>Przedmiot:</w:t>
      </w:r>
      <w:r>
        <w:rPr>
          <w:i/>
        </w:rPr>
        <w:t xml:space="preserve"> ustanowienie wymogów charakterystyki energetycznej i środowiskowej oraz charakterystyki energetycznej i środowiskowej nowych budynków lub dobudowanych części budynków we Francji metropolitalnej.</w:t>
      </w:r>
    </w:p>
    <w:p w14:paraId="258D5920" w14:textId="55ECE693" w:rsidR="00216F67" w:rsidRDefault="00216F67" w:rsidP="00A51EA0">
      <w:pPr>
        <w:pStyle w:val="SNAutorit"/>
        <w:spacing w:before="0" w:after="0"/>
        <w:ind w:left="708" w:firstLine="0"/>
        <w:jc w:val="both"/>
        <w:rPr>
          <w:i/>
        </w:rPr>
      </w:pPr>
    </w:p>
    <w:p w14:paraId="7C566712" w14:textId="77777777" w:rsidR="00A51EA0" w:rsidRPr="00AC2428" w:rsidRDefault="00A51EA0" w:rsidP="00A51EA0">
      <w:pPr>
        <w:pStyle w:val="SNAutorit"/>
        <w:spacing w:before="0" w:after="0"/>
        <w:ind w:left="708" w:firstLine="0"/>
        <w:jc w:val="both"/>
        <w:rPr>
          <w:i/>
        </w:rPr>
      </w:pPr>
    </w:p>
    <w:p w14:paraId="136AFB1F" w14:textId="4DD6141E" w:rsidR="002B2352" w:rsidRPr="00AC2428" w:rsidRDefault="002633B9" w:rsidP="00A51EA0">
      <w:pPr>
        <w:pStyle w:val="SNAutorit"/>
        <w:spacing w:before="0" w:after="0"/>
        <w:ind w:left="708" w:firstLine="12"/>
        <w:jc w:val="both"/>
        <w:rPr>
          <w:b w:val="0"/>
          <w:i/>
        </w:rPr>
      </w:pPr>
      <w:r>
        <w:rPr>
          <w:i/>
        </w:rPr>
        <w:t xml:space="preserve">Wejście w życie: </w:t>
      </w:r>
      <w:r>
        <w:rPr>
          <w:b w:val="0"/>
          <w:i/>
        </w:rPr>
        <w:t>niniejsze wymogi mają zastosowanie od dnia 1 lipca 2021 r. do budynków mieszkalnych, biurowych lub oświatowych na poziomie podstawowym lub średnim oraz do budynków tymczasowych i dobudowanych części budynków w zależności od ich powierzchni, o tym samym przeznaczeniu; mają również zastosowanie do obiektów niewymagających pozwolenia na budowę lub wcześniejszego zgłoszenia. Ustanawia się etykietę dotyczącą charakterystyki energetycznej i środowiskowej, której datę wejścia w życie ustali się w drodze rozporządzenia, najpóźniej na 30 czerwca 2022 r.</w:t>
      </w:r>
    </w:p>
    <w:p w14:paraId="5C6BE3FB" w14:textId="19BD1D4B" w:rsidR="002B2352" w:rsidRDefault="002B2352" w:rsidP="00A51EA0">
      <w:pPr>
        <w:pStyle w:val="SNAutorit"/>
        <w:spacing w:before="0" w:after="0"/>
        <w:ind w:left="708" w:firstLine="0"/>
        <w:jc w:val="both"/>
        <w:rPr>
          <w:b w:val="0"/>
          <w:i/>
        </w:rPr>
      </w:pPr>
    </w:p>
    <w:p w14:paraId="0719948D" w14:textId="77777777" w:rsidR="00A51EA0" w:rsidRPr="00AC2428" w:rsidRDefault="00A51EA0" w:rsidP="00A51EA0">
      <w:pPr>
        <w:pStyle w:val="SNAutorit"/>
        <w:spacing w:before="0" w:after="0"/>
        <w:ind w:left="708" w:firstLine="0"/>
        <w:jc w:val="both"/>
        <w:rPr>
          <w:b w:val="0"/>
          <w:i/>
        </w:rPr>
      </w:pPr>
    </w:p>
    <w:p w14:paraId="41BFD89B" w14:textId="686562F2" w:rsidR="002B2352" w:rsidRPr="00AC2428" w:rsidRDefault="002633B9" w:rsidP="00A51EA0">
      <w:pPr>
        <w:ind w:left="709"/>
        <w:jc w:val="both"/>
        <w:rPr>
          <w:i/>
        </w:rPr>
      </w:pPr>
      <w:r>
        <w:rPr>
          <w:b/>
          <w:i/>
        </w:rPr>
        <w:t>Uwaga</w:t>
      </w:r>
      <w:r>
        <w:rPr>
          <w:i/>
        </w:rPr>
        <w:t>:</w:t>
      </w:r>
      <w:r>
        <w:t xml:space="preserve"> </w:t>
      </w:r>
      <w:r>
        <w:rPr>
          <w:i/>
        </w:rPr>
        <w:t>dekret ustanawia wymogi charakterystyki energetycznej i środowiskowej, które powinny spełniać budynki wymienione powyżej i zlokalizowane we Francji metropolitalnej, w szczególności wymogi dotyczące następujących 5 wyników: 1) optymalizacja projektu energetycznego konstrukcji niezależnie od wdrożonych systemów energetycznych; 2) ograniczenie zużycia energii pierwotnej; 3) ograniczenie wpływu powiązanego ze zużyciem na zmianę klimatu; 4) ograniczenie wpływu komponentów budynku na zmianę klimatu; 5) ograniczenie sytuacji braku komfortu w budynku w okresie letnim.</w:t>
      </w:r>
    </w:p>
    <w:p w14:paraId="3AA0F273" w14:textId="7B649194" w:rsidR="00216F67" w:rsidRDefault="00216F67" w:rsidP="00A51EA0">
      <w:pPr>
        <w:pStyle w:val="SNAutorit"/>
        <w:spacing w:before="0" w:after="0"/>
        <w:jc w:val="both"/>
        <w:rPr>
          <w:b w:val="0"/>
          <w:i/>
        </w:rPr>
      </w:pPr>
    </w:p>
    <w:p w14:paraId="5C31C8FC" w14:textId="77777777" w:rsidR="00A51EA0" w:rsidRPr="00AC2428" w:rsidRDefault="00A51EA0" w:rsidP="00A51EA0">
      <w:pPr>
        <w:pStyle w:val="SNAutorit"/>
        <w:spacing w:before="0" w:after="0"/>
        <w:jc w:val="both"/>
        <w:rPr>
          <w:b w:val="0"/>
          <w:i/>
        </w:rPr>
      </w:pPr>
    </w:p>
    <w:p w14:paraId="4B81E6BD" w14:textId="6287301D" w:rsidR="00216F67" w:rsidRPr="00AC2428" w:rsidRDefault="002633B9" w:rsidP="00A51EA0">
      <w:pPr>
        <w:pStyle w:val="SNAutorit"/>
        <w:spacing w:before="0" w:after="0"/>
        <w:ind w:left="737" w:firstLine="0"/>
        <w:jc w:val="both"/>
        <w:rPr>
          <w:b w:val="0"/>
          <w:i/>
        </w:rPr>
      </w:pPr>
      <w:r>
        <w:rPr>
          <w:i/>
        </w:rPr>
        <w:lastRenderedPageBreak/>
        <w:t xml:space="preserve">Teksty podstawowe: </w:t>
      </w:r>
      <w:r>
        <w:rPr>
          <w:b w:val="0"/>
          <w:i/>
        </w:rPr>
        <w:t>z tekstami zmienionymi niniejszym dekretem można zapoznać się, w brzmieniu będącym wynikiem zmiany, w serwisie internetowym Légifrance (</w:t>
      </w:r>
      <w:hyperlink r:id="rId8" w:history="1">
        <w:r>
          <w:rPr>
            <w:rStyle w:val="Hyperlink"/>
            <w:b w:val="0"/>
            <w:i/>
          </w:rPr>
          <w:t>http://www.legifrance.gouv.fr</w:t>
        </w:r>
      </w:hyperlink>
      <w:r>
        <w:rPr>
          <w:b w:val="0"/>
          <w:i/>
        </w:rPr>
        <w:t>).</w:t>
      </w:r>
    </w:p>
    <w:p w14:paraId="18C55CAE" w14:textId="7CF84CE0" w:rsidR="00FB13BE" w:rsidRDefault="00FB13BE" w:rsidP="00A51EA0">
      <w:pPr>
        <w:pStyle w:val="SNAutorit"/>
        <w:spacing w:before="0" w:after="0"/>
        <w:ind w:left="737" w:firstLine="0"/>
        <w:jc w:val="both"/>
      </w:pPr>
    </w:p>
    <w:p w14:paraId="5CAA2BB4" w14:textId="075B7BD3" w:rsidR="00A51EA0" w:rsidRDefault="00A51EA0" w:rsidP="00A51EA0">
      <w:pPr>
        <w:pStyle w:val="SNAutorit"/>
        <w:spacing w:before="0" w:after="0"/>
        <w:ind w:left="737" w:firstLine="0"/>
        <w:jc w:val="both"/>
      </w:pPr>
    </w:p>
    <w:p w14:paraId="5BAA028D" w14:textId="2430BE34" w:rsidR="00A51EA0" w:rsidRDefault="00A51EA0" w:rsidP="00A51EA0">
      <w:pPr>
        <w:pStyle w:val="SNAutorit"/>
        <w:spacing w:before="0" w:after="0"/>
        <w:ind w:left="737" w:firstLine="0"/>
        <w:jc w:val="both"/>
      </w:pPr>
    </w:p>
    <w:p w14:paraId="7CFDA8B4" w14:textId="77777777" w:rsidR="00A51EA0" w:rsidRPr="00AC2428" w:rsidRDefault="00A51EA0" w:rsidP="00A51EA0">
      <w:pPr>
        <w:pStyle w:val="SNAutorit"/>
        <w:spacing w:before="0" w:after="0"/>
        <w:ind w:left="737" w:firstLine="0"/>
        <w:jc w:val="both"/>
      </w:pPr>
    </w:p>
    <w:p w14:paraId="517DCD01" w14:textId="2A3DFD19" w:rsidR="00216F67" w:rsidRDefault="002633B9" w:rsidP="00A51EA0">
      <w:pPr>
        <w:pStyle w:val="SNAutorit"/>
        <w:spacing w:before="0" w:after="0"/>
      </w:pPr>
      <w:r>
        <w:t>Premier,</w:t>
      </w:r>
    </w:p>
    <w:p w14:paraId="27237DBA" w14:textId="77777777" w:rsidR="00A51EA0" w:rsidRPr="00AC2428" w:rsidRDefault="00A51EA0" w:rsidP="00A51EA0">
      <w:pPr>
        <w:pStyle w:val="SNAutorit"/>
        <w:spacing w:before="0" w:after="0"/>
      </w:pPr>
    </w:p>
    <w:p w14:paraId="622E923A" w14:textId="179B13A7" w:rsidR="00216F67" w:rsidRDefault="002633B9" w:rsidP="00A51EA0">
      <w:pPr>
        <w:pStyle w:val="SNRapport"/>
        <w:spacing w:before="0" w:after="0"/>
        <w:jc w:val="both"/>
      </w:pPr>
      <w:r>
        <w:t>na podstawie sprawozdania Minister ds. Transformacji Ekologicznej,</w:t>
      </w:r>
    </w:p>
    <w:p w14:paraId="334DA14B" w14:textId="77777777" w:rsidR="00A51EA0" w:rsidRPr="00AC2428" w:rsidRDefault="00A51EA0" w:rsidP="00A51EA0">
      <w:pPr>
        <w:pStyle w:val="SNRapport"/>
        <w:spacing w:before="0" w:after="0"/>
        <w:jc w:val="both"/>
      </w:pPr>
    </w:p>
    <w:p w14:paraId="7851F6F4" w14:textId="2ED37733" w:rsidR="009918F3" w:rsidRPr="00AC2428" w:rsidRDefault="00661F52" w:rsidP="00A51EA0">
      <w:pPr>
        <w:ind w:left="708"/>
        <w:jc w:val="both"/>
      </w:pPr>
      <w:r>
        <w:t xml:space="preserve">uwzględniając dyrektywę (UE) 2015/1535 Parlamentu Europejskiego i Rady z dnia 9 września 2015 r. ustanawiającą procedurę udzielania informacji w dziedzinie przepisów technicznych oraz zasad dotyczących usług społeczeństwa informacyjnego (tekst skonsolidowany), w szczególności powiadomienie nr </w:t>
      </w:r>
      <w:r>
        <w:rPr>
          <w:highlight w:val="yellow"/>
        </w:rPr>
        <w:t>rok/XXX/F</w:t>
      </w:r>
      <w:r>
        <w:t>,</w:t>
      </w:r>
    </w:p>
    <w:p w14:paraId="0DA7C3A9" w14:textId="77777777" w:rsidR="00661F52" w:rsidRPr="00AC2428" w:rsidRDefault="00661F52" w:rsidP="00A51EA0">
      <w:pPr>
        <w:ind w:left="708"/>
        <w:jc w:val="both"/>
      </w:pPr>
    </w:p>
    <w:p w14:paraId="28DF2178" w14:textId="10F0CA1E" w:rsidR="009918F3" w:rsidRPr="00AC2428" w:rsidRDefault="009918F3" w:rsidP="00A51EA0">
      <w:pPr>
        <w:ind w:left="708"/>
        <w:jc w:val="both"/>
      </w:pPr>
      <w:r>
        <w:t>uwzględniając dyrektywę Parlamentu Europejskiego i Rady 2010/31/UE z dnia 19 maja 2010 r. w sprawie charakterystyki energetycznej budynków, zmienioną dyrektywą Parlamentu Europejskiego i Rady (UE) 2018/844 z dnia 30 maja 2018 r., w szczególności jej art. 3, 4 i 6,</w:t>
      </w:r>
    </w:p>
    <w:p w14:paraId="00869AD2" w14:textId="77777777" w:rsidR="00651481" w:rsidRPr="00AC2428" w:rsidRDefault="00651481" w:rsidP="00A51EA0">
      <w:pPr>
        <w:ind w:left="708"/>
        <w:jc w:val="both"/>
      </w:pPr>
    </w:p>
    <w:p w14:paraId="11B75A25" w14:textId="637C1E60" w:rsidR="00651481" w:rsidRPr="00AC2428" w:rsidRDefault="00651481" w:rsidP="00A51EA0">
      <w:pPr>
        <w:ind w:left="708"/>
        <w:jc w:val="both"/>
      </w:pPr>
      <w:r>
        <w:t>uwzględniając dyrektywę Parlamentu Europejskiego i Rady (UE) 2018/2001 z dnia 11 grudnia 2018 r. w sprawie promowania stosowania energii ze źródeł odnawialnych, w szczególności jej art. 15,</w:t>
      </w:r>
    </w:p>
    <w:p w14:paraId="693E5C9E" w14:textId="77777777" w:rsidR="009918F3" w:rsidRPr="00AC2428" w:rsidRDefault="009918F3" w:rsidP="00A51EA0">
      <w:pPr>
        <w:jc w:val="both"/>
      </w:pPr>
    </w:p>
    <w:p w14:paraId="0F09512B" w14:textId="72A5ABF9" w:rsidR="009918F3" w:rsidRPr="00AC2428" w:rsidRDefault="009918F3" w:rsidP="00A51EA0">
      <w:pPr>
        <w:ind w:left="708"/>
        <w:jc w:val="both"/>
      </w:pPr>
      <w:r>
        <w:t xml:space="preserve">uwzględniając kodeks budownictwa i mieszkalnictwa, w szczególności jego art. </w:t>
      </w:r>
      <w:r>
        <w:rPr>
          <w:highlight w:val="yellow"/>
        </w:rPr>
        <w:t>L. 111- 9, L. 134-2 i L. 151- 1</w:t>
      </w:r>
      <w:r>
        <w:t>,</w:t>
      </w:r>
    </w:p>
    <w:p w14:paraId="58C36325" w14:textId="5ABF6DAA" w:rsidR="00784211" w:rsidRPr="00AC2428" w:rsidRDefault="00784211" w:rsidP="00A51EA0">
      <w:pPr>
        <w:ind w:left="708"/>
        <w:jc w:val="both"/>
      </w:pPr>
    </w:p>
    <w:p w14:paraId="7CDEE9D2" w14:textId="2299951B" w:rsidR="00784211" w:rsidRPr="00AC2428" w:rsidRDefault="00784211" w:rsidP="00A51EA0">
      <w:pPr>
        <w:ind w:left="708"/>
        <w:jc w:val="both"/>
      </w:pPr>
      <w:r>
        <w:t xml:space="preserve">uwzględniając kodeks urbanistyki, w szczególności jego art. </w:t>
      </w:r>
      <w:r>
        <w:rPr>
          <w:highlight w:val="yellow"/>
        </w:rPr>
        <w:t>L. 462-1</w:t>
      </w:r>
      <w:r>
        <w:t xml:space="preserve">, </w:t>
      </w:r>
      <w:r>
        <w:rPr>
          <w:highlight w:val="yellow"/>
        </w:rPr>
        <w:t>R*. 421-2</w:t>
      </w:r>
      <w:r>
        <w:t xml:space="preserve"> i </w:t>
      </w:r>
      <w:r>
        <w:rPr>
          <w:highlight w:val="yellow"/>
        </w:rPr>
        <w:t>R*. 421-5</w:t>
      </w:r>
      <w:r>
        <w:t>,</w:t>
      </w:r>
    </w:p>
    <w:p w14:paraId="1469C78E" w14:textId="77777777" w:rsidR="009918F3" w:rsidRPr="00AC2428" w:rsidRDefault="009918F3" w:rsidP="00A51EA0">
      <w:pPr>
        <w:jc w:val="both"/>
      </w:pPr>
    </w:p>
    <w:p w14:paraId="38CD7D34" w14:textId="2A28C820" w:rsidR="009918F3" w:rsidRPr="00AC2428" w:rsidRDefault="009918F3" w:rsidP="00A51EA0">
      <w:pPr>
        <w:ind w:left="708"/>
        <w:jc w:val="both"/>
      </w:pPr>
      <w:r>
        <w:t xml:space="preserve">uwzględniając uwagi sformułowane podczas konsultacji publicznych zorganizowanych w dniach od </w:t>
      </w:r>
      <w:r>
        <w:rPr>
          <w:highlight w:val="yellow"/>
        </w:rPr>
        <w:t>XXX</w:t>
      </w:r>
      <w:r>
        <w:t xml:space="preserve"> r. do </w:t>
      </w:r>
      <w:r>
        <w:rPr>
          <w:highlight w:val="yellow"/>
        </w:rPr>
        <w:t>XXX</w:t>
      </w:r>
      <w:r>
        <w:t xml:space="preserve"> r. na podstawie art. L. 120-1 kodeksu środowiska,</w:t>
      </w:r>
    </w:p>
    <w:p w14:paraId="51FC04E1" w14:textId="77777777" w:rsidR="009918F3" w:rsidRPr="00AC2428" w:rsidRDefault="009918F3" w:rsidP="00A51EA0">
      <w:pPr>
        <w:jc w:val="both"/>
      </w:pPr>
    </w:p>
    <w:p w14:paraId="49234A94" w14:textId="57F44B5D" w:rsidR="009918F3" w:rsidRPr="00AC2428" w:rsidRDefault="009918F3" w:rsidP="00A51EA0">
      <w:pPr>
        <w:ind w:firstLine="708"/>
        <w:jc w:val="both"/>
      </w:pPr>
      <w:r>
        <w:t xml:space="preserve">uwzględniając opinię </w:t>
      </w:r>
      <w:r>
        <w:rPr>
          <w:highlight w:val="yellow"/>
        </w:rPr>
        <w:t>Krajowej Rady ds. Oceny Norm</w:t>
      </w:r>
      <w:r>
        <w:t xml:space="preserve"> z dnia </w:t>
      </w:r>
      <w:r>
        <w:rPr>
          <w:highlight w:val="yellow"/>
        </w:rPr>
        <w:t>XXX</w:t>
      </w:r>
      <w:r>
        <w:t xml:space="preserve"> r.,</w:t>
      </w:r>
    </w:p>
    <w:p w14:paraId="4CB4C3F7" w14:textId="77777777" w:rsidR="009918F3" w:rsidRPr="00AC2428" w:rsidRDefault="009918F3" w:rsidP="00A51EA0">
      <w:pPr>
        <w:ind w:firstLine="708"/>
        <w:jc w:val="both"/>
      </w:pPr>
    </w:p>
    <w:p w14:paraId="69F0DA51" w14:textId="4C53FA43" w:rsidR="009918F3" w:rsidRPr="00AC2428" w:rsidRDefault="009918F3" w:rsidP="00A51EA0">
      <w:pPr>
        <w:ind w:firstLine="708"/>
        <w:jc w:val="both"/>
      </w:pPr>
      <w:r>
        <w:t xml:space="preserve">uwzględniając opinię </w:t>
      </w:r>
      <w:r>
        <w:rPr>
          <w:highlight w:val="yellow"/>
        </w:rPr>
        <w:t>Wysokiej Rady ds. Energii</w:t>
      </w:r>
      <w:r>
        <w:t xml:space="preserve"> z dnia </w:t>
      </w:r>
      <w:r>
        <w:rPr>
          <w:highlight w:val="yellow"/>
        </w:rPr>
        <w:t>XXX</w:t>
      </w:r>
      <w:r>
        <w:t xml:space="preserve"> r.;</w:t>
      </w:r>
    </w:p>
    <w:p w14:paraId="65845825" w14:textId="77777777" w:rsidR="009918F3" w:rsidRPr="00AC2428" w:rsidRDefault="009918F3" w:rsidP="00A51EA0">
      <w:pPr>
        <w:jc w:val="both"/>
      </w:pPr>
    </w:p>
    <w:p w14:paraId="0F25A8E0" w14:textId="57D55C13" w:rsidR="009918F3" w:rsidRPr="00AC2428" w:rsidRDefault="009918F3" w:rsidP="00A51EA0">
      <w:pPr>
        <w:ind w:left="708"/>
        <w:jc w:val="both"/>
      </w:pPr>
      <w:r>
        <w:t xml:space="preserve">uwzględniając opinię Wysokiej Rady ds. Budownictwa i Efektywności Energetycznej z dnia </w:t>
      </w:r>
      <w:r>
        <w:rPr>
          <w:highlight w:val="yellow"/>
        </w:rPr>
        <w:t>XXX</w:t>
      </w:r>
      <w:r>
        <w:t xml:space="preserve"> r.,</w:t>
      </w:r>
    </w:p>
    <w:p w14:paraId="2F3A2556" w14:textId="64B72550" w:rsidR="00114953" w:rsidRPr="00AC2428" w:rsidRDefault="00114953" w:rsidP="00A51EA0">
      <w:pPr>
        <w:ind w:left="708"/>
        <w:jc w:val="both"/>
      </w:pPr>
    </w:p>
    <w:p w14:paraId="6AFE0FE6" w14:textId="4FB26864" w:rsidR="00114953" w:rsidRPr="00AC2428" w:rsidRDefault="00114953" w:rsidP="00A51EA0">
      <w:pPr>
        <w:ind w:left="708"/>
        <w:jc w:val="both"/>
      </w:pPr>
      <w:r>
        <w:t xml:space="preserve">uwzględniając pismo zgromadzenia Gujany z dnia </w:t>
      </w:r>
      <w:r>
        <w:rPr>
          <w:highlight w:val="yellow"/>
        </w:rPr>
        <w:t>XXX</w:t>
      </w:r>
      <w:r>
        <w:t xml:space="preserve"> r.,</w:t>
      </w:r>
    </w:p>
    <w:p w14:paraId="0A5B982D" w14:textId="77777777" w:rsidR="00114953" w:rsidRPr="00AC2428" w:rsidRDefault="00114953" w:rsidP="00A51EA0">
      <w:pPr>
        <w:ind w:left="708"/>
        <w:jc w:val="both"/>
      </w:pPr>
    </w:p>
    <w:p w14:paraId="2FB4ECEE" w14:textId="76E9B3A3" w:rsidR="00114953" w:rsidRPr="00AC2428" w:rsidRDefault="00114953" w:rsidP="00A51EA0">
      <w:pPr>
        <w:ind w:left="708"/>
        <w:jc w:val="both"/>
      </w:pPr>
      <w:r>
        <w:t xml:space="preserve">uwzględniając pismo zgromadzenia Martyniki z dnia </w:t>
      </w:r>
      <w:r>
        <w:rPr>
          <w:highlight w:val="yellow"/>
        </w:rPr>
        <w:t>XXX</w:t>
      </w:r>
      <w:r>
        <w:t xml:space="preserve"> r.,</w:t>
      </w:r>
    </w:p>
    <w:p w14:paraId="7E9D6461" w14:textId="77777777" w:rsidR="00114953" w:rsidRPr="00AC2428" w:rsidRDefault="00114953" w:rsidP="00A51EA0">
      <w:pPr>
        <w:ind w:left="708"/>
        <w:jc w:val="both"/>
      </w:pPr>
    </w:p>
    <w:p w14:paraId="4AF24266" w14:textId="7720DA4A" w:rsidR="00114953" w:rsidRPr="00AC2428" w:rsidRDefault="00114953" w:rsidP="00A51EA0">
      <w:pPr>
        <w:ind w:left="708"/>
        <w:jc w:val="both"/>
      </w:pPr>
      <w:r>
        <w:t xml:space="preserve">uwzględniając pismo rady departamentalnej Gwadelupy z dnia </w:t>
      </w:r>
      <w:r>
        <w:rPr>
          <w:highlight w:val="yellow"/>
        </w:rPr>
        <w:t>XXX</w:t>
      </w:r>
      <w:r>
        <w:t xml:space="preserve"> r.,</w:t>
      </w:r>
    </w:p>
    <w:p w14:paraId="42634F3B" w14:textId="77777777" w:rsidR="00114953" w:rsidRPr="00AC2428" w:rsidRDefault="00114953" w:rsidP="00A51EA0">
      <w:pPr>
        <w:ind w:left="708"/>
        <w:jc w:val="both"/>
      </w:pPr>
    </w:p>
    <w:p w14:paraId="4AEA1806" w14:textId="093DBBCB" w:rsidR="00114953" w:rsidRPr="00AC2428" w:rsidRDefault="00114953" w:rsidP="00A51EA0">
      <w:pPr>
        <w:ind w:left="708"/>
        <w:jc w:val="both"/>
      </w:pPr>
      <w:r>
        <w:t xml:space="preserve">uwzględniając pismo rady departamentalnej Reunion z dnia </w:t>
      </w:r>
      <w:r>
        <w:rPr>
          <w:highlight w:val="yellow"/>
        </w:rPr>
        <w:t>XXX</w:t>
      </w:r>
      <w:r>
        <w:t xml:space="preserve"> r.,</w:t>
      </w:r>
    </w:p>
    <w:p w14:paraId="0AB8F80E" w14:textId="77777777" w:rsidR="00114953" w:rsidRPr="00AC2428" w:rsidRDefault="00114953" w:rsidP="00A51EA0">
      <w:pPr>
        <w:ind w:left="708"/>
        <w:jc w:val="both"/>
      </w:pPr>
    </w:p>
    <w:p w14:paraId="11A87746" w14:textId="7510F38B" w:rsidR="00114953" w:rsidRPr="00AC2428" w:rsidRDefault="00114953" w:rsidP="00A51EA0">
      <w:pPr>
        <w:ind w:left="708"/>
        <w:jc w:val="both"/>
      </w:pPr>
      <w:r>
        <w:t xml:space="preserve">uwzględniając pismo rady regionalnej Gwadelupy z dnia </w:t>
      </w:r>
      <w:r>
        <w:rPr>
          <w:highlight w:val="yellow"/>
        </w:rPr>
        <w:t>XXX</w:t>
      </w:r>
      <w:r>
        <w:t xml:space="preserve"> r.,</w:t>
      </w:r>
    </w:p>
    <w:p w14:paraId="265C201F" w14:textId="77777777" w:rsidR="00114953" w:rsidRPr="00AC2428" w:rsidRDefault="00114953" w:rsidP="00A51EA0">
      <w:pPr>
        <w:ind w:left="708"/>
        <w:jc w:val="both"/>
      </w:pPr>
    </w:p>
    <w:p w14:paraId="06F46AC9" w14:textId="37490C38" w:rsidR="00114953" w:rsidRPr="00AC2428" w:rsidRDefault="00114953" w:rsidP="00A51EA0">
      <w:pPr>
        <w:ind w:left="708"/>
        <w:jc w:val="both"/>
      </w:pPr>
      <w:r>
        <w:lastRenderedPageBreak/>
        <w:t xml:space="preserve">uwzględniając pismo rady regionalnej Reunion z dnia </w:t>
      </w:r>
      <w:r>
        <w:rPr>
          <w:highlight w:val="yellow"/>
        </w:rPr>
        <w:t>XXX</w:t>
      </w:r>
      <w:r>
        <w:t xml:space="preserve"> r.,</w:t>
      </w:r>
    </w:p>
    <w:p w14:paraId="08669AB6" w14:textId="77777777" w:rsidR="00114953" w:rsidRPr="00AC2428" w:rsidRDefault="00114953" w:rsidP="00A51EA0">
      <w:pPr>
        <w:ind w:left="708"/>
        <w:jc w:val="both"/>
      </w:pPr>
    </w:p>
    <w:p w14:paraId="69B156E4" w14:textId="3F24F286" w:rsidR="00114953" w:rsidRPr="00AC2428" w:rsidRDefault="00114953" w:rsidP="00A51EA0">
      <w:pPr>
        <w:ind w:left="708"/>
        <w:jc w:val="both"/>
      </w:pPr>
      <w:r>
        <w:t xml:space="preserve">uwzględniając pismo rady departamentalnej Majotty z dnia </w:t>
      </w:r>
      <w:r>
        <w:rPr>
          <w:highlight w:val="yellow"/>
        </w:rPr>
        <w:t>XXX</w:t>
      </w:r>
      <w:r>
        <w:t xml:space="preserve"> r.,</w:t>
      </w:r>
    </w:p>
    <w:p w14:paraId="26363403" w14:textId="77777777" w:rsidR="00114953" w:rsidRPr="00AC2428" w:rsidRDefault="00114953" w:rsidP="00A51EA0">
      <w:pPr>
        <w:ind w:left="708"/>
        <w:jc w:val="both"/>
      </w:pPr>
    </w:p>
    <w:p w14:paraId="424E4F28" w14:textId="513F9B08" w:rsidR="009918F3" w:rsidRPr="00AC2428" w:rsidRDefault="009918F3" w:rsidP="00A51EA0">
      <w:pPr>
        <w:ind w:firstLine="708"/>
        <w:jc w:val="both"/>
      </w:pPr>
      <w:r>
        <w:t>po wysłuchaniu Rady Stanu (Sekcji ds. Robót Publicznych),</w:t>
      </w:r>
    </w:p>
    <w:p w14:paraId="3DE837B5" w14:textId="77777777" w:rsidR="00A51EA0" w:rsidRDefault="00A51EA0" w:rsidP="00A51EA0">
      <w:pPr>
        <w:pStyle w:val="SNActe"/>
        <w:spacing w:before="0" w:after="0"/>
      </w:pPr>
    </w:p>
    <w:p w14:paraId="7AEC6FA4" w14:textId="77777777" w:rsidR="00A51EA0" w:rsidRDefault="00A51EA0" w:rsidP="00A51EA0">
      <w:pPr>
        <w:pStyle w:val="SNActe"/>
        <w:spacing w:before="0" w:after="0"/>
      </w:pPr>
    </w:p>
    <w:p w14:paraId="1B9AC711" w14:textId="10ADE9BB" w:rsidR="00216F67" w:rsidRPr="00AC2428" w:rsidRDefault="002633B9" w:rsidP="00A51EA0">
      <w:pPr>
        <w:pStyle w:val="SNActe"/>
        <w:spacing w:before="0" w:after="0"/>
      </w:pPr>
      <w:r>
        <w:t>przyjmuje niniejszy dekret:</w:t>
      </w:r>
    </w:p>
    <w:p w14:paraId="6BB8552A" w14:textId="77777777" w:rsidR="00A51EA0" w:rsidRDefault="00A51EA0" w:rsidP="00A51EA0">
      <w:pPr>
        <w:pStyle w:val="SNArticle"/>
        <w:spacing w:before="0" w:after="0"/>
      </w:pPr>
    </w:p>
    <w:p w14:paraId="636B2070" w14:textId="77777777" w:rsidR="00A51EA0" w:rsidRDefault="00A51EA0" w:rsidP="00A51EA0">
      <w:pPr>
        <w:pStyle w:val="SNArticle"/>
        <w:spacing w:before="0" w:after="0"/>
      </w:pPr>
    </w:p>
    <w:p w14:paraId="1BD38E7A" w14:textId="1FC85470" w:rsidR="00216F67" w:rsidRDefault="002633B9" w:rsidP="00A51EA0">
      <w:pPr>
        <w:pStyle w:val="SNArticle"/>
        <w:spacing w:before="0" w:after="0"/>
        <w:rPr>
          <w:vertAlign w:val="superscript"/>
        </w:rPr>
      </w:pPr>
      <w:r>
        <w:t>Artykuł 1</w:t>
      </w:r>
    </w:p>
    <w:p w14:paraId="635C07CE" w14:textId="77777777" w:rsidR="00A51EA0" w:rsidRPr="00A51EA0" w:rsidRDefault="00A51EA0" w:rsidP="00A51EA0">
      <w:pPr>
        <w:pStyle w:val="BodyText"/>
      </w:pPr>
    </w:p>
    <w:p w14:paraId="31F32375" w14:textId="15825574" w:rsidR="009918F3" w:rsidRPr="00AC2428" w:rsidRDefault="009918F3" w:rsidP="00A51EA0">
      <w:pPr>
        <w:jc w:val="both"/>
      </w:pPr>
      <w:r>
        <w:t xml:space="preserve">Podsekcje </w:t>
      </w:r>
      <w:r>
        <w:rPr>
          <w:highlight w:val="yellow"/>
        </w:rPr>
        <w:t>1 do 4</w:t>
      </w:r>
      <w:r>
        <w:t xml:space="preserve"> sekcji 4 rozdziału I tytułu I księgi I kodeksu budownictwa i mieszkalnictwa zastępuje się podsekcjami </w:t>
      </w:r>
      <w:r>
        <w:rPr>
          <w:highlight w:val="yellow"/>
        </w:rPr>
        <w:t xml:space="preserve">1 do </w:t>
      </w:r>
      <w:r>
        <w:t>5 w poniższym brzmieniu</w:t>
      </w:r>
      <w:r>
        <w:rPr>
          <w:rStyle w:val="print-title-summary"/>
        </w:rPr>
        <w:t xml:space="preserve">. </w:t>
      </w:r>
    </w:p>
    <w:p w14:paraId="30BE8CD0" w14:textId="77777777" w:rsidR="009918F3" w:rsidRPr="00AC2428" w:rsidRDefault="009918F3" w:rsidP="00A51EA0">
      <w:pPr>
        <w:jc w:val="both"/>
      </w:pPr>
    </w:p>
    <w:p w14:paraId="57A3FB4C" w14:textId="23FA9FD2" w:rsidR="009918F3" w:rsidRPr="00AC2428" w:rsidRDefault="000E3CDC" w:rsidP="00A51EA0">
      <w:pPr>
        <w:jc w:val="both"/>
        <w:rPr>
          <w:i/>
        </w:rPr>
      </w:pPr>
      <w:r>
        <w:rPr>
          <w:i/>
        </w:rPr>
        <w:t>„Podsekcja 1: Wymogi charakterystyki energetycznej i środowiskowej mające zastosowanie do budynków lub części budynków mieszkalnych, biurowych lub oświatowych na poziomie podstawowym lub średnim</w:t>
      </w:r>
    </w:p>
    <w:p w14:paraId="2C853DFE" w14:textId="0EA803E8" w:rsidR="009918F3" w:rsidRPr="00AC2428" w:rsidRDefault="009918F3" w:rsidP="00A51EA0">
      <w:pPr>
        <w:jc w:val="both"/>
      </w:pPr>
    </w:p>
    <w:p w14:paraId="6188769E" w14:textId="7561FCE2" w:rsidR="0053536C" w:rsidRPr="00AC2428" w:rsidRDefault="000E3CDC" w:rsidP="00A51EA0">
      <w:pPr>
        <w:jc w:val="both"/>
      </w:pPr>
      <w:r>
        <w:rPr>
          <w:i/>
        </w:rPr>
        <w:t xml:space="preserve">Artykuł R. 111-20 - </w:t>
      </w:r>
      <w:r>
        <w:t xml:space="preserve">I. - Przepisy niniejszej podsekcji mają zastosowanie do budowy w rozumieniu art. </w:t>
      </w:r>
      <w:r>
        <w:rPr>
          <w:highlight w:val="yellow"/>
        </w:rPr>
        <w:t>L. 111-1</w:t>
      </w:r>
      <w:r>
        <w:t xml:space="preserve"> budynków lub części budynków mieszkalnych, biurowych lub oświatowych na poziomie podstawowym lub średnim, w odniesieniu do których należy złożyć wniosek o pozwolenie na budowę lub wcześniejsze zgłoszenie, składane od dnia </w:t>
      </w:r>
      <w:r>
        <w:rPr>
          <w:highlight w:val="yellow"/>
        </w:rPr>
        <w:t>1 lipca 2021 r.</w:t>
      </w:r>
      <w:r>
        <w:t xml:space="preserve"> Mają również zastosowanie do budowy parkingów powiązanych z tymi budynkami.</w:t>
      </w:r>
    </w:p>
    <w:p w14:paraId="40725D2C" w14:textId="77777777" w:rsidR="003B7761" w:rsidRPr="00AC2428" w:rsidRDefault="003B7761" w:rsidP="00A51EA0">
      <w:pPr>
        <w:jc w:val="both"/>
        <w:rPr>
          <w:rFonts w:eastAsia="Calibri"/>
          <w:lang w:eastAsia="fr-FR"/>
        </w:rPr>
      </w:pPr>
    </w:p>
    <w:p w14:paraId="31391E4A" w14:textId="4ECBE85E" w:rsidR="0053536C" w:rsidRPr="00AC2428" w:rsidRDefault="000E3CDC" w:rsidP="00A51EA0">
      <w:pPr>
        <w:jc w:val="both"/>
      </w:pPr>
      <w:r>
        <w:t>Kwatery turystyczne wyposażone w pomieszczenie noclegowe, kuchnię i pomieszczenia sanitarne podlegają zasadom mającym zastosowanie do budynków mieszkalnych ustanowionym w niniejszej podsekcji.</w:t>
      </w:r>
    </w:p>
    <w:p w14:paraId="660ACE30" w14:textId="77777777" w:rsidR="003B7761" w:rsidRPr="00AC2428" w:rsidRDefault="003B7761" w:rsidP="00A51EA0">
      <w:pPr>
        <w:jc w:val="both"/>
      </w:pPr>
    </w:p>
    <w:p w14:paraId="658EE355" w14:textId="5CA44FBD" w:rsidR="0053536C" w:rsidRDefault="000E3CDC" w:rsidP="00A51EA0">
      <w:pPr>
        <w:pStyle w:val="ListParagraph"/>
        <w:spacing w:after="0" w:line="240" w:lineRule="auto"/>
        <w:ind w:left="0"/>
        <w:jc w:val="both"/>
        <w:rPr>
          <w:rFonts w:ascii="Times New Roman" w:hAnsi="Times New Roman" w:cs="Times New Roman"/>
          <w:sz w:val="24"/>
          <w:szCs w:val="24"/>
        </w:rPr>
      </w:pPr>
      <w:r>
        <w:rPr>
          <w:rFonts w:ascii="Times New Roman" w:hAnsi="Times New Roman"/>
          <w:sz w:val="24"/>
          <w:szCs w:val="24"/>
        </w:rPr>
        <w:t xml:space="preserve">II. - Przepisy niniejszej podsekcji mają zastosowanie do budowy budynków mieszkalnych, biurowych lub oświatowych na poziomie podstawowym lub średnim zwolnionych z wymogu składania wniosku o pozwolenie na budowę lub wcześniejszego zgłoszenia jako lekkie domki letniskowe w rozumieniu lit. </w:t>
      </w:r>
      <w:r>
        <w:rPr>
          <w:rFonts w:ascii="Times New Roman" w:hAnsi="Times New Roman"/>
          <w:sz w:val="24"/>
          <w:szCs w:val="24"/>
          <w:highlight w:val="yellow"/>
        </w:rPr>
        <w:t xml:space="preserve">b) art R*. 421-2 </w:t>
      </w:r>
      <w:r>
        <w:rPr>
          <w:rFonts w:ascii="Times New Roman" w:hAnsi="Times New Roman"/>
          <w:sz w:val="24"/>
          <w:szCs w:val="24"/>
        </w:rPr>
        <w:t xml:space="preserve">i tymczasowe budynki w rozumieniu art. </w:t>
      </w:r>
      <w:r>
        <w:rPr>
          <w:rFonts w:ascii="Times New Roman" w:hAnsi="Times New Roman"/>
          <w:sz w:val="24"/>
          <w:szCs w:val="24"/>
          <w:highlight w:val="yellow"/>
        </w:rPr>
        <w:t>R*. 421-5</w:t>
      </w:r>
      <w:r>
        <w:rPr>
          <w:rFonts w:ascii="Times New Roman" w:hAnsi="Times New Roman"/>
          <w:sz w:val="24"/>
          <w:szCs w:val="24"/>
        </w:rPr>
        <w:t xml:space="preserve"> kodeksu urbanistyki.</w:t>
      </w:r>
    </w:p>
    <w:p w14:paraId="2693E0B3" w14:textId="77777777" w:rsidR="00A51EA0" w:rsidRPr="00AC2428" w:rsidRDefault="00A51EA0" w:rsidP="00A51EA0">
      <w:pPr>
        <w:pStyle w:val="ListParagraph"/>
        <w:spacing w:after="0" w:line="240" w:lineRule="auto"/>
        <w:ind w:left="0"/>
        <w:jc w:val="both"/>
        <w:rPr>
          <w:rFonts w:ascii="Times New Roman" w:hAnsi="Times New Roman" w:cs="Times New Roman"/>
          <w:sz w:val="24"/>
          <w:szCs w:val="24"/>
        </w:rPr>
      </w:pPr>
    </w:p>
    <w:p w14:paraId="7A863FAF" w14:textId="2BAA1FF1" w:rsidR="00EC037D" w:rsidRPr="00AC2428" w:rsidRDefault="000E3CDC" w:rsidP="00A51EA0">
      <w:pPr>
        <w:jc w:val="both"/>
      </w:pPr>
      <w:r>
        <w:t>III. - Z wyłączeniem budynków, w których roboty zakończono przed dniem 31 grudnia 2020 r., budynki będące przedmiotem zgłoszenia potwierdzającego zakończenie robót po dniu 31 grudnia 2025 r. muszą być zgodne z przepisami niniejszego artykułu, niezależnie od daty złożenia wniosku o pozwolenie na budowę lub wstępnego zgłoszenia robót.</w:t>
      </w:r>
    </w:p>
    <w:p w14:paraId="1BB990D1" w14:textId="77777777" w:rsidR="00EC037D" w:rsidRPr="00AC2428" w:rsidRDefault="00EC037D" w:rsidP="00A51EA0">
      <w:pPr>
        <w:jc w:val="both"/>
      </w:pPr>
    </w:p>
    <w:p w14:paraId="6ACB6F89" w14:textId="7823B146" w:rsidR="001E5E7E" w:rsidRPr="00AC2428" w:rsidRDefault="000E3CDC" w:rsidP="00A51EA0">
      <w:pPr>
        <w:jc w:val="both"/>
      </w:pPr>
      <w:r>
        <w:t>IV. -</w:t>
      </w:r>
      <w:r>
        <w:rPr>
          <w:rFonts w:ascii="Calibri" w:hAnsi="Calibri"/>
          <w:sz w:val="22"/>
          <w:szCs w:val="22"/>
        </w:rPr>
        <w:t xml:space="preserve"> </w:t>
      </w:r>
      <w:r>
        <w:t>Przepisów niniejszej podsekcji nie stosuje się w Gwadelupie, Gujanie, Martynice, Reunion i Majotcie.</w:t>
      </w:r>
    </w:p>
    <w:p w14:paraId="1A1886C5" w14:textId="39F6F4C1" w:rsidR="009E3368" w:rsidRPr="00AC2428" w:rsidRDefault="009E3368" w:rsidP="00A51EA0">
      <w:pPr>
        <w:pStyle w:val="ListParagraph"/>
        <w:spacing w:after="0" w:line="240" w:lineRule="auto"/>
        <w:ind w:left="0"/>
        <w:jc w:val="both"/>
        <w:rPr>
          <w:rFonts w:ascii="Times New Roman" w:hAnsi="Times New Roman" w:cs="Times New Roman"/>
          <w:sz w:val="24"/>
          <w:szCs w:val="24"/>
        </w:rPr>
      </w:pPr>
    </w:p>
    <w:p w14:paraId="266F5561" w14:textId="3A64A079" w:rsidR="009E3368" w:rsidRPr="00AC2428" w:rsidRDefault="000E3CDC" w:rsidP="00A51EA0">
      <w:pPr>
        <w:jc w:val="both"/>
        <w:rPr>
          <w:color w:val="000000" w:themeColor="text1"/>
        </w:rPr>
      </w:pPr>
      <w:r>
        <w:rPr>
          <w:i/>
          <w:color w:val="000000" w:themeColor="text1"/>
        </w:rPr>
        <w:t>Artykuł R. 111-20-1</w:t>
      </w:r>
      <w:r>
        <w:rPr>
          <w:color w:val="000000" w:themeColor="text1"/>
        </w:rPr>
        <w:t xml:space="preserve">. - W przypadku tymczasowych budynków w rozumieniu art. </w:t>
      </w:r>
      <w:r>
        <w:rPr>
          <w:color w:val="000000" w:themeColor="text1"/>
          <w:highlight w:val="yellow"/>
        </w:rPr>
        <w:t>R*. 421-5</w:t>
      </w:r>
      <w:r>
        <w:rPr>
          <w:color w:val="000000" w:themeColor="text1"/>
        </w:rPr>
        <w:t xml:space="preserve"> kodeksu urbanistyki, których okres użytkowania przewidziano na mniej niż 2 lata, można wdrożyć alternatywne wymogi ustanowione rozporządzeniem w celu osiągnięcia niektórych minimalnych wyników ustanowionych w niniejszej podsekcji. Rozporządzenie to przyjmują minister właściwy do spraw energii i minister właściwy do spraw budownictwa.</w:t>
      </w:r>
    </w:p>
    <w:p w14:paraId="182B3B63" w14:textId="2DD7A559" w:rsidR="009E3368" w:rsidRPr="00AC2428" w:rsidRDefault="009E3368" w:rsidP="00A51EA0">
      <w:pPr>
        <w:jc w:val="both"/>
        <w:rPr>
          <w:color w:val="000000" w:themeColor="text1"/>
        </w:rPr>
      </w:pPr>
    </w:p>
    <w:p w14:paraId="2A1CD879" w14:textId="12238F09" w:rsidR="009E3368" w:rsidRPr="00AC2428" w:rsidRDefault="000E3CDC" w:rsidP="00A51EA0">
      <w:pPr>
        <w:jc w:val="both"/>
        <w:rPr>
          <w:color w:val="000000" w:themeColor="text1"/>
        </w:rPr>
      </w:pPr>
      <w:r>
        <w:rPr>
          <w:i/>
          <w:color w:val="000000" w:themeColor="text1"/>
        </w:rPr>
        <w:t>Artykuł R. 111-20-2.</w:t>
      </w:r>
      <w:r>
        <w:rPr>
          <w:color w:val="000000" w:themeColor="text1"/>
        </w:rPr>
        <w:t xml:space="preserve"> - W przypadku budynków o powierzchni poniżej 50 m2 oraz dobudowanych części budynków w zależności od ich cech można wdrożyć alternatywne wymogi ustanowione </w:t>
      </w:r>
      <w:r>
        <w:rPr>
          <w:color w:val="000000" w:themeColor="text1"/>
        </w:rPr>
        <w:lastRenderedPageBreak/>
        <w:t>rozporządzeniem w celu osiągnięcia niektórych minimalnych wyników ustanowionych w niniejszej podsekcji. Rozporządzenie to przyjmują minister właściwy do spraw energii i minister właściwy do spraw budownictwa.</w:t>
      </w:r>
    </w:p>
    <w:p w14:paraId="3F7A9601" w14:textId="77777777" w:rsidR="009E3368" w:rsidRPr="00AC2428" w:rsidRDefault="009E3368" w:rsidP="00A51EA0">
      <w:pPr>
        <w:jc w:val="both"/>
      </w:pPr>
    </w:p>
    <w:p w14:paraId="3859DC48" w14:textId="093D36C5" w:rsidR="009E3368" w:rsidRPr="00AC2428" w:rsidRDefault="000E3CDC" w:rsidP="00A51EA0">
      <w:pPr>
        <w:jc w:val="both"/>
      </w:pPr>
      <w:r>
        <w:rPr>
          <w:i/>
        </w:rPr>
        <w:t>Artykuł R. 111-20-3.</w:t>
      </w:r>
      <w:r>
        <w:t xml:space="preserve"> - W celu realizacji ogólnych celów ustanowionych w art. </w:t>
      </w:r>
      <w:r>
        <w:rPr>
          <w:highlight w:val="yellow"/>
        </w:rPr>
        <w:t>L. 111-9</w:t>
      </w:r>
      <w:r>
        <w:t xml:space="preserve"> [przyszłe art. L. 171-1 i L. 171-3] i z zastrzeżeniem przepisów art. </w:t>
      </w:r>
      <w:r>
        <w:rPr>
          <w:highlight w:val="yellow"/>
        </w:rPr>
        <w:t>R. 111-20-1 i R. 111-20-2</w:t>
      </w:r>
      <w:r>
        <w:t xml:space="preserve"> budowa każdego budynku lub części budynku objęta przepisami niniejszej podsekcji musi prowadzić do następujących wyników minimalnych:</w:t>
      </w:r>
    </w:p>
    <w:p w14:paraId="6E17111F" w14:textId="77777777" w:rsidR="009E3368" w:rsidRPr="00AC2428" w:rsidRDefault="009E3368" w:rsidP="00A51EA0">
      <w:pPr>
        <w:jc w:val="both"/>
      </w:pPr>
    </w:p>
    <w:p w14:paraId="6A6493F7" w14:textId="56102FA5" w:rsidR="009E3368" w:rsidRPr="00AC2428" w:rsidRDefault="000E3CDC" w:rsidP="00A51EA0">
      <w:pPr>
        <w:jc w:val="both"/>
      </w:pPr>
      <w:r>
        <w:t>1) zapotrzebowanie budynku na energię, obliczone dla zdefiniowanych warunków funkcjonowania, na potrzeby ogrzewania, chłodzenia i oświetlenia nie przekracza maksymalnego zapotrzebowania na energię;</w:t>
      </w:r>
    </w:p>
    <w:p w14:paraId="34EB79C6" w14:textId="77777777" w:rsidR="009E3368" w:rsidRPr="00AC2428" w:rsidRDefault="009E3368" w:rsidP="00A51EA0">
      <w:pPr>
        <w:jc w:val="both"/>
      </w:pPr>
    </w:p>
    <w:p w14:paraId="2F8D5475" w14:textId="442A554B" w:rsidR="009E3368" w:rsidRPr="00AC2428" w:rsidRDefault="000E3CDC" w:rsidP="00A51EA0">
      <w:pPr>
        <w:jc w:val="both"/>
      </w:pPr>
      <w:r>
        <w:t>2) zużycie energii pierwotnej i zużycie energii pierwotnej z zasobów nieodnawialnych budynku, obliczone dla zdefiniowanych warunków funkcjonowania, na potrzeby ogrzewania, chłodzenia, produkcji ciepłej wody użytkowej, oświetlenia, przemieszczania się użytkowników wewnątrz budynku, dodatkowe urządzenia do ogrzewania, chłodzenia, produkcji ciepłej wody użytkowej i wentylacji nie przekraczają odpowiednio maksymalnego zużycia energii pierwotnej i maksymalnego zużycia energii pierwotnej z zasobów nieodnawialnych;</w:t>
      </w:r>
    </w:p>
    <w:p w14:paraId="728C6C06" w14:textId="77777777" w:rsidR="009E3368" w:rsidRPr="00AC2428" w:rsidRDefault="009E3368" w:rsidP="00A51EA0">
      <w:pPr>
        <w:jc w:val="both"/>
      </w:pPr>
    </w:p>
    <w:p w14:paraId="5BEDCB4B" w14:textId="05FF2211" w:rsidR="009E3368" w:rsidRPr="00AC2428" w:rsidRDefault="000E3CDC" w:rsidP="00A51EA0">
      <w:pPr>
        <w:jc w:val="both"/>
      </w:pPr>
      <w:r>
        <w:t>3) wpływ zużycia energii pierwotnej na zmianę klimatu, o którym mowa w pkt 2, nie przekracza maksymalnego wpływu;</w:t>
      </w:r>
    </w:p>
    <w:p w14:paraId="2E9F42E8" w14:textId="77777777" w:rsidR="009E3368" w:rsidRPr="00AC2428" w:rsidRDefault="009E3368" w:rsidP="00A51EA0">
      <w:pPr>
        <w:jc w:val="both"/>
      </w:pPr>
    </w:p>
    <w:p w14:paraId="4C9CDE54" w14:textId="41749479" w:rsidR="009E3368" w:rsidRPr="00AC2428" w:rsidRDefault="000E3CDC" w:rsidP="00A51EA0">
      <w:pPr>
        <w:jc w:val="both"/>
      </w:pPr>
      <w:r>
        <w:t>4) wpływ na zmianę klimatu związany z komponentami budynku, ich transportem, montażem, użytkowaniem, z wyłączeniem zapotrzebowania na energię i wodę na etapie eksploatacji budynku, ich konserwacją, naprawą, wymianą i końcem okresu eksploatacji, przeanalizowany dla całego cyklu eksploatacji budynku nie przekracza maksymalnego wpływu. Analiza tego wpływu uwzględnia składowanie podczas okresu eksploatacji budynku dwutlenku węgla pochodzącego z atmosfery oraz koszty i zyski związane z odzyskiem komponentów po zakończeniu eksploatacji;</w:t>
      </w:r>
    </w:p>
    <w:p w14:paraId="75B6FB8C" w14:textId="77777777" w:rsidR="009E3368" w:rsidRPr="00AC2428" w:rsidRDefault="009E3368" w:rsidP="00A51EA0">
      <w:pPr>
        <w:jc w:val="both"/>
      </w:pPr>
    </w:p>
    <w:p w14:paraId="390A0D70" w14:textId="07C2AD6D" w:rsidR="009E3368" w:rsidRPr="00AC2428" w:rsidRDefault="000E3CDC" w:rsidP="00A51EA0">
      <w:pPr>
        <w:jc w:val="both"/>
      </w:pPr>
      <w:r>
        <w:t>5) liczba stopniogodzin braku komfortu w okresie letnim nie przekracza maksymalnej liczby stopniogodzin braku komfortu w okresie letnim;</w:t>
      </w:r>
    </w:p>
    <w:p w14:paraId="466E278A" w14:textId="41B0956E" w:rsidR="00154360" w:rsidRPr="00AC2428" w:rsidRDefault="00154360" w:rsidP="00A51EA0">
      <w:pPr>
        <w:jc w:val="both"/>
      </w:pPr>
    </w:p>
    <w:p w14:paraId="1CA381FE" w14:textId="631C0482" w:rsidR="00154360" w:rsidRPr="00AC2428" w:rsidRDefault="000E3CDC" w:rsidP="00A51EA0">
      <w:pPr>
        <w:jc w:val="both"/>
      </w:pPr>
      <w:r>
        <w:t>6) wpływ budynku na zmianę klimatu, przeanalizowany dla całego cyklu jego eksploatacji, oblicza się orientacyjnie. Analiza tego wpływu uwzględnia składowanie podczas okresu eksploatacji budynku dwutlenku węgla pochodzącego z atmosfery oraz koszty i zyski związane z odzyskiem komponentów po zakończeniu eksploatacji;</w:t>
      </w:r>
    </w:p>
    <w:p w14:paraId="5471B520" w14:textId="77777777" w:rsidR="00154360" w:rsidRPr="00AC2428" w:rsidRDefault="00154360" w:rsidP="00A51EA0">
      <w:pPr>
        <w:jc w:val="both"/>
      </w:pPr>
    </w:p>
    <w:p w14:paraId="5C9F95DD" w14:textId="79CF51C6" w:rsidR="00154360" w:rsidRPr="00AC2428" w:rsidRDefault="000E3CDC" w:rsidP="00A51EA0">
      <w:pPr>
        <w:jc w:val="both"/>
      </w:pPr>
      <w:r>
        <w:t>7) ilość dwutlenku węgla pochodzącego z atmosfery i składowanego w budynku oblicza się orientacyjnie;</w:t>
      </w:r>
    </w:p>
    <w:p w14:paraId="47BEB761" w14:textId="293E7873" w:rsidR="00154360" w:rsidRPr="00AC2428" w:rsidRDefault="00154360" w:rsidP="00A51EA0">
      <w:pPr>
        <w:jc w:val="both"/>
      </w:pPr>
    </w:p>
    <w:p w14:paraId="24EFB0F2" w14:textId="7408F505" w:rsidR="001C46EC" w:rsidRPr="00AC2428" w:rsidRDefault="000E3CDC" w:rsidP="00A51EA0">
      <w:pPr>
        <w:jc w:val="both"/>
      </w:pPr>
      <w:r>
        <w:t xml:space="preserve">Wyrażenie „komponenty” w pkt 4 niniejszego artykułu oznacza „wyroby budowlane”, „wyroby wykończeniowe” oraz „urządzenia elektryczne, elektroniczne i klimatyzacyjne” zgodnie z następującymi definicjami: „wyroby budowlane” oznaczają wyroby trwale wbudowane w konstrukcję budynku lub części budynku; „wyroby wykończeniowe” oznaczają wyroby służące do pokrywania ścian, posadzek i sufitów; „urządzenia elektryczne, elektroniczne i klimatyzacyjne” oznaczają systemy techniczne zintegrowane z budynkiem lub częścią budynku bądź gruntem, na którym jest zbudowany, przyczyniające się do działania budynku do celów ogrzewania, chłodzenia, wentylacji, lokalnej produkcji energii, oświetlenia, ciepłej wody użytkowej i innych systemów związanych z kanalizacją, bezpieczeństwem, ochroną przeciwpożarową, </w:t>
      </w:r>
      <w:r>
        <w:lastRenderedPageBreak/>
        <w:t>przemieszczaniem się użytkowników wewnątrz budynku, automatyzacją i regulacją budynku, sieciami energetycznymi i komunikacyjnymi.</w:t>
      </w:r>
    </w:p>
    <w:p w14:paraId="59C1009B" w14:textId="77777777" w:rsidR="00154360" w:rsidRPr="00AC2428" w:rsidRDefault="00154360" w:rsidP="00A51EA0">
      <w:pPr>
        <w:jc w:val="both"/>
      </w:pPr>
    </w:p>
    <w:p w14:paraId="2D7F6E9B" w14:textId="4B2F69C7" w:rsidR="00154360" w:rsidRPr="00AC2428" w:rsidRDefault="000E3CDC" w:rsidP="00A51EA0">
      <w:pPr>
        <w:jc w:val="both"/>
      </w:pPr>
      <w:r>
        <w:t>Przepisy pkt 1–3, 5 i 6 niniejszego artykułu mają zastosowanie tylko do części budynku, które przy normalnym użytkowaniu ogrzewa się do temperatury przekraczającej 12°C lub schładza do temperatury poniżej 30°C oraz do powiązanych parkingów.</w:t>
      </w:r>
    </w:p>
    <w:p w14:paraId="48ABBC18" w14:textId="77777777" w:rsidR="00154360" w:rsidRPr="00AC2428" w:rsidRDefault="00154360" w:rsidP="00A51EA0">
      <w:pPr>
        <w:jc w:val="both"/>
      </w:pPr>
    </w:p>
    <w:p w14:paraId="0CC2FCAA" w14:textId="306CAF43" w:rsidR="00154360" w:rsidRPr="00AC2428" w:rsidRDefault="000E3CDC" w:rsidP="00A51EA0">
      <w:pPr>
        <w:jc w:val="both"/>
        <w:rPr>
          <w:bCs/>
        </w:rPr>
      </w:pPr>
      <w:r>
        <w:t xml:space="preserve">Poszczególne wartości maksymalne, o których mowa w pkt 1–5, określa rozporządzenie ministra właściwego do spraw energii i ministra właściwego do spraw budownictwa, w zależności od kategorii budynku i jego lokalizacji. Ustanawia ono również zmiany wartości maksymalnych, o których mowa w pkt 3 i 4, w celu korzystania z systemów energetycznych i sposobów budowania o niskim poziomie emisji gazów cieplarnianych, które będą stosowane od </w:t>
      </w:r>
      <w:r>
        <w:rPr>
          <w:highlight w:val="yellow"/>
        </w:rPr>
        <w:t>1 lipca 2024 r., 1 lipca 2027 i 1 lipca 2030 r.</w:t>
      </w:r>
    </w:p>
    <w:p w14:paraId="66CD3585" w14:textId="77777777" w:rsidR="002E4886" w:rsidRPr="00AC2428" w:rsidRDefault="002E4886" w:rsidP="00A51EA0">
      <w:pPr>
        <w:jc w:val="both"/>
        <w:rPr>
          <w:b/>
          <w:bCs/>
        </w:rPr>
      </w:pPr>
    </w:p>
    <w:p w14:paraId="4993B9D8" w14:textId="75B023D8" w:rsidR="00154360" w:rsidRPr="00AC2428" w:rsidRDefault="000E3CDC" w:rsidP="00A51EA0">
      <w:pPr>
        <w:jc w:val="both"/>
      </w:pPr>
      <w:r>
        <w:rPr>
          <w:i/>
        </w:rPr>
        <w:t>Artykuł R. 111-20-4</w:t>
      </w:r>
      <w:r>
        <w:t>. - Rozporządzenie ministra właściwego do spraw energii i ministra właściwego do spraw budownictwa określa, w zależności od kategorii budynku i jego lokalizacji, minimalną charakterystykę techniczną niektórych komponentów lub zespołów komponentów budynku związanych z charakterystyką energetyczną i środowiskową, jakością warunków sanitarnych lub komfortem termicznym.</w:t>
      </w:r>
    </w:p>
    <w:p w14:paraId="434D734D" w14:textId="77777777" w:rsidR="00154360" w:rsidRPr="00AC2428" w:rsidRDefault="00154360" w:rsidP="00A51EA0">
      <w:pPr>
        <w:jc w:val="both"/>
        <w:rPr>
          <w:b/>
        </w:rPr>
      </w:pPr>
    </w:p>
    <w:p w14:paraId="6644CA27" w14:textId="3A3F7F5D" w:rsidR="00154360" w:rsidRPr="00AC2428" w:rsidRDefault="000E3CDC" w:rsidP="00A51EA0">
      <w:pPr>
        <w:jc w:val="both"/>
        <w:rPr>
          <w:color w:val="000000"/>
        </w:rPr>
      </w:pPr>
      <w:r>
        <w:rPr>
          <w:i/>
        </w:rPr>
        <w:t>Artykuł R. 111-20-5</w:t>
      </w:r>
      <w:r>
        <w:rPr>
          <w:i/>
          <w:color w:val="000000"/>
        </w:rPr>
        <w:t>.</w:t>
      </w:r>
      <w:r>
        <w:rPr>
          <w:color w:val="000000"/>
        </w:rPr>
        <w:t xml:space="preserve"> - I. - Osiągnięcie wyników minimalnych ustanowionych w art. </w:t>
      </w:r>
      <w:r>
        <w:rPr>
          <w:highlight w:val="yellow"/>
        </w:rPr>
        <w:t>R. 111-20-3</w:t>
      </w:r>
      <w:r>
        <w:t xml:space="preserve"> </w:t>
      </w:r>
      <w:r>
        <w:rPr>
          <w:color w:val="000000"/>
        </w:rPr>
        <w:t xml:space="preserve">i spełnienie niektórych wymogów minimalnych ustanowionych w art. </w:t>
      </w:r>
      <w:r>
        <w:rPr>
          <w:highlight w:val="yellow"/>
        </w:rPr>
        <w:t>R. 111-20-4</w:t>
      </w:r>
      <w:r>
        <w:rPr>
          <w:color w:val="000000"/>
        </w:rPr>
        <w:t xml:space="preserve"> weryfikuje się według metody obliczania określającej w szczególności stosowane reguły i założenia obliczeniowe. </w:t>
      </w:r>
    </w:p>
    <w:p w14:paraId="39534DB8" w14:textId="77777777" w:rsidR="00EC037D" w:rsidRPr="00AC2428" w:rsidRDefault="00EC037D" w:rsidP="00A51EA0">
      <w:pPr>
        <w:pBdr>
          <w:top w:val="nil"/>
          <w:left w:val="nil"/>
          <w:bottom w:val="nil"/>
          <w:right w:val="nil"/>
          <w:between w:val="nil"/>
        </w:pBdr>
        <w:suppressAutoHyphens w:val="0"/>
        <w:jc w:val="both"/>
      </w:pPr>
    </w:p>
    <w:p w14:paraId="780C265C" w14:textId="4A331F19" w:rsidR="00154360" w:rsidRPr="00AC2428" w:rsidRDefault="000E3CDC" w:rsidP="00A51EA0">
      <w:pPr>
        <w:pBdr>
          <w:top w:val="nil"/>
          <w:left w:val="nil"/>
          <w:bottom w:val="nil"/>
          <w:right w:val="nil"/>
          <w:between w:val="nil"/>
        </w:pBdr>
        <w:suppressAutoHyphens w:val="0"/>
        <w:jc w:val="both"/>
        <w:rPr>
          <w:color w:val="000000"/>
        </w:rPr>
      </w:pPr>
      <w:r>
        <w:rPr>
          <w:color w:val="000000"/>
        </w:rPr>
        <w:t xml:space="preserve">II. - W przypadku niektórych kategorii budynków można zaproponować rozwiązanie techniczne, które po zatwierdzeniu przez ministra właściwego do spraw energii i ministra właściwego do spraw budownictwa zapewni spełnienie wymogów niniejszej podsekcji. </w:t>
      </w:r>
    </w:p>
    <w:p w14:paraId="533813FC" w14:textId="77777777" w:rsidR="00EC037D" w:rsidRPr="00AC2428" w:rsidRDefault="00EC037D" w:rsidP="00A51EA0">
      <w:pPr>
        <w:pBdr>
          <w:top w:val="nil"/>
          <w:left w:val="nil"/>
          <w:bottom w:val="nil"/>
          <w:right w:val="nil"/>
          <w:between w:val="nil"/>
        </w:pBdr>
        <w:suppressAutoHyphens w:val="0"/>
        <w:jc w:val="both"/>
      </w:pPr>
    </w:p>
    <w:p w14:paraId="02F713BC" w14:textId="081E3ACA" w:rsidR="00154360" w:rsidRPr="00AC2428" w:rsidRDefault="000E3CDC" w:rsidP="00A51EA0">
      <w:pPr>
        <w:pBdr>
          <w:top w:val="nil"/>
          <w:left w:val="nil"/>
          <w:bottom w:val="nil"/>
          <w:right w:val="nil"/>
          <w:between w:val="nil"/>
        </w:pBdr>
        <w:suppressAutoHyphens w:val="0"/>
        <w:jc w:val="both"/>
        <w:rPr>
          <w:color w:val="000000"/>
        </w:rPr>
      </w:pPr>
      <w:r>
        <w:rPr>
          <w:color w:val="000000"/>
        </w:rPr>
        <w:t xml:space="preserve">III. - W przypadku gdy nie można zastosować metody obliczania ze względu na specyfikę projektu, systemu bądź sposobu tworzenia lub późniejszej modyfikacji zużywanej energii dla sieci wytwarzania ciepła lub zimna, można dostosować metodę weryfikacji osiągnięcia wyników do danego projektu, systemu lub sieci po zatwierdzeniu przez ministra właściwego do spraw energii i ministra właściwego do spraw budownictwa. </w:t>
      </w:r>
    </w:p>
    <w:p w14:paraId="70144FC0" w14:textId="77777777" w:rsidR="00703D48" w:rsidRPr="00AC2428" w:rsidRDefault="00703D48" w:rsidP="00A51EA0">
      <w:pPr>
        <w:pBdr>
          <w:top w:val="nil"/>
          <w:left w:val="nil"/>
          <w:bottom w:val="nil"/>
          <w:right w:val="nil"/>
          <w:between w:val="nil"/>
        </w:pBdr>
        <w:suppressAutoHyphens w:val="0"/>
        <w:jc w:val="both"/>
        <w:rPr>
          <w:color w:val="000000"/>
        </w:rPr>
      </w:pPr>
    </w:p>
    <w:p w14:paraId="5BBCD130" w14:textId="52D273E3" w:rsidR="00154360" w:rsidRPr="00AC2428" w:rsidRDefault="00154360" w:rsidP="00A51EA0">
      <w:pPr>
        <w:pBdr>
          <w:top w:val="nil"/>
          <w:left w:val="nil"/>
          <w:bottom w:val="nil"/>
          <w:right w:val="nil"/>
          <w:between w:val="nil"/>
        </w:pBdr>
        <w:jc w:val="both"/>
        <w:rPr>
          <w:color w:val="000000"/>
        </w:rPr>
      </w:pPr>
      <w:r>
        <w:rPr>
          <w:color w:val="000000"/>
        </w:rPr>
        <w:t>Rozporządzenie ministra właściwego do spraw energii i ministra właściwego do spraw budownictwa ustanawia metodę, o której mowa w ust. I, i określa warunki stosowania dostosowań przewidzianych w ust. II i III.</w:t>
      </w:r>
    </w:p>
    <w:p w14:paraId="00BDE231" w14:textId="0F9B1432" w:rsidR="00154360" w:rsidRPr="00AC2428" w:rsidRDefault="00154360" w:rsidP="00A51EA0">
      <w:pPr>
        <w:pBdr>
          <w:top w:val="nil"/>
          <w:left w:val="nil"/>
          <w:bottom w:val="nil"/>
          <w:right w:val="nil"/>
          <w:between w:val="nil"/>
        </w:pBdr>
        <w:jc w:val="both"/>
        <w:rPr>
          <w:color w:val="000000"/>
        </w:rPr>
      </w:pPr>
    </w:p>
    <w:p w14:paraId="4A3F5FA2" w14:textId="715764C6" w:rsidR="00154360" w:rsidRPr="00AC2428" w:rsidRDefault="000E3CDC" w:rsidP="00A51EA0">
      <w:pPr>
        <w:jc w:val="both"/>
      </w:pPr>
      <w:r>
        <w:rPr>
          <w:i/>
        </w:rPr>
        <w:t>Artykuł R. 111-20-6.</w:t>
      </w:r>
      <w:r>
        <w:t xml:space="preserve"> - Rozporządzenie ministra właściwego do spraw energii i ministra właściwego do spraw budownictwa określa dane, których można używać w celu potwierdzenia spełnienia wymogów art. </w:t>
      </w:r>
      <w:r>
        <w:rPr>
          <w:highlight w:val="yellow"/>
        </w:rPr>
        <w:t>R. 111-20-3 do R. 111-20-5,</w:t>
      </w:r>
      <w:r>
        <w:t xml:space="preserve"> i ustanawia zasady korzystania z tych danych. </w:t>
      </w:r>
    </w:p>
    <w:p w14:paraId="43043D93" w14:textId="77777777" w:rsidR="00FF74AB" w:rsidRPr="00AC2428" w:rsidRDefault="00FF74AB" w:rsidP="00A51EA0">
      <w:pPr>
        <w:jc w:val="both"/>
      </w:pPr>
    </w:p>
    <w:p w14:paraId="45BEAD51" w14:textId="11BC7624" w:rsidR="00154360" w:rsidRPr="00AC2428" w:rsidRDefault="000E3CDC" w:rsidP="00A51EA0">
      <w:pPr>
        <w:jc w:val="both"/>
      </w:pPr>
      <w:r>
        <w:rPr>
          <w:i/>
        </w:rPr>
        <w:t>Artykuł R. 111-20-7.</w:t>
      </w:r>
      <w:r>
        <w:t xml:space="preserve"> - Rozporządzenie ministra właściwego do spraw energii i ministra właściwego do spraw budownictwa ustanawia zasady przekazywania danych wykorzystywanych do obliczania wartości, o których mowa w art. </w:t>
      </w:r>
      <w:r>
        <w:rPr>
          <w:highlight w:val="yellow"/>
        </w:rPr>
        <w:t>R. 111-20-3</w:t>
      </w:r>
      <w:r>
        <w:t xml:space="preserve"> pkt 1–7, zgodnie z art. </w:t>
      </w:r>
      <w:r>
        <w:rPr>
          <w:highlight w:val="yellow"/>
        </w:rPr>
        <w:t>R. 111-20-6</w:t>
      </w:r>
      <w:r>
        <w:t xml:space="preserve">. Inwestor przechowuje te dane po zakończeniu robót i przez co najmniej 6 lat od złożenia zgłoszenia przewidzianego w art. </w:t>
      </w:r>
      <w:r>
        <w:rPr>
          <w:highlight w:val="yellow"/>
        </w:rPr>
        <w:t>L. 462-1</w:t>
      </w:r>
      <w:r>
        <w:t xml:space="preserve"> kodeksu urbanistyki. Otrzymuje je pierwszy nabywca budynku oraz, do końca okresu ich przechowywania, na wniosek kolejni nabywcy, osoby uprawnione, o których mowa w art. </w:t>
      </w:r>
      <w:r>
        <w:rPr>
          <w:highlight w:val="yellow"/>
        </w:rPr>
        <w:t>L. 151-1</w:t>
      </w:r>
      <w:r>
        <w:t xml:space="preserve"> </w:t>
      </w:r>
      <w:r>
        <w:rPr>
          <w:highlight w:val="yellow"/>
        </w:rPr>
        <w:t xml:space="preserve">[przyszły L. 181-1] </w:t>
      </w:r>
      <w:r>
        <w:t xml:space="preserve">kodeksu budownictwa i </w:t>
      </w:r>
      <w:r>
        <w:lastRenderedPageBreak/>
        <w:t xml:space="preserve">mieszkalnictwa, każda osoba odpowiedzialna za sporządzenie zaświadczenia o uwzględnieniu zasad budowlanych z niniejszej podsekcji oraz każda osoba odpowiedzialna za opracowanie diagnozy charakterystyki energetycznej, o której mowa w art. </w:t>
      </w:r>
      <w:r>
        <w:rPr>
          <w:highlight w:val="yellow"/>
        </w:rPr>
        <w:t>L. 134-2 [przyszły L. 126-27</w:t>
      </w:r>
      <w:r>
        <w:t>] kodeksu budownictwa i mieszkalnictwa.</w:t>
      </w:r>
    </w:p>
    <w:p w14:paraId="616C0E7E" w14:textId="0974ECAA" w:rsidR="00FF74AB" w:rsidRPr="00AC2428" w:rsidRDefault="00FF74AB" w:rsidP="00A51EA0">
      <w:pPr>
        <w:jc w:val="both"/>
      </w:pPr>
    </w:p>
    <w:p w14:paraId="46B722E3" w14:textId="26859DCA" w:rsidR="00154360" w:rsidRPr="00AC2428" w:rsidRDefault="000E3CDC" w:rsidP="00A51EA0">
      <w:pPr>
        <w:jc w:val="both"/>
        <w:rPr>
          <w:i/>
        </w:rPr>
      </w:pPr>
      <w:r>
        <w:rPr>
          <w:i/>
        </w:rPr>
        <w:t xml:space="preserve">Podsekcja 2: badania i procedury powiązane z konstrukcjami budynków lub części budynków mieszkalnych, biurowych lub oświatowych na poziomie podstawowym lub średnim </w:t>
      </w:r>
    </w:p>
    <w:p w14:paraId="103C14DE" w14:textId="77777777" w:rsidR="00FF74AB" w:rsidRPr="00AC2428" w:rsidRDefault="00FF74AB" w:rsidP="00A51EA0">
      <w:pPr>
        <w:jc w:val="both"/>
      </w:pPr>
    </w:p>
    <w:p w14:paraId="7AC24B55" w14:textId="510AACE3" w:rsidR="00154360" w:rsidRPr="00AC2428" w:rsidRDefault="00154360" w:rsidP="00A51EA0">
      <w:pPr>
        <w:jc w:val="both"/>
      </w:pPr>
      <w:r>
        <w:rPr>
          <w:highlight w:val="yellow"/>
        </w:rPr>
        <w:t>[Treść niniejszej sekcji będzie podlegała zmianom w ramach dodatkowych konsultacji]</w:t>
      </w:r>
    </w:p>
    <w:p w14:paraId="0AD0F92A" w14:textId="77777777" w:rsidR="00154360" w:rsidRPr="00AC2428" w:rsidRDefault="00154360" w:rsidP="00A51EA0">
      <w:pPr>
        <w:jc w:val="both"/>
      </w:pPr>
    </w:p>
    <w:p w14:paraId="4DF6D8A0" w14:textId="7D4ADCB3" w:rsidR="00154360" w:rsidRPr="00AC2428" w:rsidRDefault="000E3CDC" w:rsidP="00A51EA0">
      <w:pPr>
        <w:jc w:val="both"/>
      </w:pPr>
      <w:r>
        <w:rPr>
          <w:i/>
        </w:rPr>
        <w:t>Artykuł R. 111-20-8</w:t>
      </w:r>
      <w:r>
        <w:t xml:space="preserve">. - I. - Termin, po upływie którego decyzję o akceptacji uznaje się za dorozumianą, wynosi trzy miesiące w odniesieniu do wniosków złożonych na podstawie art. </w:t>
      </w:r>
      <w:r>
        <w:rPr>
          <w:highlight w:val="yellow"/>
        </w:rPr>
        <w:t>R. 111-20</w:t>
      </w:r>
      <w:r>
        <w:t>, dotyczących:</w:t>
      </w:r>
    </w:p>
    <w:p w14:paraId="45DCFE5B" w14:textId="77777777" w:rsidR="00154360" w:rsidRPr="00AC2428" w:rsidRDefault="00154360" w:rsidP="00A51EA0">
      <w:pPr>
        <w:jc w:val="both"/>
      </w:pPr>
    </w:p>
    <w:p w14:paraId="5D673FDE" w14:textId="15B97E39" w:rsidR="00154360" w:rsidRPr="00AC2428" w:rsidRDefault="000E3CDC" w:rsidP="00A51EA0">
      <w:pPr>
        <w:jc w:val="both"/>
      </w:pPr>
      <w:r>
        <w:t>1) zatwierdzenia podmiotu obsługującego środek z zakresu szczelności powietrznej budynku;</w:t>
      </w:r>
    </w:p>
    <w:p w14:paraId="1FF528DD" w14:textId="77777777" w:rsidR="00154360" w:rsidRPr="00AC2428" w:rsidRDefault="00154360" w:rsidP="00A51EA0">
      <w:pPr>
        <w:jc w:val="both"/>
      </w:pPr>
    </w:p>
    <w:p w14:paraId="5D0A0203" w14:textId="2A290B26" w:rsidR="00154360" w:rsidRPr="00AC2428" w:rsidRDefault="000E3CDC" w:rsidP="00A51EA0">
      <w:pPr>
        <w:jc w:val="both"/>
      </w:pPr>
      <w:r>
        <w:t xml:space="preserve">2) zawarcia porozumienia z podmiotem dotyczącego wydania etykiety „wysokiej charakterystyki energetycznej i środowiskowej” w rozumieniu art. </w:t>
      </w:r>
      <w:r>
        <w:rPr>
          <w:highlight w:val="yellow"/>
        </w:rPr>
        <w:t>R. 111-20-23</w:t>
      </w:r>
      <w:r>
        <w:t>.</w:t>
      </w:r>
    </w:p>
    <w:p w14:paraId="63FC092D" w14:textId="77777777" w:rsidR="00154360" w:rsidRPr="00AC2428" w:rsidRDefault="00154360" w:rsidP="00A51EA0">
      <w:pPr>
        <w:jc w:val="both"/>
      </w:pPr>
    </w:p>
    <w:p w14:paraId="709EB454" w14:textId="56B27583" w:rsidR="00154360" w:rsidRPr="00AC2428" w:rsidRDefault="000E3CDC" w:rsidP="00A51EA0">
      <w:pPr>
        <w:jc w:val="both"/>
      </w:pPr>
      <w:r>
        <w:t xml:space="preserve">II. - Termin, po upływie którego decyzję o akceptacji uznaje się za dorozumianą, wynosi cztery miesiące w odniesieniu do wniosków o zatwierdzenie rozwiązania technicznego zapewniającego spełnienie wymogów podsekcji 1, złożonych na podstawie </w:t>
      </w:r>
      <w:r>
        <w:rPr>
          <w:highlight w:val="yellow"/>
        </w:rPr>
        <w:t>art. R. 111-20-5 ust. II</w:t>
      </w:r>
      <w:r>
        <w:t>.</w:t>
      </w:r>
    </w:p>
    <w:p w14:paraId="1378F613" w14:textId="77777777" w:rsidR="00154360" w:rsidRPr="00AC2428" w:rsidRDefault="00154360" w:rsidP="00A51EA0">
      <w:pPr>
        <w:jc w:val="both"/>
      </w:pPr>
    </w:p>
    <w:p w14:paraId="2284FE9C" w14:textId="17530127" w:rsidR="00154360" w:rsidRPr="00AC2428" w:rsidRDefault="000E3CDC" w:rsidP="00A51EA0">
      <w:pPr>
        <w:jc w:val="both"/>
      </w:pPr>
      <w:r>
        <w:t xml:space="preserve">III. - Termin, po upływie którego decyzję o akceptacji uznaje się za dorozumianą, wynosi sześć miesięcy w odniesieniu do wniosków o zatwierdzenie charakterystyki sieci wytwarzania ciepła lub zimna, złożonych na podstawie </w:t>
      </w:r>
      <w:r>
        <w:rPr>
          <w:highlight w:val="yellow"/>
        </w:rPr>
        <w:t>art. R. 111-20-5 ust. III</w:t>
      </w:r>
      <w:r>
        <w:t>.</w:t>
      </w:r>
    </w:p>
    <w:p w14:paraId="632879FE" w14:textId="77777777" w:rsidR="00154360" w:rsidRPr="00AC2428" w:rsidRDefault="00154360" w:rsidP="00A51EA0">
      <w:pPr>
        <w:jc w:val="both"/>
      </w:pPr>
    </w:p>
    <w:p w14:paraId="22DCDE84" w14:textId="665FF17C" w:rsidR="00154360" w:rsidRPr="00AC2428" w:rsidRDefault="000E3CDC" w:rsidP="00A51EA0">
      <w:pPr>
        <w:jc w:val="both"/>
      </w:pPr>
      <w:r>
        <w:t xml:space="preserve">IV. - Termin, po upływie którego decyzję o akceptacji uznaje się za dorozumianą, wynosi dziewięć miesięcy w odniesieniu do wniosków o zatwierdzenie oprogramowania użytkowego na potrzeby przepisów dotyczących charakterystyki termicznej, złożonych na podstawie </w:t>
      </w:r>
      <w:r>
        <w:rPr>
          <w:highlight w:val="yellow"/>
        </w:rPr>
        <w:t xml:space="preserve">art. R. 111-20-5 </w:t>
      </w:r>
      <w:r>
        <w:t>.</w:t>
      </w:r>
    </w:p>
    <w:p w14:paraId="0E512E3F" w14:textId="77777777" w:rsidR="00154360" w:rsidRPr="00AC2428" w:rsidRDefault="00154360" w:rsidP="00A51EA0">
      <w:pPr>
        <w:jc w:val="both"/>
      </w:pPr>
    </w:p>
    <w:p w14:paraId="5B67D484" w14:textId="09C0045B" w:rsidR="00154360" w:rsidRPr="00AC2428" w:rsidRDefault="000E3CDC" w:rsidP="00A51EA0">
      <w:pPr>
        <w:jc w:val="both"/>
      </w:pPr>
      <w:r>
        <w:t xml:space="preserve">V. - Termin, po upływie którego decyzję o akceptacji uznaje się za dorozumianą, wynosi dwanaście miesięcy w odniesieniu do wniosków o zatwierdzenie metody potwierdzenia charakterystyki systemów w odniesieniu do wymogów dotyczących charakterystyki termicznej, złożonych na podstawie </w:t>
      </w:r>
      <w:r>
        <w:rPr>
          <w:highlight w:val="yellow"/>
        </w:rPr>
        <w:t>art. R. 111-20-5 akapit III</w:t>
      </w:r>
      <w:r>
        <w:t>.</w:t>
      </w:r>
    </w:p>
    <w:p w14:paraId="3950BD8C" w14:textId="38295321" w:rsidR="00154360" w:rsidRPr="00AC2428" w:rsidRDefault="00154360" w:rsidP="00A51EA0">
      <w:pPr>
        <w:jc w:val="both"/>
      </w:pPr>
    </w:p>
    <w:p w14:paraId="1733B79B" w14:textId="20795888" w:rsidR="00154360" w:rsidRPr="00AC2428" w:rsidRDefault="000E3CDC" w:rsidP="00A51EA0">
      <w:pPr>
        <w:jc w:val="both"/>
        <w:rPr>
          <w:i/>
          <w:highlight w:val="yellow"/>
        </w:rPr>
      </w:pPr>
      <w:r>
        <w:rPr>
          <w:i/>
        </w:rPr>
        <w:t>Podsekcja 3: Wymogi dotyczące charakterystyki energetycznej mające zastosowanie do konstrukcji budynków lub części budynków nieobjętych podsekcją 1</w:t>
      </w:r>
    </w:p>
    <w:p w14:paraId="61B403D2" w14:textId="77777777" w:rsidR="00C92A23" w:rsidRPr="00AC2428" w:rsidRDefault="00C92A23" w:rsidP="00A51EA0">
      <w:pPr>
        <w:jc w:val="both"/>
      </w:pPr>
    </w:p>
    <w:p w14:paraId="39EB0667" w14:textId="31736987" w:rsidR="00154360" w:rsidRPr="00AC2428" w:rsidRDefault="000E3CDC" w:rsidP="00A51EA0">
      <w:pPr>
        <w:jc w:val="both"/>
      </w:pPr>
      <w:r>
        <w:rPr>
          <w:i/>
        </w:rPr>
        <w:t>Artykuł R. 111-20-9.</w:t>
      </w:r>
      <w:r>
        <w:t xml:space="preserve"> - Przepisy niniejszej podsekcji mają zastosowanie do wszystkich projektów konstrukcji budynków lub części budynków, w odniesieniu do których należy złożyć wniosek o pozwolenie na budowę lub wcześniejsze zgłoszenie, wymienionych w poniższym wykazie: </w:t>
      </w:r>
    </w:p>
    <w:p w14:paraId="08615F49"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placówki opieki nad małymi dziećmi; </w:t>
      </w:r>
    </w:p>
    <w:p w14:paraId="1A911A09"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strefy zakwaterowania w budynkach oświatowych na poziomie średnim;</w:t>
      </w:r>
    </w:p>
    <w:p w14:paraId="4BA08CAE"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dydaktyczne i badawcze budynki akademickie; </w:t>
      </w:r>
    </w:p>
    <w:p w14:paraId="6941DF00"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hotele; </w:t>
      </w:r>
    </w:p>
    <w:p w14:paraId="1F150381"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restauracje; </w:t>
      </w:r>
    </w:p>
    <w:p w14:paraId="0434330D"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obiekty handlowe; </w:t>
      </w:r>
    </w:p>
    <w:p w14:paraId="61971C43"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kluby fitness i sale sportowe, wraz z szatniami; </w:t>
      </w:r>
    </w:p>
    <w:p w14:paraId="7D242C6C"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placówki opieki zdrowotnej; </w:t>
      </w:r>
    </w:p>
    <w:p w14:paraId="6FC935A0"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domy seniora i placówki dla osób starszych wymagających opieki; </w:t>
      </w:r>
    </w:p>
    <w:p w14:paraId="151B27D9"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lastRenderedPageBreak/>
        <w:t xml:space="preserve">porty lotnicze; </w:t>
      </w:r>
    </w:p>
    <w:p w14:paraId="4DD478E3" w14:textId="77777777"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sądy, pałace sprawiedliwości; </w:t>
      </w:r>
    </w:p>
    <w:p w14:paraId="6B2E7A1F" w14:textId="68C84A43" w:rsidR="00154360" w:rsidRPr="00AC2428" w:rsidRDefault="00154360" w:rsidP="00A51EA0">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sz w:val="24"/>
          <w:szCs w:val="24"/>
        </w:rPr>
        <w:t xml:space="preserve">budynki o przeznaczeniu przemysłowym i rzemieślniczym. </w:t>
      </w:r>
    </w:p>
    <w:p w14:paraId="710FF969" w14:textId="77777777" w:rsidR="00154360" w:rsidRPr="00AC2428" w:rsidRDefault="00154360" w:rsidP="00A51EA0">
      <w:pPr>
        <w:jc w:val="both"/>
      </w:pPr>
    </w:p>
    <w:p w14:paraId="0AEB1B1A" w14:textId="43D0C6C0" w:rsidR="00154360" w:rsidRPr="00AC2428" w:rsidRDefault="000E3CDC" w:rsidP="00A51EA0">
      <w:pPr>
        <w:jc w:val="both"/>
      </w:pPr>
      <w:r>
        <w:rPr>
          <w:i/>
        </w:rPr>
        <w:t>Artykuł R. 111-20-10.</w:t>
      </w:r>
      <w:r>
        <w:t xml:space="preserve"> - I.- Konstrukcje budynków lub części budynków nieobjętych podsekcją 1 muszą być zgodne z charakterystyką termiczną i następującymi warunkami:</w:t>
      </w:r>
    </w:p>
    <w:p w14:paraId="7340DEBB" w14:textId="77777777" w:rsidR="00EC037D" w:rsidRPr="00AC2428" w:rsidRDefault="00EC037D" w:rsidP="00A51EA0">
      <w:pPr>
        <w:jc w:val="both"/>
      </w:pPr>
    </w:p>
    <w:p w14:paraId="787B7DCC" w14:textId="7B4A2990" w:rsidR="00154360" w:rsidRPr="00AC2428" w:rsidRDefault="000E3CDC" w:rsidP="00A51EA0">
      <w:pPr>
        <w:jc w:val="both"/>
      </w:pPr>
      <w:r>
        <w:t>1) zwyczajowe zużycie energii w budynku na potrzeby ogrzewania, chłodzenia, produkcji ciepłej wody użytkowej, oświetlenia, dodatkowych urządzeń do ogrzewania, chłodzenia, produkcji ciepłej wody użytkowej i wentylacji nie przekracza maksymalnego zużycia;</w:t>
      </w:r>
    </w:p>
    <w:p w14:paraId="1086F0EF" w14:textId="77777777" w:rsidR="00EC037D" w:rsidRPr="00AC2428" w:rsidRDefault="00EC037D" w:rsidP="00A51EA0">
      <w:pPr>
        <w:jc w:val="both"/>
      </w:pPr>
    </w:p>
    <w:p w14:paraId="3495F4A5" w14:textId="578D0B55" w:rsidR="00154360" w:rsidRPr="00AC2428" w:rsidRDefault="000E3CDC" w:rsidP="00A51EA0">
      <w:pPr>
        <w:jc w:val="both"/>
      </w:pPr>
      <w:r>
        <w:t>2) zwyczajowe zapotrzebowanie budynku na energię na potrzeby ogrzewania, chłodzenia i oświetlenia nie przekracza wartości maksymalnej;</w:t>
      </w:r>
    </w:p>
    <w:p w14:paraId="52BFCF16" w14:textId="77777777" w:rsidR="000E3CDC" w:rsidRPr="00AC2428" w:rsidRDefault="000E3CDC" w:rsidP="00A51EA0">
      <w:pPr>
        <w:jc w:val="both"/>
      </w:pPr>
    </w:p>
    <w:p w14:paraId="77D72964" w14:textId="3005509D" w:rsidR="00154360" w:rsidRPr="00AC2428" w:rsidRDefault="000E3CDC" w:rsidP="00A51EA0">
      <w:pPr>
        <w:jc w:val="both"/>
      </w:pPr>
      <w:r>
        <w:t>3) w przypadku niektórych typów budynków zwyczajowa temperatura wewnętrzna osiągana w lecie nie przekracza zwyczajowej temperatury wewnętrznej odniesienia.</w:t>
      </w:r>
    </w:p>
    <w:p w14:paraId="145BDE29" w14:textId="77777777" w:rsidR="00154360" w:rsidRPr="00AC2428" w:rsidRDefault="00154360" w:rsidP="00A51EA0">
      <w:pPr>
        <w:jc w:val="both"/>
      </w:pPr>
    </w:p>
    <w:p w14:paraId="2366960D" w14:textId="7E004130" w:rsidR="00154360" w:rsidRPr="00AC2428" w:rsidRDefault="000E3CDC" w:rsidP="00A51EA0">
      <w:pPr>
        <w:jc w:val="both"/>
      </w:pPr>
      <w:r>
        <w:t>II.- Rozporządzenie ministra właściwego do spraw energii i ministra właściwego do spraw budownictwa ustanawia, w zależności od kategorii budynków:</w:t>
      </w:r>
    </w:p>
    <w:p w14:paraId="6BBB6BA6" w14:textId="77777777" w:rsidR="00154360" w:rsidRPr="00AC2428" w:rsidRDefault="00154360" w:rsidP="00A51EA0">
      <w:pPr>
        <w:jc w:val="both"/>
      </w:pPr>
    </w:p>
    <w:p w14:paraId="31972B51" w14:textId="692180CB" w:rsidR="00154360" w:rsidRPr="00AC2428" w:rsidRDefault="000E3CDC" w:rsidP="00A51EA0">
      <w:pPr>
        <w:jc w:val="both"/>
      </w:pPr>
      <w:r>
        <w:t>1) charakterystykę termiczną wpływającą na charakterystykę energetyczną budynku;</w:t>
      </w:r>
    </w:p>
    <w:p w14:paraId="0F659DEB" w14:textId="193F268F" w:rsidR="00154360" w:rsidRPr="00AC2428" w:rsidRDefault="000E3CDC" w:rsidP="00A51EA0">
      <w:pPr>
        <w:jc w:val="both"/>
      </w:pPr>
      <w:r>
        <w:t>2) metodę obliczania zwyczajowego zużycia energii budynku i główne założenia uwzględniane w tej metodzie;</w:t>
      </w:r>
    </w:p>
    <w:p w14:paraId="4867EB88" w14:textId="251A61DE" w:rsidR="00154360" w:rsidRPr="00AC2428" w:rsidRDefault="000E3CDC" w:rsidP="00A51EA0">
      <w:pPr>
        <w:jc w:val="both"/>
      </w:pPr>
      <w:r>
        <w:t>3) wartość maksymalnego zużycia;</w:t>
      </w:r>
    </w:p>
    <w:p w14:paraId="55C38BDC" w14:textId="5668A2FC" w:rsidR="00154360" w:rsidRPr="00AC2428" w:rsidRDefault="000E3CDC" w:rsidP="00A51EA0">
      <w:pPr>
        <w:jc w:val="both"/>
      </w:pPr>
      <w:r>
        <w:t>4) metodę obliczania zwyczajowego zapotrzebowania budynku na energię na ogrzewanie, chłodzenie i oświetlenie oraz główne założenia uwzględniane w tej metodzie;</w:t>
      </w:r>
    </w:p>
    <w:p w14:paraId="49D94D64" w14:textId="450D6E7E" w:rsidR="00154360" w:rsidRPr="00AC2428" w:rsidRDefault="000E3CDC" w:rsidP="00A51EA0">
      <w:pPr>
        <w:jc w:val="both"/>
      </w:pPr>
      <w:r>
        <w:t>5) wartość maksymalnego zapotrzebowania na energię;</w:t>
      </w:r>
    </w:p>
    <w:p w14:paraId="307AC055" w14:textId="1BD6245C" w:rsidR="00154360" w:rsidRPr="00AC2428" w:rsidRDefault="000E3CDC" w:rsidP="00A51EA0">
      <w:pPr>
        <w:jc w:val="both"/>
      </w:pPr>
      <w:r>
        <w:t>6) budynki, w przypadku których zwyczajowa temperatura wewnętrzna osiągana w lecie nie musi być wyższa od zwyczajowej temperatury wewnętrznej odniesienia;</w:t>
      </w:r>
    </w:p>
    <w:p w14:paraId="70314FE6" w14:textId="32FBB584" w:rsidR="00154360" w:rsidRPr="00AC2428" w:rsidRDefault="000E3CDC" w:rsidP="00A51EA0">
      <w:pPr>
        <w:jc w:val="both"/>
      </w:pPr>
      <w:r>
        <w:t>7) dla budynków, o których mowa w ust. I pkt 3, metodę obliczania zwyczajowej temperatury wewnętrznej osiąganej w lecie;</w:t>
      </w:r>
    </w:p>
    <w:p w14:paraId="2ED30E49" w14:textId="2ACBBCB3" w:rsidR="00154360" w:rsidRPr="00AC2428" w:rsidRDefault="000E3CDC" w:rsidP="00A51EA0">
      <w:pPr>
        <w:jc w:val="both"/>
      </w:pPr>
      <w:r>
        <w:t>8) charakterystykę termiczną odniesienia do obliczenia zwyczajowej temperatury wewnętrznej odniesienia osiąganej w lecie,</w:t>
      </w:r>
    </w:p>
    <w:p w14:paraId="71D7D75D" w14:textId="646AD109" w:rsidR="00154360" w:rsidRPr="00AC2428" w:rsidRDefault="000E3CDC" w:rsidP="00A51EA0">
      <w:pPr>
        <w:jc w:val="both"/>
      </w:pPr>
      <w:r>
        <w:t>9) szczególne warunki oceny charakterystyki termicznej systemów lub inwestycji budowlanych, do których ze względu na ich specyfikę minimalna charakterystyka termiczna lub metody obliczania nie mają zastosowania;</w:t>
      </w:r>
    </w:p>
    <w:p w14:paraId="006E0A9E" w14:textId="14C8F145" w:rsidR="00154360" w:rsidRPr="00AC2428" w:rsidRDefault="000E3CDC" w:rsidP="00A51EA0">
      <w:pPr>
        <w:jc w:val="both"/>
      </w:pPr>
      <w:r>
        <w:t>10) warunki zatwierdzania stosowanych uproszczonych procedur i zasad pozwalających uznać za spełnione warunki określone w ust. I;</w:t>
      </w:r>
    </w:p>
    <w:p w14:paraId="66C0A4CE" w14:textId="3B6586B2" w:rsidR="00154360" w:rsidRPr="00AC2428" w:rsidRDefault="000E3CDC" w:rsidP="00A51EA0">
      <w:pPr>
        <w:jc w:val="both"/>
      </w:pPr>
      <w:r>
        <w:t xml:space="preserve">11) zasady przekazywania danych wykorzystywanych do tych obliczeń i ujawnianych na wniosek osobom upoważnionym, o których mowa w art. </w:t>
      </w:r>
      <w:r>
        <w:rPr>
          <w:highlight w:val="yellow"/>
        </w:rPr>
        <w:t>L. 151-1</w:t>
      </w:r>
      <w:r>
        <w:t xml:space="preserve">, każdemu nabywcy, każdej osobie odpowiedzialnej za sporządzenie zaświadczenia o stosowaniu przepisów dotyczących charakterystyki termicznej i każdej osobie odpowiedzialnej za sporządzenie diagnozy charakterystyki energetycznej, określonej w art. </w:t>
      </w:r>
      <w:r>
        <w:rPr>
          <w:highlight w:val="yellow"/>
        </w:rPr>
        <w:t>L. 134-2</w:t>
      </w:r>
      <w:r>
        <w:t>.</w:t>
      </w:r>
    </w:p>
    <w:p w14:paraId="077F68D0" w14:textId="77777777" w:rsidR="00154360" w:rsidRPr="00AC2428" w:rsidRDefault="00154360" w:rsidP="00A51EA0">
      <w:pPr>
        <w:jc w:val="both"/>
      </w:pPr>
    </w:p>
    <w:p w14:paraId="3DE4B9FF" w14:textId="529F20A6" w:rsidR="00154360" w:rsidRPr="00AC2428" w:rsidRDefault="00FC7497" w:rsidP="00A51EA0">
      <w:pPr>
        <w:jc w:val="both"/>
      </w:pPr>
      <w:r>
        <w:t>III. - Przepisy niniejszego artykułu nie mają zastosowania do budynków i części budynków o normalnej temperaturze użytkowania nieprzekraczającej 12°C i do budynków tymczasowych przewidzianych na okres użytkowania krótszy niż dwa lata.</w:t>
      </w:r>
    </w:p>
    <w:p w14:paraId="7EA1AE2E" w14:textId="77777777" w:rsidR="00806611" w:rsidRPr="00AC2428" w:rsidRDefault="00806611" w:rsidP="00A51EA0">
      <w:pPr>
        <w:jc w:val="both"/>
      </w:pPr>
    </w:p>
    <w:p w14:paraId="0BBABC11" w14:textId="5F30FCD5" w:rsidR="00154360" w:rsidRPr="00AC2428" w:rsidRDefault="00FC7497" w:rsidP="00A51EA0">
      <w:pPr>
        <w:jc w:val="both"/>
        <w:rPr>
          <w:i/>
        </w:rPr>
      </w:pPr>
      <w:r>
        <w:rPr>
          <w:i/>
        </w:rPr>
        <w:t>Podsekcja 4: badania i procedury powiązane z konstrukcjami budynków lub części budynków objętych podsekcją 3</w:t>
      </w:r>
    </w:p>
    <w:p w14:paraId="5AD0A45E" w14:textId="77777777" w:rsidR="00154360" w:rsidRPr="00AC2428" w:rsidRDefault="00154360" w:rsidP="00A51EA0">
      <w:pPr>
        <w:jc w:val="both"/>
      </w:pPr>
    </w:p>
    <w:p w14:paraId="0A6A8C39" w14:textId="26FDE5B4" w:rsidR="00154360" w:rsidRPr="00AC2428" w:rsidRDefault="00FC7497" w:rsidP="00A51EA0">
      <w:pPr>
        <w:jc w:val="both"/>
      </w:pPr>
      <w:r>
        <w:rPr>
          <w:i/>
        </w:rPr>
        <w:lastRenderedPageBreak/>
        <w:t>Artykuł R. 111-20-11</w:t>
      </w:r>
      <w:r>
        <w:t xml:space="preserve">. - Inwestor każdej budowy budynków lub części budynków objętych podsekcją 3 zlokalizowanej we Francji metropolitalnej sporządza, w odniesieniu do każdego budynku, dokument potwierdzający, że uwzględnił on lub zlecił uwzględnienie kierownikowi robót, jeżeli ten ostatni odpowiada za zadanie zaprojektowania obsługi, przepisy dotyczące charakterystyki termicznej, zdefiniowane w art. </w:t>
      </w:r>
      <w:r>
        <w:rPr>
          <w:highlight w:val="yellow"/>
        </w:rPr>
        <w:t>R. 111-20-10</w:t>
      </w:r>
      <w:r>
        <w:t>, w szczególności:</w:t>
      </w:r>
    </w:p>
    <w:p w14:paraId="34921098" w14:textId="681218A8" w:rsidR="00154360" w:rsidRPr="00AC2428" w:rsidRDefault="00154360" w:rsidP="00A51EA0">
      <w:pPr>
        <w:jc w:val="both"/>
      </w:pPr>
      <w:r>
        <w:t xml:space="preserve">– przepis dotyczący zwyczajowego zapotrzebowania budynku na energię na ogrzewanie, chłodzenie i oświetlenie, o którym mowa w art. R. </w:t>
      </w:r>
      <w:r>
        <w:rPr>
          <w:highlight w:val="yellow"/>
        </w:rPr>
        <w:t>111-20-10</w:t>
      </w:r>
      <w:r>
        <w:t xml:space="preserve"> ust. I pkt 2,</w:t>
      </w:r>
    </w:p>
    <w:p w14:paraId="62935F4C" w14:textId="1C4CE372" w:rsidR="00154360" w:rsidRPr="00AC2428" w:rsidRDefault="00154360" w:rsidP="00A51EA0">
      <w:pPr>
        <w:jc w:val="both"/>
      </w:pPr>
      <w:r>
        <w:t xml:space="preserve">– przepisy dotyczące charakterystyki termicznej wpływającej na charakterystykę energetyczną budynku, o której mowa w art. </w:t>
      </w:r>
      <w:r>
        <w:rPr>
          <w:highlight w:val="yellow"/>
        </w:rPr>
        <w:t>R. 111-20-10</w:t>
      </w:r>
      <w:r>
        <w:t xml:space="preserve"> ust. II pkt 1, określone szczegółowo rozporządzeniem.</w:t>
      </w:r>
    </w:p>
    <w:p w14:paraId="4ABBDCC5" w14:textId="77777777" w:rsidR="00154360" w:rsidRPr="00AC2428" w:rsidRDefault="00154360" w:rsidP="00A51EA0">
      <w:pPr>
        <w:jc w:val="both"/>
      </w:pPr>
    </w:p>
    <w:p w14:paraId="24115C91" w14:textId="7165354A" w:rsidR="00154360" w:rsidRPr="00AC2428" w:rsidRDefault="00FC7497" w:rsidP="00A51EA0">
      <w:pPr>
        <w:jc w:val="both"/>
      </w:pPr>
      <w:r>
        <w:t xml:space="preserve">Zaświadczenie sporządza się na formularzu zgodnym z przepisami ustanowionymi rozporządzeniem. Załącza się je do wniosku o pozwolenie na budowę zgodnie z warunkami przewidzianymi w lit. j) art. </w:t>
      </w:r>
      <w:r>
        <w:rPr>
          <w:highlight w:val="yellow"/>
        </w:rPr>
        <w:t>R*. 431-16</w:t>
      </w:r>
      <w:r>
        <w:t xml:space="preserve"> kodeksu urbanistyki.</w:t>
      </w:r>
    </w:p>
    <w:p w14:paraId="4918E8D6" w14:textId="77777777" w:rsidR="00154360" w:rsidRPr="00AC2428" w:rsidRDefault="00154360" w:rsidP="00A51EA0">
      <w:pPr>
        <w:jc w:val="both"/>
      </w:pPr>
    </w:p>
    <w:p w14:paraId="0768B312" w14:textId="57C83AB4" w:rsidR="00154360" w:rsidRPr="00AC2428" w:rsidRDefault="00FC7497" w:rsidP="00A51EA0">
      <w:pPr>
        <w:jc w:val="both"/>
      </w:pPr>
      <w:r>
        <w:rPr>
          <w:i/>
        </w:rPr>
        <w:t>Artykuł R. 111-20-12.</w:t>
      </w:r>
      <w:r>
        <w:t xml:space="preserve"> - Inwestor każdej budowy budynków lub części budynków objętych podsekcją 3 zlokalizowanej we Francji metropolitalnej sporządza, w odniesieniu do każdego budynku, dokument potwierdzający sporządzenie, w odniesieniu do budynków objętych art. </w:t>
      </w:r>
      <w:r>
        <w:rPr>
          <w:highlight w:val="yellow"/>
        </w:rPr>
        <w:t>L. 111-9</w:t>
      </w:r>
      <w:r>
        <w:t xml:space="preserve"> akapit dziesiąty, studium wykonalności dotyczącego dostaw energii, zawierające w szczególności informacje o:</w:t>
      </w:r>
    </w:p>
    <w:p w14:paraId="56AA5E1A" w14:textId="3C6E3E36" w:rsidR="00154360" w:rsidRPr="00AC2428" w:rsidRDefault="00154360" w:rsidP="00A51EA0">
      <w:pPr>
        <w:jc w:val="both"/>
      </w:pPr>
      <w:r>
        <w:t>– systemie przewidzianym przez inwestora na podstawie studium wykonalności, z uzasadnieniem,</w:t>
      </w:r>
    </w:p>
    <w:p w14:paraId="60E8FDDC" w14:textId="6C5560D3" w:rsidR="00154360" w:rsidRPr="00AC2428" w:rsidRDefault="00154360" w:rsidP="00A51EA0">
      <w:pPr>
        <w:jc w:val="both"/>
      </w:pPr>
      <w:r>
        <w:t>– wartości zużycia energii pierwotnej w kilowatogodzinach dla przewidzianego systemu,</w:t>
      </w:r>
    </w:p>
    <w:p w14:paraId="655FC8C5" w14:textId="505ACDC2" w:rsidR="00154360" w:rsidRPr="00AC2428" w:rsidRDefault="00154360" w:rsidP="00A51EA0">
      <w:pPr>
        <w:jc w:val="both"/>
      </w:pPr>
      <w:r>
        <w:t>– rocznym koszcie eksploatacji przewidzianego systemu.</w:t>
      </w:r>
    </w:p>
    <w:p w14:paraId="46945BA6" w14:textId="77777777" w:rsidR="00806611" w:rsidRPr="00AC2428" w:rsidRDefault="00806611" w:rsidP="00A51EA0">
      <w:pPr>
        <w:jc w:val="both"/>
      </w:pPr>
    </w:p>
    <w:p w14:paraId="26A62454" w14:textId="6E902716" w:rsidR="00154360" w:rsidRPr="00AC2428" w:rsidRDefault="00FC7497" w:rsidP="00A51EA0">
      <w:pPr>
        <w:jc w:val="both"/>
      </w:pPr>
      <w:r>
        <w:t xml:space="preserve">Zaświadczenie sporządza się na formularzu zgodnym z przepisami ustanowionymi rozporządzeniem. Załącza się je do wniosku o pozwolenie na budowę zgodnie z warunkami przewidzianymi w lit. j) art. </w:t>
      </w:r>
      <w:r>
        <w:rPr>
          <w:highlight w:val="yellow"/>
        </w:rPr>
        <w:t>R*. 431-16</w:t>
      </w:r>
      <w:r>
        <w:t xml:space="preserve"> kodeksu urbanistyki.</w:t>
      </w:r>
    </w:p>
    <w:p w14:paraId="324435FC" w14:textId="77777777" w:rsidR="00806611" w:rsidRPr="00AC2428" w:rsidRDefault="00806611" w:rsidP="00A51EA0">
      <w:pPr>
        <w:jc w:val="both"/>
      </w:pPr>
    </w:p>
    <w:p w14:paraId="40FD8EE6" w14:textId="38A6840A" w:rsidR="00154360" w:rsidRPr="00AC2428" w:rsidRDefault="00FC7497" w:rsidP="00A51EA0">
      <w:pPr>
        <w:jc w:val="both"/>
      </w:pPr>
      <w:r>
        <w:rPr>
          <w:i/>
        </w:rPr>
        <w:t>Artykuł R. 111-20-13.</w:t>
      </w:r>
      <w:r>
        <w:t xml:space="preserve"> - Po zakończeniu robót dotyczących budowy budynków lub części budynków objętych podsekcją 3, podlegających wymogowi pozwolenia na budowę i zlokalizowanych we Francji metropolitalnej:</w:t>
      </w:r>
    </w:p>
    <w:p w14:paraId="5A5FEF09" w14:textId="74C63BA7" w:rsidR="00154360" w:rsidRPr="00AC2428" w:rsidRDefault="00154360" w:rsidP="00A51EA0">
      <w:pPr>
        <w:jc w:val="both"/>
      </w:pPr>
      <w:r>
        <w:t>– w przypadku gdy kierownik robót odpowiada za zadanie zaprojektowania obsługi i realizacji robót, inwestor przedstawia, w odniesieniu do każdego budynku, dokument potwierdzający uwzględnienie przez kierownika robót przepisów dotyczących charakterystyki termicznej,</w:t>
      </w:r>
    </w:p>
    <w:p w14:paraId="2D62122C" w14:textId="73EB76FE" w:rsidR="00154360" w:rsidRPr="00AC2428" w:rsidRDefault="00154360" w:rsidP="00A51EA0">
      <w:pPr>
        <w:jc w:val="both"/>
      </w:pPr>
      <w:r>
        <w:t>– jeśli zadanie powierzone kierownikowi robót ogranicza się do zaprojektowania obsługi lub jeśli inwestor nie wyznaczył kierownika robót, inwestor przedstawia, w odniesieniu do każdego budynku, dokument potwierdzający uwzględnienie przepisów dotyczących charakterystyki termicznej,</w:t>
      </w:r>
    </w:p>
    <w:p w14:paraId="265FFD06" w14:textId="77777777" w:rsidR="00154360" w:rsidRPr="00AC2428" w:rsidRDefault="00154360" w:rsidP="00A51EA0">
      <w:pPr>
        <w:jc w:val="both"/>
      </w:pPr>
    </w:p>
    <w:p w14:paraId="4B7A9D41" w14:textId="37664EEB" w:rsidR="00154360" w:rsidRPr="00AC2428" w:rsidRDefault="00FC7497" w:rsidP="00A51EA0">
      <w:pPr>
        <w:jc w:val="both"/>
      </w:pPr>
      <w:r>
        <w:t>Sporządzony w ten sposób dokument potwierdza uwzględnienie:</w:t>
      </w:r>
    </w:p>
    <w:p w14:paraId="39EFAACB" w14:textId="6724454D" w:rsidR="00154360" w:rsidRPr="00AC2428" w:rsidRDefault="00154360" w:rsidP="00A51EA0">
      <w:pPr>
        <w:jc w:val="both"/>
      </w:pPr>
      <w:r>
        <w:t xml:space="preserve">– przepisu dotyczącego zwyczajowego zużycia energii budynku na potrzeby ogrzewania, chłodzenia, produkcji ciepłej wody użytkowej, oświetlenia, dodatkowych urządzeń do ogrzewania, chłodzenia, produkcji ciepłej wody użytkowej i wentylacji, o którym mowa w art. </w:t>
      </w:r>
      <w:r>
        <w:rPr>
          <w:highlight w:val="yellow"/>
        </w:rPr>
        <w:t>R. 111-20-10</w:t>
      </w:r>
      <w:r>
        <w:t xml:space="preserve"> ust. I pkt 1,</w:t>
      </w:r>
    </w:p>
    <w:p w14:paraId="3A7801F7" w14:textId="54D39FCB" w:rsidR="00154360" w:rsidRPr="00AC2428" w:rsidRDefault="00154360" w:rsidP="00A51EA0">
      <w:pPr>
        <w:jc w:val="both"/>
      </w:pPr>
      <w:r>
        <w:t xml:space="preserve">– przepisu dotyczącego zwyczajowego zapotrzebowania budynku na energię na ogrzewanie, chłodzenie i oświetlenie, o którym mowa w art. R. </w:t>
      </w:r>
      <w:r>
        <w:rPr>
          <w:highlight w:val="yellow"/>
        </w:rPr>
        <w:t>111-20-10</w:t>
      </w:r>
      <w:r>
        <w:t xml:space="preserve"> ust. I pkt 2,</w:t>
      </w:r>
    </w:p>
    <w:p w14:paraId="28F040DD" w14:textId="61478A43" w:rsidR="00154360" w:rsidRPr="00AC2428" w:rsidRDefault="00154360" w:rsidP="00A51EA0">
      <w:pPr>
        <w:jc w:val="both"/>
      </w:pPr>
      <w:r>
        <w:t xml:space="preserve">– w przypadku niektórych typów budynków zwyczajowej temperatury wewnętrznej osiąganej w lecie, o której mowa w art. </w:t>
      </w:r>
      <w:r>
        <w:rPr>
          <w:highlight w:val="yellow"/>
        </w:rPr>
        <w:t xml:space="preserve">R. 111-20-10 </w:t>
      </w:r>
      <w:r>
        <w:t xml:space="preserve"> ust. I pkt 3,</w:t>
      </w:r>
    </w:p>
    <w:p w14:paraId="23F539D9" w14:textId="0158183B" w:rsidR="00154360" w:rsidRPr="00AC2428" w:rsidRDefault="00154360" w:rsidP="00A51EA0">
      <w:pPr>
        <w:jc w:val="both"/>
      </w:pPr>
      <w:r>
        <w:t xml:space="preserve">– przepisów dotyczących charakterystyki termicznej wpływającej na charakterystykę energetyczną budynku, o której mowa w art. </w:t>
      </w:r>
      <w:r>
        <w:rPr>
          <w:highlight w:val="yellow"/>
        </w:rPr>
        <w:t>R. 111-20-10</w:t>
      </w:r>
      <w:r>
        <w:t xml:space="preserve"> ust. II pkt 1, określonych szczegółowo rozporządzeniem.</w:t>
      </w:r>
    </w:p>
    <w:p w14:paraId="7240B023" w14:textId="77777777" w:rsidR="00806611" w:rsidRPr="00AC2428" w:rsidRDefault="00806611" w:rsidP="00A51EA0">
      <w:pPr>
        <w:jc w:val="both"/>
      </w:pPr>
    </w:p>
    <w:p w14:paraId="11B91253" w14:textId="2BA63EB7" w:rsidR="00154360" w:rsidRPr="00AC2428" w:rsidRDefault="00FC7497" w:rsidP="00A51EA0">
      <w:pPr>
        <w:jc w:val="both"/>
      </w:pPr>
      <w:r>
        <w:lastRenderedPageBreak/>
        <w:t xml:space="preserve">Zaświadczenie sporządza się na formularzu zgodnym z przepisami ustanowionymi rozporządzeniem. Załącza się je do zgłoszenia zakończenia robót zgodnie z warunkami określonymi w art. </w:t>
      </w:r>
      <w:r>
        <w:rPr>
          <w:highlight w:val="yellow"/>
        </w:rPr>
        <w:t>R. 462-4-1</w:t>
      </w:r>
      <w:r>
        <w:t xml:space="preserve"> kodeksu urbanistyki.</w:t>
      </w:r>
    </w:p>
    <w:p w14:paraId="648F2128" w14:textId="77777777" w:rsidR="00806611" w:rsidRPr="00AC2428" w:rsidRDefault="00806611" w:rsidP="00A51EA0">
      <w:pPr>
        <w:jc w:val="both"/>
      </w:pPr>
    </w:p>
    <w:p w14:paraId="518F5A4F" w14:textId="01654B60" w:rsidR="00154360" w:rsidRPr="00AC2428" w:rsidRDefault="00FC7497" w:rsidP="00A51EA0">
      <w:pPr>
        <w:jc w:val="both"/>
      </w:pPr>
      <w:r>
        <w:rPr>
          <w:i/>
        </w:rPr>
        <w:t>Artykuł R. 111-20-14.</w:t>
      </w:r>
      <w:r>
        <w:t xml:space="preserve"> - Oświadczenie przewidziane w art. </w:t>
      </w:r>
      <w:r>
        <w:rPr>
          <w:highlight w:val="yellow"/>
        </w:rPr>
        <w:t>R. 111-20-13</w:t>
      </w:r>
      <w:r>
        <w:t xml:space="preserve"> sporządza jedna z następujących osób:</w:t>
      </w:r>
    </w:p>
    <w:p w14:paraId="03886D7B" w14:textId="6AE79DED" w:rsidR="00154360" w:rsidRPr="00AC2428" w:rsidRDefault="00154360" w:rsidP="00A51EA0">
      <w:pPr>
        <w:jc w:val="both"/>
      </w:pPr>
      <w:r>
        <w:t xml:space="preserve">– kontroler techniczny, o którym mowa w art. </w:t>
      </w:r>
      <w:r>
        <w:rPr>
          <w:highlight w:val="yellow"/>
        </w:rPr>
        <w:t>L. 111-23</w:t>
      </w:r>
      <w:r>
        <w:t>, dla wszystkich typów budynków,</w:t>
      </w:r>
    </w:p>
    <w:p w14:paraId="23DCC6ED" w14:textId="52A28DF9" w:rsidR="00154360" w:rsidRPr="00AC2428" w:rsidRDefault="00154360" w:rsidP="00A51EA0">
      <w:pPr>
        <w:jc w:val="both"/>
      </w:pPr>
      <w:r>
        <w:t xml:space="preserve">– osoba spełniająca warunki wymagane do przeprowadzenia diagnozy charakterystyki energetycznej, przewidzianej w art. </w:t>
      </w:r>
      <w:r>
        <w:rPr>
          <w:highlight w:val="yellow"/>
        </w:rPr>
        <w:t>L. 134-1</w:t>
      </w:r>
      <w:r>
        <w:t>, w przypadku domu jednorodzinnego lub szeregowego,</w:t>
      </w:r>
    </w:p>
    <w:p w14:paraId="67C83143" w14:textId="412D737B" w:rsidR="00154360" w:rsidRPr="00AC2428" w:rsidRDefault="00154360" w:rsidP="00A51EA0">
      <w:pPr>
        <w:jc w:val="both"/>
      </w:pPr>
      <w:r>
        <w:t xml:space="preserve">– organ, który certyfikował, w rozumieniu art. </w:t>
      </w:r>
      <w:r>
        <w:rPr>
          <w:highlight w:val="yellow"/>
        </w:rPr>
        <w:t>L. 433-3 do L. 433-10</w:t>
      </w:r>
      <w:r>
        <w:t xml:space="preserve"> kodeksu konsumentów, charakterystykę energetyczną nowego budynku lub nowej części budynku oraz podpisał porozumienie z ministrem właściwym do spraw budownictwa, dla wszystkich typów budynków,</w:t>
      </w:r>
    </w:p>
    <w:p w14:paraId="0616B5E7" w14:textId="07B4105A" w:rsidR="00154360" w:rsidRPr="00AC2428" w:rsidRDefault="00154360" w:rsidP="00A51EA0">
      <w:pPr>
        <w:jc w:val="both"/>
      </w:pPr>
      <w:r>
        <w:t>– architekt w rozumieniu art. 2 ustawy nr 77-2 z dnia 3 stycznia 1977 r. o architekturze, dla wszystkich typów budynków.</w:t>
      </w:r>
    </w:p>
    <w:p w14:paraId="304D1B3D" w14:textId="77777777" w:rsidR="00154360" w:rsidRPr="00AC2428" w:rsidRDefault="00154360" w:rsidP="00A51EA0">
      <w:pPr>
        <w:jc w:val="both"/>
      </w:pPr>
    </w:p>
    <w:p w14:paraId="191AAF1B" w14:textId="4FE8462F" w:rsidR="00154360" w:rsidRPr="00AC2428" w:rsidRDefault="00FC7497" w:rsidP="00A51EA0">
      <w:pPr>
        <w:jc w:val="both"/>
      </w:pPr>
      <w:r>
        <w:t xml:space="preserve">Rozporządzenie określa elementy informacji, które inwestor powinien dostarczyć, w zależności od kategorii budynku, wyżej wymienionym osobom w celu umożliwienia sporządzenia dokumentu przewidzianego w art. </w:t>
      </w:r>
      <w:r>
        <w:rPr>
          <w:highlight w:val="yellow"/>
        </w:rPr>
        <w:t>R. 111-20-13</w:t>
      </w:r>
      <w:r>
        <w:t>.</w:t>
      </w:r>
    </w:p>
    <w:p w14:paraId="2FBC5E46" w14:textId="77777777" w:rsidR="00154360" w:rsidRPr="00AC2428" w:rsidRDefault="00154360" w:rsidP="00A51EA0">
      <w:pPr>
        <w:jc w:val="both"/>
      </w:pPr>
    </w:p>
    <w:p w14:paraId="00DAA37F" w14:textId="7A09F6FE" w:rsidR="00A015D5" w:rsidRPr="00AC2428" w:rsidRDefault="00FC7497" w:rsidP="00A51EA0">
      <w:pPr>
        <w:jc w:val="both"/>
      </w:pPr>
      <w:r>
        <w:rPr>
          <w:i/>
        </w:rPr>
        <w:t>Artykuł R. 111-20-15</w:t>
      </w:r>
      <w:r>
        <w:t xml:space="preserve">. - Rozporządzenie ministra właściwego do spraw budownictwa określa zasady stosowania art. </w:t>
      </w:r>
      <w:r>
        <w:rPr>
          <w:highlight w:val="yellow"/>
        </w:rPr>
        <w:t>R. 111-20-11 do R. 111-20-14</w:t>
      </w:r>
      <w:r>
        <w:t>.</w:t>
      </w:r>
    </w:p>
    <w:p w14:paraId="3300FF78" w14:textId="69ED9C07" w:rsidR="00154360" w:rsidRPr="00AC2428" w:rsidRDefault="00154360" w:rsidP="00A51EA0">
      <w:pPr>
        <w:jc w:val="both"/>
      </w:pPr>
    </w:p>
    <w:p w14:paraId="11A98F9F" w14:textId="39F9304C" w:rsidR="00154360" w:rsidRPr="00AC2428" w:rsidRDefault="00FC7497" w:rsidP="00A51EA0">
      <w:pPr>
        <w:jc w:val="both"/>
      </w:pPr>
      <w:r>
        <w:rPr>
          <w:i/>
        </w:rPr>
        <w:t>Artykuł R. 111-20-16.</w:t>
      </w:r>
      <w:r>
        <w:t xml:space="preserve"> - I. - Termin, po upływie którego decyzję o akceptacji uznaje się za dorozumianą, wynosi trzy miesiące w odniesieniu do wniosków złożonych na podstawie art. </w:t>
      </w:r>
      <w:r>
        <w:rPr>
          <w:highlight w:val="yellow"/>
        </w:rPr>
        <w:t>R. 111-20-10</w:t>
      </w:r>
      <w:r>
        <w:t>, dotyczących zatwierdzenia podmiotu obsługującego środek z zakresu szczelności powietrznej budynku;</w:t>
      </w:r>
    </w:p>
    <w:p w14:paraId="30F77A17" w14:textId="77777777" w:rsidR="00154360" w:rsidRPr="00AC2428" w:rsidRDefault="00154360" w:rsidP="00A51EA0">
      <w:pPr>
        <w:jc w:val="both"/>
      </w:pPr>
    </w:p>
    <w:p w14:paraId="21138818" w14:textId="27BE9D7E" w:rsidR="00154360" w:rsidRPr="00AC2428" w:rsidRDefault="00FC7497" w:rsidP="00A51EA0">
      <w:pPr>
        <w:jc w:val="both"/>
      </w:pPr>
      <w:r>
        <w:t xml:space="preserve">II. - Termin, po upływie którego decyzję o akceptacji uznaje się za dorozumianą, wynosi cztery miesiące w odniesieniu do wniosków złożonych na podstawie art. </w:t>
      </w:r>
      <w:r>
        <w:rPr>
          <w:highlight w:val="yellow"/>
        </w:rPr>
        <w:t>R. 111-20-10,</w:t>
      </w:r>
      <w:r>
        <w:t xml:space="preserve"> dotyczących zatwierdzenia:</w:t>
      </w:r>
    </w:p>
    <w:p w14:paraId="2338EA0C" w14:textId="77777777" w:rsidR="00392CE8" w:rsidRPr="00AC2428" w:rsidRDefault="00392CE8" w:rsidP="00A51EA0">
      <w:pPr>
        <w:jc w:val="both"/>
      </w:pPr>
    </w:p>
    <w:p w14:paraId="0558BBFE" w14:textId="6C05CAB0" w:rsidR="00154360" w:rsidRPr="00AC2428" w:rsidRDefault="00FC7497" w:rsidP="00A51EA0">
      <w:pPr>
        <w:jc w:val="both"/>
      </w:pPr>
      <w:r>
        <w:t>1) uproszczonego sposobu stosowania przepisów dotyczących charakterystyki termicznej w odniesieniu do budynków jednorodzinnych;</w:t>
      </w:r>
    </w:p>
    <w:p w14:paraId="3830A663" w14:textId="045CE685" w:rsidR="00154360" w:rsidRPr="00AC2428" w:rsidRDefault="00FC7497" w:rsidP="00A51EA0">
      <w:pPr>
        <w:jc w:val="both"/>
      </w:pPr>
      <w:r>
        <w:t>2) rozwiązania technicznego służącego przestrzeganiu przepisów dotyczących charakterystyki termicznej w istniejących budynkach.</w:t>
      </w:r>
    </w:p>
    <w:p w14:paraId="3D6BF6C3" w14:textId="77777777" w:rsidR="00154360" w:rsidRPr="00AC2428" w:rsidRDefault="00154360" w:rsidP="00A51EA0">
      <w:pPr>
        <w:jc w:val="both"/>
      </w:pPr>
    </w:p>
    <w:p w14:paraId="71E665A9" w14:textId="37CF8875" w:rsidR="00154360" w:rsidRPr="00AC2428" w:rsidRDefault="00FC7497" w:rsidP="00A51EA0">
      <w:pPr>
        <w:jc w:val="both"/>
      </w:pPr>
      <w:r>
        <w:t xml:space="preserve">III. - Termin, po upływie którego decyzję o akceptacji uznaje się za dorozumianą, wynosi sześć miesięcy w odniesieniu do wniosków o zatwierdzenie charakterystyki sieci wytwarzania ciepła lub zimna, złożonych na podstawie </w:t>
      </w:r>
      <w:r>
        <w:rPr>
          <w:highlight w:val="yellow"/>
        </w:rPr>
        <w:t>art. R. 111-20-10</w:t>
      </w:r>
      <w:r>
        <w:t>.</w:t>
      </w:r>
    </w:p>
    <w:p w14:paraId="2ED707E5" w14:textId="77777777" w:rsidR="00154360" w:rsidRPr="00AC2428" w:rsidRDefault="00154360" w:rsidP="00A51EA0">
      <w:pPr>
        <w:jc w:val="both"/>
      </w:pPr>
    </w:p>
    <w:p w14:paraId="0A56ADA4" w14:textId="76D5FCFC" w:rsidR="00154360" w:rsidRPr="00AC2428" w:rsidRDefault="00FC7497" w:rsidP="00A51EA0">
      <w:pPr>
        <w:jc w:val="both"/>
      </w:pPr>
      <w:r>
        <w:t xml:space="preserve">IV. - Termin, po upływie którego decyzję o akceptacji uznaje się za dorozumianą, wynosi dziewięć miesięcy w odniesieniu do wniosków o zatwierdzenie oprogramowania użytkowego na potrzeby przepisów dotyczących charakterystyki termicznej, złożonych na podstawie </w:t>
      </w:r>
      <w:r>
        <w:rPr>
          <w:highlight w:val="yellow"/>
        </w:rPr>
        <w:t>art. R. 111-20-10</w:t>
      </w:r>
      <w:r>
        <w:t>.</w:t>
      </w:r>
    </w:p>
    <w:p w14:paraId="3A503110" w14:textId="77777777" w:rsidR="00154360" w:rsidRPr="00AC2428" w:rsidRDefault="00154360" w:rsidP="00A51EA0">
      <w:pPr>
        <w:jc w:val="both"/>
      </w:pPr>
    </w:p>
    <w:p w14:paraId="31770D67" w14:textId="52DA87A7" w:rsidR="00154360" w:rsidRPr="00AC2428" w:rsidRDefault="00FC7497" w:rsidP="00A51EA0">
      <w:pPr>
        <w:jc w:val="both"/>
      </w:pPr>
      <w:r>
        <w:t xml:space="preserve">V. - Termin, po upływie którego decyzję o akceptacji uznaje się za dorozumianą, wynosi dwanaście miesięcy w odniesieniu do wniosków o zatwierdzenie metody potwierdzenia charakterystyki systemów w odniesieniu do wymogów dotyczących charakterystyki termicznej, złożonych na podstawie </w:t>
      </w:r>
      <w:r>
        <w:rPr>
          <w:highlight w:val="yellow"/>
        </w:rPr>
        <w:t>art. R. 111-20-10</w:t>
      </w:r>
      <w:r>
        <w:t>.</w:t>
      </w:r>
    </w:p>
    <w:p w14:paraId="3F49F30C" w14:textId="0CB56827" w:rsidR="00154360" w:rsidRPr="00AC2428" w:rsidRDefault="00154360" w:rsidP="00A51EA0">
      <w:pPr>
        <w:jc w:val="both"/>
      </w:pPr>
    </w:p>
    <w:p w14:paraId="320314E4" w14:textId="1FD17CC5" w:rsidR="00154360" w:rsidRPr="00AC2428" w:rsidRDefault="00FC7497" w:rsidP="00A51EA0">
      <w:pPr>
        <w:jc w:val="both"/>
      </w:pPr>
      <w:r>
        <w:rPr>
          <w:i/>
        </w:rPr>
        <w:lastRenderedPageBreak/>
        <w:t>Artykuł R. 111-20-17.</w:t>
      </w:r>
      <w:r>
        <w:t xml:space="preserve"> - Przed złożeniem wniosku o pozwolenie na budowę inwestor sporządza studium wykonalności technicznej i ekonomicznej różnych rozwiązań w zakresie dostaw energii na potrzeby ogrzewania, wentylacji, chłodzenia, produkcji ciepłej wody użytkowej i oświetlenia pomieszczeń. </w:t>
      </w:r>
    </w:p>
    <w:p w14:paraId="3B453DBA" w14:textId="77777777" w:rsidR="00154360" w:rsidRPr="00AC2428" w:rsidRDefault="00154360" w:rsidP="00A51EA0">
      <w:pPr>
        <w:pStyle w:val="NormalWeb"/>
        <w:spacing w:before="0" w:beforeAutospacing="0" w:after="0" w:afterAutospacing="0"/>
        <w:jc w:val="both"/>
      </w:pPr>
      <w:r>
        <w:t>W studium tym analizuje się przede wszystkim:</w:t>
      </w:r>
    </w:p>
    <w:p w14:paraId="6A5DECAC" w14:textId="4AC3B04F" w:rsidR="00154360" w:rsidRPr="00AC2428" w:rsidRDefault="00806611" w:rsidP="00A51EA0">
      <w:pPr>
        <w:pStyle w:val="NormalWeb"/>
        <w:spacing w:before="0" w:beforeAutospacing="0" w:after="0" w:afterAutospacing="0"/>
        <w:jc w:val="both"/>
      </w:pPr>
      <w:r>
        <w:t>– korzystanie z energii słonecznej i innych odnawialnych źródeł energii , o których mowa w art. 29 ustawy nr 2005-781 z dnia 13 lipca 2005 r. ,</w:t>
      </w:r>
    </w:p>
    <w:p w14:paraId="304D761A" w14:textId="01E86051" w:rsidR="00154360" w:rsidRPr="00AC2428" w:rsidRDefault="00806611" w:rsidP="00A51EA0">
      <w:pPr>
        <w:pStyle w:val="NormalWeb"/>
        <w:spacing w:before="0" w:beforeAutospacing="0" w:after="0" w:afterAutospacing="0"/>
        <w:jc w:val="both"/>
      </w:pPr>
      <w:r>
        <w:t>– przyłączenie do zbiorowej lub miejskiej sieci ciepłowniczej lub chłodniczej, jeśli taka istnieje w pobliżu terenu realizacji budynku lub operacji,</w:t>
      </w:r>
    </w:p>
    <w:p w14:paraId="26B88157" w14:textId="7AA40889" w:rsidR="00154360" w:rsidRPr="00AC2428" w:rsidRDefault="00806611" w:rsidP="00A51EA0">
      <w:pPr>
        <w:pStyle w:val="NormalWeb"/>
        <w:spacing w:before="0" w:beforeAutospacing="0" w:after="0" w:afterAutospacing="0"/>
        <w:jc w:val="both"/>
      </w:pPr>
      <w:r>
        <w:t>– zastosowanie pomp ciepła i kotłów kompensacyjnych,</w:t>
      </w:r>
    </w:p>
    <w:p w14:paraId="0F469B6F" w14:textId="56F11AF5" w:rsidR="00154360" w:rsidRPr="00AC2428" w:rsidRDefault="00806611" w:rsidP="00A51EA0">
      <w:pPr>
        <w:pStyle w:val="NormalWeb"/>
        <w:spacing w:before="0" w:beforeAutospacing="0" w:after="0" w:afterAutospacing="0"/>
        <w:jc w:val="both"/>
      </w:pPr>
      <w:r>
        <w:t xml:space="preserve">– korzystanie z kogeneracji. </w:t>
      </w:r>
    </w:p>
    <w:p w14:paraId="70D7269F" w14:textId="77777777" w:rsidR="00A51EA0" w:rsidRDefault="00A51EA0" w:rsidP="00A51EA0">
      <w:pPr>
        <w:pStyle w:val="NormalWeb"/>
        <w:spacing w:before="0" w:beforeAutospacing="0" w:after="0" w:afterAutospacing="0"/>
        <w:jc w:val="both"/>
      </w:pPr>
    </w:p>
    <w:p w14:paraId="22C5A6FA" w14:textId="1220011B" w:rsidR="00154360" w:rsidRPr="00AC2428" w:rsidRDefault="00FC7497" w:rsidP="00A51EA0">
      <w:pPr>
        <w:pStyle w:val="NormalWeb"/>
        <w:spacing w:before="0" w:beforeAutospacing="0" w:after="0" w:afterAutospacing="0"/>
        <w:jc w:val="both"/>
      </w:pPr>
      <w:r>
        <w:t xml:space="preserve">W studium przedstawia się zalety i wady każdego z przeanalizowanych rozwiązań w zakresie warunków zarządzania danym systemem, kosztów inwestycji i eksploatacji, okresu amortyzacji inwestycji i przewidywanego wpływu na emisje gazów cieplarnianych. W przypadku rozbudowy budynku uwzględnia się sposoby dostarczania do niego energii. </w:t>
      </w:r>
    </w:p>
    <w:p w14:paraId="3807BC1A" w14:textId="77777777" w:rsidR="00A51EA0" w:rsidRDefault="00A51EA0" w:rsidP="00A51EA0">
      <w:pPr>
        <w:pStyle w:val="NormalWeb"/>
        <w:spacing w:before="0" w:beforeAutospacing="0" w:after="0" w:afterAutospacing="0"/>
        <w:jc w:val="both"/>
      </w:pPr>
    </w:p>
    <w:p w14:paraId="13A37A66" w14:textId="08F19C59" w:rsidR="00154360" w:rsidRPr="00AC2428" w:rsidRDefault="00FC7497" w:rsidP="00A51EA0">
      <w:pPr>
        <w:pStyle w:val="NormalWeb"/>
        <w:spacing w:before="0" w:beforeAutospacing="0" w:after="0" w:afterAutospacing="0"/>
        <w:jc w:val="both"/>
      </w:pPr>
      <w:r>
        <w:t xml:space="preserve">W studium podaje się szczegółowo przyczyny, dla których inwestor podjął decyzję o wyborze danego rozwiązania w zakresie dostaw energii. </w:t>
      </w:r>
    </w:p>
    <w:p w14:paraId="64A7DE37" w14:textId="77777777" w:rsidR="00A51EA0" w:rsidRDefault="00A51EA0" w:rsidP="00A51EA0">
      <w:pPr>
        <w:pStyle w:val="NormalWeb"/>
        <w:spacing w:before="0" w:beforeAutospacing="0" w:after="0" w:afterAutospacing="0"/>
        <w:jc w:val="both"/>
      </w:pPr>
    </w:p>
    <w:p w14:paraId="019B49AA" w14:textId="1BC80D03" w:rsidR="00154360" w:rsidRPr="00AC2428" w:rsidRDefault="00FC7497" w:rsidP="00A51EA0">
      <w:pPr>
        <w:pStyle w:val="NormalWeb"/>
        <w:spacing w:before="0" w:beforeAutospacing="0" w:after="0" w:afterAutospacing="0"/>
        <w:jc w:val="both"/>
      </w:pPr>
      <w:r>
        <w:t xml:space="preserve">Na obszarze priorytetowego rozwoju sieci ciepłowniczej lub chłodniczej objętym obowiązującą decyzją o klasyfikacji zgodnie z przepisami art. </w:t>
      </w:r>
      <w:r>
        <w:rPr>
          <w:highlight w:val="yellow"/>
        </w:rPr>
        <w:t>L. 712-1 do L. 712-3</w:t>
      </w:r>
      <w:r>
        <w:t xml:space="preserve"> kodeksu energetyki studium wykonalności technicznej i ekonomicznej przewidzianego w akapicie pierwszym wymaga się wyłącznie w odniesieniu do budynków, do których nie ma zastosowania obowiązek przyłączenia do sieci, oraz tych, dla których uzyskano zgodę na odstępstwo od obowiązku przyłączenia do sieci.</w:t>
      </w:r>
    </w:p>
    <w:p w14:paraId="3D65B17C" w14:textId="77777777" w:rsidR="00154360" w:rsidRPr="00AC2428" w:rsidRDefault="00154360" w:rsidP="00A51EA0">
      <w:pPr>
        <w:jc w:val="both"/>
      </w:pPr>
    </w:p>
    <w:p w14:paraId="7747B28A" w14:textId="3C9ABDAF" w:rsidR="00154360" w:rsidRPr="00AC2428" w:rsidRDefault="00FC7497" w:rsidP="00A51EA0">
      <w:pPr>
        <w:jc w:val="both"/>
      </w:pPr>
      <w:r>
        <w:rPr>
          <w:i/>
        </w:rPr>
        <w:t>Artykuł R. 111-20-18</w:t>
      </w:r>
      <w:r>
        <w:t xml:space="preserve">. - Wymogi art. R. 111-20-17 stosuje się do budowy budynków lub części budynków objętych podsekcją 3, z wyjątkiem następujących kategorii: </w:t>
      </w:r>
    </w:p>
    <w:p w14:paraId="2EECB0B1" w14:textId="77777777" w:rsidR="00A51EA0" w:rsidRDefault="00A51EA0" w:rsidP="00A51EA0">
      <w:pPr>
        <w:pStyle w:val="NormalWeb"/>
        <w:spacing w:before="0" w:beforeAutospacing="0" w:after="0" w:afterAutospacing="0"/>
        <w:jc w:val="both"/>
      </w:pPr>
    </w:p>
    <w:p w14:paraId="70DACC20" w14:textId="1704D1AE" w:rsidR="00FC7497" w:rsidRPr="00AC2428" w:rsidRDefault="00FC7497" w:rsidP="00A51EA0">
      <w:pPr>
        <w:pStyle w:val="NormalWeb"/>
        <w:spacing w:before="0" w:beforeAutospacing="0" w:after="0" w:afterAutospacing="0"/>
        <w:jc w:val="both"/>
      </w:pPr>
      <w:r>
        <w:t>a) konstrukcji tymczasowych przewidzianych na okres użytkowania nieprzekraczający dwóch lat;</w:t>
      </w:r>
    </w:p>
    <w:p w14:paraId="33A60670" w14:textId="77777777" w:rsidR="00A51EA0" w:rsidRDefault="00A51EA0" w:rsidP="00A51EA0">
      <w:pPr>
        <w:pStyle w:val="NormalWeb"/>
        <w:spacing w:before="0" w:beforeAutospacing="0" w:after="0" w:afterAutospacing="0"/>
        <w:jc w:val="both"/>
      </w:pPr>
    </w:p>
    <w:p w14:paraId="565DE0E0" w14:textId="49433DC8" w:rsidR="00154360" w:rsidRPr="00AC2428" w:rsidRDefault="00FC7497" w:rsidP="00A51EA0">
      <w:pPr>
        <w:pStyle w:val="NormalWeb"/>
        <w:spacing w:before="0" w:beforeAutospacing="0" w:after="0" w:afterAutospacing="0"/>
        <w:jc w:val="both"/>
      </w:pPr>
      <w:r>
        <w:t xml:space="preserve">b) budynków o zastosowaniu rolniczym, rzemieślniczym lub przemysłowym, innych niż pomieszczenia mieszkalne, wymagających jedynie niewielkiej ilości energii na potrzeby ogrzewania, produkcji ciepłej wody użytkowej lub chłodzenia; </w:t>
      </w:r>
    </w:p>
    <w:p w14:paraId="70BD2A9F" w14:textId="77777777" w:rsidR="00A51EA0" w:rsidRDefault="00A51EA0" w:rsidP="00A51EA0">
      <w:pPr>
        <w:pStyle w:val="NormalWeb"/>
        <w:spacing w:before="0" w:beforeAutospacing="0" w:after="0" w:afterAutospacing="0"/>
        <w:jc w:val="both"/>
      </w:pPr>
    </w:p>
    <w:p w14:paraId="6A88E476" w14:textId="0351B5EE" w:rsidR="00154360" w:rsidRPr="00AC2428" w:rsidRDefault="00FC7497" w:rsidP="00A51EA0">
      <w:pPr>
        <w:pStyle w:val="NormalWeb"/>
        <w:spacing w:before="0" w:beforeAutospacing="0" w:after="0" w:afterAutospacing="0"/>
        <w:jc w:val="both"/>
      </w:pPr>
      <w:r>
        <w:t xml:space="preserve">c) budynków służących jako miejsca kultu; </w:t>
      </w:r>
    </w:p>
    <w:p w14:paraId="3668BDEE" w14:textId="77777777" w:rsidR="00A51EA0" w:rsidRDefault="00A51EA0" w:rsidP="00A51EA0">
      <w:pPr>
        <w:pStyle w:val="NormalWeb"/>
        <w:spacing w:before="0" w:beforeAutospacing="0" w:after="0" w:afterAutospacing="0"/>
        <w:jc w:val="both"/>
      </w:pPr>
    </w:p>
    <w:p w14:paraId="20B18312" w14:textId="6083ABF5" w:rsidR="00154360" w:rsidRPr="00AC2428" w:rsidRDefault="00FC7497" w:rsidP="00A51EA0">
      <w:pPr>
        <w:pStyle w:val="NormalWeb"/>
        <w:spacing w:before="0" w:beforeAutospacing="0" w:after="0" w:afterAutospacing="0"/>
        <w:jc w:val="both"/>
      </w:pPr>
      <w:r>
        <w:t xml:space="preserve">d) rozbudowy zabytków wpisanych do inwentarza zabytków na podstawie kodeksu dziedzictwa kulturowego; </w:t>
      </w:r>
    </w:p>
    <w:p w14:paraId="3DB6D8EA" w14:textId="77777777" w:rsidR="00A51EA0" w:rsidRDefault="00A51EA0" w:rsidP="00A51EA0">
      <w:pPr>
        <w:pStyle w:val="NormalWeb"/>
        <w:spacing w:before="0" w:beforeAutospacing="0" w:after="0" w:afterAutospacing="0"/>
        <w:jc w:val="both"/>
      </w:pPr>
    </w:p>
    <w:p w14:paraId="2DC4D4D8" w14:textId="6B4B2AD3" w:rsidR="00AC2428" w:rsidRPr="00AC2428" w:rsidRDefault="00FC7497" w:rsidP="00A51EA0">
      <w:pPr>
        <w:pStyle w:val="NormalWeb"/>
        <w:spacing w:before="0" w:beforeAutospacing="0" w:after="0" w:afterAutospacing="0"/>
        <w:jc w:val="both"/>
      </w:pPr>
      <w:r>
        <w:t xml:space="preserve">e) budynków wolnostojących, których całkowita powierzchnia nowej podłogi jest mniejsza niż 50 m²; </w:t>
      </w:r>
    </w:p>
    <w:p w14:paraId="2FACCF49" w14:textId="77777777" w:rsidR="00A51EA0" w:rsidRDefault="00A51EA0" w:rsidP="00A51EA0">
      <w:pPr>
        <w:pStyle w:val="NormalWeb"/>
        <w:spacing w:before="0" w:beforeAutospacing="0" w:after="0" w:afterAutospacing="0"/>
        <w:jc w:val="both"/>
      </w:pPr>
    </w:p>
    <w:p w14:paraId="54FE1B36" w14:textId="2AAC5104" w:rsidR="00154360" w:rsidRPr="00AC2428" w:rsidRDefault="00FC7497" w:rsidP="00A51EA0">
      <w:pPr>
        <w:pStyle w:val="NormalWeb"/>
        <w:spacing w:before="0" w:beforeAutospacing="0" w:after="0" w:afterAutospacing="0"/>
        <w:jc w:val="both"/>
      </w:pPr>
      <w:r>
        <w:t xml:space="preserve">f) budynków, w odniesieniu do których przepisy dotyczące charakterystyki termicznej przewidziane w art. </w:t>
      </w:r>
      <w:r>
        <w:rPr>
          <w:highlight w:val="yellow"/>
        </w:rPr>
        <w:t>R. 111-20-10</w:t>
      </w:r>
      <w:r>
        <w:t xml:space="preserve"> nakładają obowiązek korzystania z energii ze źródeł odnawialnych.</w:t>
      </w:r>
    </w:p>
    <w:p w14:paraId="3366C002" w14:textId="77777777" w:rsidR="00154360" w:rsidRPr="00AC2428" w:rsidRDefault="00154360" w:rsidP="00A51EA0">
      <w:pPr>
        <w:jc w:val="both"/>
      </w:pPr>
    </w:p>
    <w:p w14:paraId="583C8E64" w14:textId="00E6D283" w:rsidR="00154360" w:rsidRPr="00AC2428" w:rsidRDefault="00FC7497" w:rsidP="00A51EA0">
      <w:pPr>
        <w:jc w:val="both"/>
      </w:pPr>
      <w:r>
        <w:rPr>
          <w:i/>
        </w:rPr>
        <w:t>Artykuł R. 111-20-19</w:t>
      </w:r>
      <w:r>
        <w:t xml:space="preserve">. - Wspólne rozporządzenie ministrów właściwych do spraw budownictwa i energii określa zasady stosowania art. </w:t>
      </w:r>
      <w:r>
        <w:rPr>
          <w:highlight w:val="yellow"/>
        </w:rPr>
        <w:t>R. 111-20-17 i R. 111-20-18</w:t>
      </w:r>
      <w:r>
        <w:t>.</w:t>
      </w:r>
    </w:p>
    <w:p w14:paraId="262F84AC" w14:textId="04829472" w:rsidR="00154360" w:rsidRPr="00AC2428" w:rsidRDefault="00154360" w:rsidP="00A51EA0">
      <w:pPr>
        <w:jc w:val="both"/>
      </w:pPr>
    </w:p>
    <w:p w14:paraId="08017502" w14:textId="47FCEB88" w:rsidR="00154360" w:rsidRPr="00AC2428" w:rsidRDefault="00FC7497" w:rsidP="00A51EA0">
      <w:pPr>
        <w:jc w:val="both"/>
        <w:rPr>
          <w:i/>
        </w:rPr>
      </w:pPr>
      <w:r>
        <w:rPr>
          <w:i/>
        </w:rPr>
        <w:t>Podsekcja 5: Wzorowa charakterystyka energetyczna i środowiskowa budynków</w:t>
      </w:r>
    </w:p>
    <w:p w14:paraId="36C53CF3" w14:textId="77777777" w:rsidR="00D71C64" w:rsidRPr="00AC2428" w:rsidRDefault="00D71C64" w:rsidP="00A51EA0">
      <w:pPr>
        <w:jc w:val="both"/>
      </w:pPr>
    </w:p>
    <w:p w14:paraId="038762C0" w14:textId="59A7326E" w:rsidR="00154360" w:rsidRPr="00AC2428" w:rsidRDefault="00FC7497" w:rsidP="00A51EA0">
      <w:pPr>
        <w:jc w:val="both"/>
      </w:pPr>
      <w:r>
        <w:rPr>
          <w:i/>
        </w:rPr>
        <w:t>Artykuł R. 111-20-20</w:t>
      </w:r>
      <w:r>
        <w:t>. - W celu skorzystania z możliwości przekroczenia parametrów przewidzianej w art. L. 151-28 pkt 3 kodeksu urbanistyki budynki objęte podsekcją 3 muszą wykazać wzorową charakterystykę energetyczną zgodnie z warunkami zdefiniowanymi w ust. I lub wzorową charakterystykę środowiskową zgodnie z warunkami zdefiniowanymi w ust. II lub zostać uznane za budynki o dodatnim bilansie energetycznym zgodnie z warunkami zdefiniowanymi w ust. III.</w:t>
      </w:r>
    </w:p>
    <w:p w14:paraId="6CAD2194" w14:textId="77777777" w:rsidR="00A51EA0" w:rsidRDefault="00A51EA0" w:rsidP="00A51EA0">
      <w:pPr>
        <w:pStyle w:val="NormalWeb"/>
        <w:spacing w:before="0" w:beforeAutospacing="0" w:after="0" w:afterAutospacing="0"/>
        <w:jc w:val="both"/>
      </w:pPr>
    </w:p>
    <w:p w14:paraId="7BE40476" w14:textId="1398EC47" w:rsidR="00154360" w:rsidRPr="00AC2428" w:rsidRDefault="00FC7497" w:rsidP="00A51EA0">
      <w:pPr>
        <w:pStyle w:val="NormalWeb"/>
        <w:spacing w:before="0" w:beforeAutospacing="0" w:after="0" w:afterAutospacing="0"/>
        <w:jc w:val="both"/>
      </w:pPr>
      <w:r>
        <w:t xml:space="preserve">I. - Budynek cechuje się wzorową charakterystyką energetyczną, jeżeli jego zwyczajowe zużycie energii jest mniejsze o co najmniej 20 % od zwyczajowego zużycia energii zdefiniowanego w art. </w:t>
      </w:r>
      <w:r>
        <w:rPr>
          <w:highlight w:val="yellow"/>
        </w:rPr>
        <w:t>R. 111-20-10</w:t>
      </w:r>
      <w:r>
        <w:t xml:space="preserve"> ust. I pkt 1 niniejszego kodeksu.</w:t>
      </w:r>
    </w:p>
    <w:p w14:paraId="70F6A03D" w14:textId="77777777" w:rsidR="00A51EA0" w:rsidRDefault="00A51EA0" w:rsidP="00A51EA0">
      <w:pPr>
        <w:pStyle w:val="NormalWeb"/>
        <w:spacing w:before="0" w:beforeAutospacing="0" w:after="0" w:afterAutospacing="0"/>
        <w:jc w:val="both"/>
      </w:pPr>
    </w:p>
    <w:p w14:paraId="758C2337" w14:textId="48EE1709" w:rsidR="00154360" w:rsidRPr="00AC2428" w:rsidRDefault="00FC7497" w:rsidP="00A51EA0">
      <w:pPr>
        <w:pStyle w:val="NormalWeb"/>
        <w:spacing w:before="0" w:beforeAutospacing="0" w:after="0" w:afterAutospacing="0"/>
        <w:jc w:val="both"/>
      </w:pPr>
      <w:r>
        <w:t>II. - Budynek cechuje się wzorową charakterystyką środowiskową, jeżeli spełnia wymóg charakterystyki przewidziany w pkt 1 poniżej oraz dwa z kryteriów charakterystyki, o których mowa w pkt 2, 3 i 4 poniżej:</w:t>
      </w:r>
    </w:p>
    <w:p w14:paraId="5FC8E666" w14:textId="77777777" w:rsidR="00A51EA0" w:rsidRDefault="00A51EA0" w:rsidP="00A51EA0">
      <w:pPr>
        <w:pStyle w:val="NormalWeb"/>
        <w:spacing w:before="0" w:beforeAutospacing="0" w:after="0" w:afterAutospacing="0"/>
        <w:jc w:val="both"/>
      </w:pPr>
    </w:p>
    <w:p w14:paraId="1C2FFB08" w14:textId="406E3A8C" w:rsidR="00154360" w:rsidRPr="00AC2428" w:rsidRDefault="00FC7497" w:rsidP="00A51EA0">
      <w:pPr>
        <w:pStyle w:val="NormalWeb"/>
        <w:spacing w:before="0" w:beforeAutospacing="0" w:after="0" w:afterAutospacing="0"/>
        <w:jc w:val="both"/>
      </w:pPr>
      <w:r>
        <w:t>1) ilość emisji gazów cieplarnianych w całym cyklu eksploatacji budynku jest niższa od wartości progowej wyrażonej w kilogramach ekwiwalentu dwutlenku węgla na metr kwadratowy;</w:t>
      </w:r>
    </w:p>
    <w:p w14:paraId="42572EDB" w14:textId="77777777" w:rsidR="00A51EA0" w:rsidRDefault="00A51EA0" w:rsidP="00A51EA0">
      <w:pPr>
        <w:pStyle w:val="NormalWeb"/>
        <w:spacing w:before="0" w:beforeAutospacing="0" w:after="0" w:afterAutospacing="0"/>
        <w:jc w:val="both"/>
      </w:pPr>
    </w:p>
    <w:p w14:paraId="77BE13BB" w14:textId="393BB338" w:rsidR="00154360" w:rsidRPr="00AC2428" w:rsidRDefault="00FC7497" w:rsidP="00A51EA0">
      <w:pPr>
        <w:pStyle w:val="NormalWeb"/>
        <w:spacing w:before="0" w:beforeAutospacing="0" w:after="0" w:afterAutospacing="0"/>
        <w:jc w:val="both"/>
      </w:pPr>
      <w:r>
        <w:t>2) ilość odpadów z placu budowy budynku poddanych odzyskowi przekracza wartość progową ustanowioną rozporządzeniem;</w:t>
      </w:r>
    </w:p>
    <w:p w14:paraId="05874E5D" w14:textId="77777777" w:rsidR="00A51EA0" w:rsidRDefault="00A51EA0" w:rsidP="00A51EA0">
      <w:pPr>
        <w:pStyle w:val="NormalWeb"/>
        <w:spacing w:before="0" w:beforeAutospacing="0" w:after="0" w:afterAutospacing="0"/>
        <w:jc w:val="both"/>
      </w:pPr>
    </w:p>
    <w:p w14:paraId="5207E51E" w14:textId="25AD5449" w:rsidR="00154360" w:rsidRPr="00AC2428" w:rsidRDefault="00FC7497" w:rsidP="00A51EA0">
      <w:pPr>
        <w:pStyle w:val="NormalWeb"/>
        <w:spacing w:before="0" w:beforeAutospacing="0" w:after="0" w:afterAutospacing="0"/>
        <w:jc w:val="both"/>
      </w:pPr>
      <w:r>
        <w:t>3) budynek zawiera minimalną proporcję materiałów o niskim poziomie emisji lotnych związków organicznych, a instalacje wentylacji są przedmiotem podejścia jakościowego przewidzianego rozporządzeniem;</w:t>
      </w:r>
    </w:p>
    <w:p w14:paraId="548EFF1B" w14:textId="77777777" w:rsidR="00A51EA0" w:rsidRDefault="00A51EA0" w:rsidP="00A51EA0">
      <w:pPr>
        <w:pStyle w:val="NormalWeb"/>
        <w:spacing w:before="0" w:beforeAutospacing="0" w:after="0" w:afterAutospacing="0"/>
        <w:jc w:val="both"/>
      </w:pPr>
    </w:p>
    <w:p w14:paraId="13ED973A" w14:textId="32D5F118" w:rsidR="00154360" w:rsidRPr="00AC2428" w:rsidRDefault="00FC7497" w:rsidP="00A51EA0">
      <w:pPr>
        <w:pStyle w:val="NormalWeb"/>
        <w:spacing w:before="0" w:beforeAutospacing="0" w:after="0" w:afterAutospacing="0"/>
        <w:jc w:val="both"/>
      </w:pPr>
      <w:r>
        <w:t xml:space="preserve">4) budynek zawiera minimalną ilość materiałów z surowców biologicznych, o której mowa w art. </w:t>
      </w:r>
      <w:r>
        <w:rPr>
          <w:highlight w:val="yellow"/>
        </w:rPr>
        <w:t>R. 111-20-22</w:t>
      </w:r>
      <w:r>
        <w:t>.</w:t>
      </w:r>
    </w:p>
    <w:p w14:paraId="2DD24BCF" w14:textId="77777777" w:rsidR="00A51EA0" w:rsidRDefault="00A51EA0" w:rsidP="00A51EA0">
      <w:pPr>
        <w:pStyle w:val="NormalWeb"/>
        <w:spacing w:before="0" w:beforeAutospacing="0" w:after="0" w:afterAutospacing="0"/>
        <w:jc w:val="both"/>
      </w:pPr>
    </w:p>
    <w:p w14:paraId="1CCF520E" w14:textId="0CDDA367" w:rsidR="00154360" w:rsidRPr="00AC2428" w:rsidRDefault="00FC7497" w:rsidP="00A51EA0">
      <w:pPr>
        <w:pStyle w:val="NormalWeb"/>
        <w:spacing w:before="0" w:beforeAutospacing="0" w:after="0" w:afterAutospacing="0"/>
        <w:jc w:val="both"/>
      </w:pPr>
      <w:r>
        <w:t>III. - Za budynek o dodatnim bilansie energetycznym uważa się budynek, w którym dąży się do osiągnięcia równowagi między zużyciem energii ze źródeł nieodnawialnych a produkcją energii odnawialnej przez budynek odprowadzanej do sieci, którego bilans energetyczny jest niższy od progu zdefiniowanego rozporządzeniem i może być modulowany w zależności od lokalizacji, charakterystyki i wykorzystania budynku.</w:t>
      </w:r>
    </w:p>
    <w:p w14:paraId="2B806F3B" w14:textId="77777777" w:rsidR="00A51EA0" w:rsidRDefault="00A51EA0" w:rsidP="00A51EA0">
      <w:pPr>
        <w:pStyle w:val="NormalWeb"/>
        <w:spacing w:before="0" w:beforeAutospacing="0" w:after="0" w:afterAutospacing="0"/>
        <w:jc w:val="both"/>
      </w:pPr>
    </w:p>
    <w:p w14:paraId="588BAF96" w14:textId="77B3102C" w:rsidR="00154360" w:rsidRPr="00AC2428" w:rsidRDefault="00FC7497" w:rsidP="00A51EA0">
      <w:pPr>
        <w:pStyle w:val="NormalWeb"/>
        <w:spacing w:before="0" w:beforeAutospacing="0" w:after="0" w:afterAutospacing="0"/>
        <w:jc w:val="both"/>
      </w:pPr>
      <w:r>
        <w:t>Bilans ten definiuje się jako różnicę, wyrażoną jako energia pierwotna, między ilością energii, która nie pochodzi ani ze źródeł odnawialnych, ani z rekuperacji, zużywanej przez budynek, a ilością energii ze źródeł odnawialnych lub rekuperacji produkowanej i odprowadzanej do sieci przez budynek i przestrzenie do niego przynależne. Energię ze źródeł odnawialnych i energię z rekuperacji zdefiniowano w art. R. 712-1 pkt 1 i 2 kodeksu energetyki. Bilans energetyczny dotyczy wszystkich środków zużycia energii w budynku.</w:t>
      </w:r>
    </w:p>
    <w:p w14:paraId="743F8C27" w14:textId="77777777" w:rsidR="00A51EA0" w:rsidRDefault="00A51EA0" w:rsidP="00A51EA0">
      <w:pPr>
        <w:pStyle w:val="NormalWeb"/>
        <w:spacing w:before="0" w:beforeAutospacing="0" w:after="0" w:afterAutospacing="0"/>
        <w:jc w:val="both"/>
      </w:pPr>
    </w:p>
    <w:p w14:paraId="01DBF8CB" w14:textId="7937FF06" w:rsidR="00154360" w:rsidRPr="00AC2428" w:rsidRDefault="00FC7497" w:rsidP="00A51EA0">
      <w:pPr>
        <w:pStyle w:val="NormalWeb"/>
        <w:spacing w:before="0" w:beforeAutospacing="0" w:after="0" w:afterAutospacing="0"/>
        <w:jc w:val="both"/>
      </w:pPr>
      <w:r>
        <w:t>IV. - W celu wykazania wzorcowej charakterystyki energetycznej inwestor załącza do wniosku o pozwolenie na budowę, zgodnie z art. R. 431-18 kodeksu urbanistyki, dokument potwierdzający, że uwzględnił lub zlecił uwzględnienie kierownikowi robót, jeśli ten ostatni odpowiada za zadanie zaprojektowania obsługi, wymaganych kryteriów charakterystyki energetycznej.</w:t>
      </w:r>
    </w:p>
    <w:p w14:paraId="5E7012D9" w14:textId="77777777" w:rsidR="00A51EA0" w:rsidRDefault="00A51EA0" w:rsidP="00A51EA0">
      <w:pPr>
        <w:pStyle w:val="NormalWeb"/>
        <w:spacing w:before="0" w:beforeAutospacing="0" w:after="0" w:afterAutospacing="0"/>
        <w:jc w:val="both"/>
      </w:pPr>
    </w:p>
    <w:p w14:paraId="6EE43B6A" w14:textId="44F0A17D" w:rsidR="00154360" w:rsidRPr="00AC2428" w:rsidRDefault="00FC7497" w:rsidP="00A51EA0">
      <w:pPr>
        <w:pStyle w:val="NormalWeb"/>
        <w:spacing w:before="0" w:beforeAutospacing="0" w:after="0" w:afterAutospacing="0"/>
        <w:jc w:val="both"/>
      </w:pPr>
      <w:r>
        <w:t xml:space="preserve">W celu uzyskania statusu wzorcowej charakterystyki energetycznej lub zakwalifikowania jako budynku o dodatnim bilansie energetycznym budynek podlega certyfikacji, w rozumieniu art. L. 433-3 do L. 433-10 kodeksu konsumentów, przez organ akredytowany zgodnie z normą NF EN ISO/ CEI 17065 do tego rodzaju działalności certyfikacyjnej przez Francuski Komitet </w:t>
      </w:r>
      <w:r>
        <w:lastRenderedPageBreak/>
        <w:t>Akredytacyjny (COFRAC) lub instytucję akredytacyjną, która podpisała wielostronne porozumienie w ramach Europejskiej Współpracy w dziedzinie Akredytacji, który to organ podpisał porozumienie w tym celu z ministrem właściwym do spraw budownictwa. Inwestor załącza do wniosku o pozwolenie na budowę, zgodnie z art. R. 431-18 kodeksu urbanistyki, dokument sporządzony przez organ certyfikujący potwierdzający uwzględnienie na etapie pozwolenia na budowę wymaganych kryteriów, o których mowa odpowiednio w ust. II i III niniejszego artykułu.</w:t>
      </w:r>
    </w:p>
    <w:p w14:paraId="093F7041" w14:textId="77777777" w:rsidR="00A51EA0" w:rsidRDefault="00A51EA0" w:rsidP="00A51EA0">
      <w:pPr>
        <w:pStyle w:val="NormalWeb"/>
        <w:spacing w:before="0" w:beforeAutospacing="0" w:after="0" w:afterAutospacing="0"/>
        <w:jc w:val="both"/>
      </w:pPr>
    </w:p>
    <w:p w14:paraId="44C85024" w14:textId="0C8FF1E4" w:rsidR="00154360" w:rsidRPr="00AC2428" w:rsidRDefault="00FC7497" w:rsidP="00A51EA0">
      <w:pPr>
        <w:pStyle w:val="NormalWeb"/>
        <w:spacing w:before="0" w:beforeAutospacing="0" w:after="0" w:afterAutospacing="0"/>
        <w:jc w:val="both"/>
      </w:pPr>
      <w:r>
        <w:t>V. - Wspólne rozporządzenie ministrów właściwych do spraw budownictwa i energii określa zasady stosowania niniejszego artykułu.</w:t>
      </w:r>
    </w:p>
    <w:p w14:paraId="6E31AFE6" w14:textId="77777777" w:rsidR="00A51EA0" w:rsidRDefault="00A51EA0" w:rsidP="00A51EA0">
      <w:pPr>
        <w:jc w:val="both"/>
      </w:pPr>
    </w:p>
    <w:p w14:paraId="6F1E11FC" w14:textId="61C21878" w:rsidR="00154360" w:rsidRPr="00AC2428" w:rsidRDefault="00FC7497" w:rsidP="00A51EA0">
      <w:pPr>
        <w:jc w:val="both"/>
      </w:pPr>
      <w:r>
        <w:rPr>
          <w:i/>
        </w:rPr>
        <w:t>Artykuł R. 111-20-21</w:t>
      </w:r>
      <w:r>
        <w:t xml:space="preserve">. - Bez uszczerbku dla stosowania, w stosownych przypadkach, surowszych kar przewidzianych w art. </w:t>
      </w:r>
      <w:r>
        <w:rPr>
          <w:highlight w:val="yellow"/>
        </w:rPr>
        <w:t>L. 152-2 do L. 152-9</w:t>
      </w:r>
      <w:r>
        <w:t>, posiadacz pozwolenia na budowę lub jego następca prawny, który skorzystał z przepisów art. L. 151-28 pkt 3 kodeksu urbanistyki i nie zrealizował budynku spełniającego wymagane kryteria charakterystyki energetycznej lub nie wypełnił w ciągu trzech lat od zakończenia robót zobowiązania do zainstalowania urządzeń do produkcji energii ze źródeł odnawialnych, podlega karze grzywny przewidzianej za wykroczenia 5. kategorii.</w:t>
      </w:r>
    </w:p>
    <w:p w14:paraId="477ED1E2" w14:textId="77777777" w:rsidR="00A51EA0" w:rsidRDefault="00A51EA0" w:rsidP="00A51EA0">
      <w:pPr>
        <w:pStyle w:val="NormalWeb"/>
        <w:spacing w:before="0" w:beforeAutospacing="0" w:after="0" w:afterAutospacing="0"/>
        <w:jc w:val="both"/>
      </w:pPr>
    </w:p>
    <w:p w14:paraId="6FA4E342" w14:textId="0335F183" w:rsidR="00154360" w:rsidRPr="00AC2428" w:rsidRDefault="00FC7497" w:rsidP="00A51EA0">
      <w:pPr>
        <w:pStyle w:val="NormalWeb"/>
        <w:spacing w:before="0" w:beforeAutospacing="0" w:after="0" w:afterAutospacing="0"/>
        <w:jc w:val="both"/>
      </w:pPr>
      <w:r>
        <w:t>Osoba uznana za winną tych naruszeń podlega również dodatkowej karze ogłoszenia lub rozpowszechnienia, w prasie lub za pomocą innego środka komunikacji audiowizualnej, wydanej decyzji zgodnie z warunkami przewidzianymi w art. 131-35 i 131-48 kodeksu karnego.</w:t>
      </w:r>
    </w:p>
    <w:p w14:paraId="19A057D8" w14:textId="77777777" w:rsidR="00A51EA0" w:rsidRDefault="00A51EA0" w:rsidP="00A51EA0">
      <w:pPr>
        <w:pStyle w:val="NormalWeb"/>
        <w:spacing w:before="0" w:beforeAutospacing="0" w:after="0" w:afterAutospacing="0"/>
        <w:jc w:val="both"/>
      </w:pPr>
    </w:p>
    <w:p w14:paraId="23AF5EC7" w14:textId="674693C8" w:rsidR="00154360" w:rsidRPr="00AC2428" w:rsidRDefault="00FC7497" w:rsidP="00A51EA0">
      <w:pPr>
        <w:pStyle w:val="NormalWeb"/>
        <w:spacing w:before="0" w:beforeAutospacing="0" w:after="0" w:afterAutospacing="0"/>
        <w:jc w:val="both"/>
      </w:pPr>
      <w:r>
        <w:t>Ponowne popełnienie tych wykroczeń podlega karze zgodnie z art. 132-11 i 132-15 kodeksu karnego.</w:t>
      </w:r>
    </w:p>
    <w:p w14:paraId="153AFA4F" w14:textId="77777777" w:rsidR="00A51EA0" w:rsidRDefault="00A51EA0" w:rsidP="00A51EA0">
      <w:pPr>
        <w:jc w:val="both"/>
        <w:rPr>
          <w:color w:val="000000" w:themeColor="text1"/>
        </w:rPr>
      </w:pPr>
    </w:p>
    <w:p w14:paraId="6355671F" w14:textId="3756BA6F" w:rsidR="00154360" w:rsidRPr="00AC2428" w:rsidRDefault="00FC7497" w:rsidP="00A51EA0">
      <w:pPr>
        <w:jc w:val="both"/>
        <w:rPr>
          <w:color w:val="000000" w:themeColor="text1"/>
        </w:rPr>
      </w:pPr>
      <w:r>
        <w:rPr>
          <w:i/>
          <w:color w:val="000000" w:themeColor="text1"/>
        </w:rPr>
        <w:t>Artykuł R. 111-20-22</w:t>
      </w:r>
      <w:r>
        <w:rPr>
          <w:color w:val="000000" w:themeColor="text1"/>
        </w:rPr>
        <w:t>. - Konstrukcje budynków lub części budynków zawierające minimalną ilość dwutlenku węgla pochodzącego z atmosfery i składowanego w wyrobach budowlanych lub wykończeniowych można zgłaszać w celu uzyskania oznaczenia »budynek z surowców biologicznych«. Warunki przyznawania takiego oznaczenia określa rozporządzenie ministra właściwego do spraw budownictwa. ”</w:t>
      </w:r>
    </w:p>
    <w:p w14:paraId="6C910CEC" w14:textId="77777777" w:rsidR="00D71C64" w:rsidRPr="00AC2428" w:rsidRDefault="00D71C64" w:rsidP="00A51EA0">
      <w:pPr>
        <w:jc w:val="both"/>
      </w:pPr>
    </w:p>
    <w:p w14:paraId="4B8A190E" w14:textId="1475E363" w:rsidR="00D71C64" w:rsidRPr="00AC2428" w:rsidRDefault="00D71C64" w:rsidP="00A51EA0">
      <w:pPr>
        <w:jc w:val="both"/>
      </w:pPr>
    </w:p>
    <w:p w14:paraId="09A0FAAD" w14:textId="13CD1DBF" w:rsidR="00500EA5" w:rsidRPr="00AC2428" w:rsidRDefault="00500EA5" w:rsidP="00A51EA0">
      <w:pPr>
        <w:jc w:val="center"/>
        <w:rPr>
          <w:b/>
        </w:rPr>
      </w:pPr>
      <w:r>
        <w:rPr>
          <w:b/>
        </w:rPr>
        <w:t>Artykuł 2</w:t>
      </w:r>
    </w:p>
    <w:p w14:paraId="1C07E527" w14:textId="75EEBD2A" w:rsidR="00500EA5" w:rsidRPr="00AC2428" w:rsidRDefault="00500EA5" w:rsidP="00A51EA0">
      <w:pPr>
        <w:jc w:val="both"/>
      </w:pPr>
    </w:p>
    <w:p w14:paraId="62DBF6B5" w14:textId="0CFB74CB" w:rsidR="00500EA5" w:rsidRPr="00AC2428" w:rsidRDefault="00500EA5" w:rsidP="00A51EA0">
      <w:pPr>
        <w:jc w:val="both"/>
      </w:pPr>
      <w:r>
        <w:t>Po art. R. 111-20-22 w podsekcji 5 dodaje się art. R. 111-20-23. Ma on następujące brzmienie:</w:t>
      </w:r>
    </w:p>
    <w:p w14:paraId="20B27905" w14:textId="77777777" w:rsidR="00500EA5" w:rsidRPr="00AC2428" w:rsidRDefault="00500EA5" w:rsidP="00A51EA0">
      <w:pPr>
        <w:jc w:val="both"/>
      </w:pPr>
    </w:p>
    <w:p w14:paraId="737F03F2" w14:textId="793896FE" w:rsidR="00154360" w:rsidRPr="00AC2428" w:rsidRDefault="000E3CDC" w:rsidP="00A51EA0">
      <w:pPr>
        <w:jc w:val="both"/>
        <w:rPr>
          <w:color w:val="000000" w:themeColor="text1"/>
        </w:rPr>
      </w:pPr>
      <w:r>
        <w:rPr>
          <w:color w:val="000000" w:themeColor="text1"/>
        </w:rPr>
        <w:t>„</w:t>
      </w:r>
      <w:r>
        <w:rPr>
          <w:i/>
          <w:color w:val="000000" w:themeColor="text1"/>
        </w:rPr>
        <w:t>Artykuł R. 111-20-23.</w:t>
      </w:r>
      <w:r>
        <w:rPr>
          <w:color w:val="000000" w:themeColor="text1"/>
        </w:rPr>
        <w:t xml:space="preserve"> - Rozporządzenie ministra właściwego do spraw energii, ministra właściwego do spraw środowiska i ministra właściwego do spraw budownictwa określa warunki przyznawania budynkowi lub części budynków objętych podsekcją 1 oznaczenia »wysokiej charakterystyki energetycznej i środowiskowej«.”.</w:t>
      </w:r>
    </w:p>
    <w:p w14:paraId="629331AA" w14:textId="77777777" w:rsidR="00154360" w:rsidRPr="00AC2428" w:rsidRDefault="00154360" w:rsidP="00A51EA0">
      <w:pPr>
        <w:jc w:val="both"/>
      </w:pPr>
    </w:p>
    <w:p w14:paraId="43E5417E" w14:textId="77777777" w:rsidR="00154360" w:rsidRPr="00AC2428" w:rsidRDefault="00154360" w:rsidP="00A51EA0">
      <w:pPr>
        <w:jc w:val="both"/>
      </w:pPr>
    </w:p>
    <w:p w14:paraId="4D0E467B" w14:textId="2577C0AD" w:rsidR="00154360" w:rsidRPr="00AC2428" w:rsidRDefault="00154360" w:rsidP="00A51EA0">
      <w:pPr>
        <w:jc w:val="center"/>
        <w:rPr>
          <w:b/>
        </w:rPr>
      </w:pPr>
      <w:r>
        <w:rPr>
          <w:b/>
        </w:rPr>
        <w:t>Artykuł 3</w:t>
      </w:r>
    </w:p>
    <w:p w14:paraId="2491E38C" w14:textId="77777777" w:rsidR="00D71C64" w:rsidRPr="00AC2428" w:rsidRDefault="00D71C64" w:rsidP="00A51EA0">
      <w:pPr>
        <w:jc w:val="both"/>
        <w:rPr>
          <w:b/>
        </w:rPr>
      </w:pPr>
    </w:p>
    <w:p w14:paraId="37B2B001" w14:textId="57EEE2CC" w:rsidR="00154360" w:rsidRPr="00AC2428" w:rsidRDefault="00154360" w:rsidP="00A51EA0">
      <w:pPr>
        <w:jc w:val="both"/>
      </w:pPr>
      <w:r>
        <w:t>Podsekcja 5 sekcji 4 rozdziału I tytułu I księgi I kodeksu budownictwa i mieszkalnictwa staje się podsekcją 6 tego samego kodeksu.</w:t>
      </w:r>
    </w:p>
    <w:p w14:paraId="027F84AE" w14:textId="77777777" w:rsidR="000E3CDC" w:rsidRPr="00AC2428" w:rsidRDefault="000E3CDC" w:rsidP="00A51EA0">
      <w:pPr>
        <w:jc w:val="both"/>
      </w:pPr>
    </w:p>
    <w:p w14:paraId="5CFD0A3F" w14:textId="43223EF7" w:rsidR="002422A2" w:rsidRPr="00AC2428" w:rsidRDefault="002422A2" w:rsidP="00A51EA0">
      <w:pPr>
        <w:jc w:val="both"/>
      </w:pPr>
    </w:p>
    <w:p w14:paraId="13D6654C" w14:textId="5791814C" w:rsidR="001F3786" w:rsidRPr="00AC2428" w:rsidRDefault="001F3786" w:rsidP="0077116C">
      <w:pPr>
        <w:keepNext/>
        <w:keepLines/>
        <w:jc w:val="center"/>
        <w:rPr>
          <w:b/>
        </w:rPr>
      </w:pPr>
      <w:r>
        <w:rPr>
          <w:b/>
        </w:rPr>
        <w:lastRenderedPageBreak/>
        <w:t>Artykuł 4</w:t>
      </w:r>
    </w:p>
    <w:p w14:paraId="3CED07FE" w14:textId="77777777" w:rsidR="001F3786" w:rsidRPr="00AC2428" w:rsidRDefault="001F3786" w:rsidP="0077116C">
      <w:pPr>
        <w:keepNext/>
        <w:keepLines/>
        <w:jc w:val="both"/>
      </w:pPr>
      <w:bookmarkStart w:id="0" w:name="_GoBack"/>
      <w:bookmarkEnd w:id="0"/>
    </w:p>
    <w:p w14:paraId="4E6B60F9" w14:textId="647EC0EF" w:rsidR="00E756DF" w:rsidRPr="00AC2428" w:rsidRDefault="00E756DF" w:rsidP="00A51EA0">
      <w:pPr>
        <w:jc w:val="both"/>
      </w:pPr>
      <w:r>
        <w:t xml:space="preserve">I. - Przepisy art. 1 i 3 niniejszego dekretu wchodzą w życie z dniem 1 lipca 2021 r. </w:t>
      </w:r>
    </w:p>
    <w:p w14:paraId="6DBC70E1" w14:textId="77777777" w:rsidR="0083620D" w:rsidRPr="00AC2428" w:rsidRDefault="0083620D" w:rsidP="00A51EA0">
      <w:pPr>
        <w:jc w:val="both"/>
      </w:pPr>
    </w:p>
    <w:p w14:paraId="0D875F96" w14:textId="7111AF25" w:rsidR="00D71C64" w:rsidRPr="00AC2428" w:rsidRDefault="00E756DF" w:rsidP="00A51EA0">
      <w:pPr>
        <w:jc w:val="both"/>
      </w:pPr>
      <w:r>
        <w:t>II. - Przepisy art. 2 niniejszego dekretu wchodzą w życie z datą, którą określi rozporządzenie, najpóźniej dnia 30 czerwca 2022 r.</w:t>
      </w:r>
    </w:p>
    <w:p w14:paraId="4E791787" w14:textId="77777777" w:rsidR="000E3CDC" w:rsidRPr="00AC2428" w:rsidRDefault="000E3CDC" w:rsidP="00A51EA0">
      <w:pPr>
        <w:jc w:val="both"/>
      </w:pPr>
    </w:p>
    <w:p w14:paraId="27CFF1BB" w14:textId="77777777" w:rsidR="001F3786" w:rsidRPr="00AC2428" w:rsidRDefault="001F3786" w:rsidP="00A51EA0">
      <w:pPr>
        <w:jc w:val="both"/>
        <w:rPr>
          <w:b/>
        </w:rPr>
      </w:pPr>
    </w:p>
    <w:p w14:paraId="5D16EF9A" w14:textId="4A6D21E1" w:rsidR="00154360" w:rsidRPr="00AC2428" w:rsidRDefault="00D71C64" w:rsidP="00A51EA0">
      <w:pPr>
        <w:jc w:val="center"/>
        <w:rPr>
          <w:b/>
        </w:rPr>
      </w:pPr>
      <w:r>
        <w:rPr>
          <w:b/>
        </w:rPr>
        <w:t>Artykuł 5</w:t>
      </w:r>
    </w:p>
    <w:p w14:paraId="41A1DF81" w14:textId="77777777" w:rsidR="00D71C64" w:rsidRPr="00AC2428" w:rsidRDefault="00D71C64" w:rsidP="00A51EA0">
      <w:pPr>
        <w:jc w:val="both"/>
        <w:rPr>
          <w:b/>
        </w:rPr>
      </w:pPr>
    </w:p>
    <w:p w14:paraId="53F2CD99" w14:textId="680DCEDD" w:rsidR="00154360" w:rsidRPr="00AC2428" w:rsidRDefault="00154360" w:rsidP="00A51EA0">
      <w:pPr>
        <w:widowControl w:val="0"/>
        <w:jc w:val="both"/>
      </w:pPr>
      <w:r>
        <w:t>Za wykonanie niniejszego dekretu, który zostanie opublikowany w Dzienniku Urzędowym Republiki Francuskiej, odpowiadają, każda w zakresie swoich właściwości, Minister Transformacji Ekologicznej oraz minister oddelegowana przy Minister Transformacji Ekologicznej, właściwa ds. mieszkalnictwa. </w:t>
      </w:r>
    </w:p>
    <w:p w14:paraId="24C63A94" w14:textId="77777777" w:rsidR="00154360" w:rsidRPr="00AC2428" w:rsidRDefault="00154360" w:rsidP="00A51EA0">
      <w:pPr>
        <w:widowControl w:val="0"/>
        <w:jc w:val="both"/>
      </w:pPr>
    </w:p>
    <w:p w14:paraId="63C20AFE" w14:textId="77777777" w:rsidR="00154360" w:rsidRPr="00AC2428" w:rsidRDefault="00154360" w:rsidP="00A51EA0">
      <w:pPr>
        <w:widowControl w:val="0"/>
        <w:jc w:val="both"/>
      </w:pPr>
    </w:p>
    <w:p w14:paraId="262C9A33" w14:textId="77777777" w:rsidR="00154360" w:rsidRPr="00AC2428" w:rsidRDefault="00154360" w:rsidP="00A51EA0">
      <w:pPr>
        <w:pStyle w:val="SNSignature"/>
        <w:jc w:val="right"/>
      </w:pPr>
    </w:p>
    <w:p w14:paraId="18246DE6" w14:textId="2C1CDB08" w:rsidR="00154360" w:rsidRPr="00AC2428" w:rsidRDefault="00154360" w:rsidP="00A51EA0">
      <w:pPr>
        <w:pStyle w:val="SNSignature"/>
        <w:ind w:firstLine="0"/>
        <w:rPr>
          <w:color w:val="000000"/>
        </w:rPr>
      </w:pPr>
      <w:r>
        <w:rPr>
          <w:color w:val="000000"/>
        </w:rPr>
        <w:t>Z upoważnienia Premiera:</w:t>
      </w:r>
    </w:p>
    <w:p w14:paraId="6A0B9C0B" w14:textId="77777777" w:rsidR="00403727" w:rsidRPr="00AC2428" w:rsidRDefault="00403727" w:rsidP="00A51EA0">
      <w:pPr>
        <w:pStyle w:val="SNSignature"/>
        <w:ind w:firstLine="0"/>
        <w:rPr>
          <w:color w:val="000000"/>
          <w:lang w:eastAsia="fr-FR"/>
        </w:rPr>
      </w:pPr>
    </w:p>
    <w:p w14:paraId="2C642B17" w14:textId="19D5E8B9" w:rsidR="00403727" w:rsidRPr="00AC2428" w:rsidRDefault="00403727" w:rsidP="00A51EA0">
      <w:pPr>
        <w:pStyle w:val="SNSignature"/>
        <w:ind w:firstLine="0"/>
        <w:rPr>
          <w:color w:val="000000"/>
          <w:lang w:eastAsia="fr-FR"/>
        </w:rPr>
      </w:pPr>
    </w:p>
    <w:p w14:paraId="3E4DD31B" w14:textId="77777777" w:rsidR="00403727" w:rsidRPr="00AC2428" w:rsidRDefault="00403727" w:rsidP="00A51EA0">
      <w:pPr>
        <w:pStyle w:val="SNSignature"/>
        <w:ind w:firstLine="0"/>
      </w:pPr>
    </w:p>
    <w:p w14:paraId="4898BC16" w14:textId="77777777" w:rsidR="00154360" w:rsidRPr="00AC2428" w:rsidRDefault="00154360" w:rsidP="00A51EA0">
      <w:pPr>
        <w:pStyle w:val="SNSignature"/>
        <w:jc w:val="right"/>
      </w:pPr>
    </w:p>
    <w:p w14:paraId="2674864A" w14:textId="77777777" w:rsidR="00154360" w:rsidRPr="00AC2428" w:rsidRDefault="00154360" w:rsidP="00A51EA0">
      <w:pPr>
        <w:pStyle w:val="SNSignature"/>
      </w:pPr>
    </w:p>
    <w:p w14:paraId="5F5086BE" w14:textId="77777777" w:rsidR="00154360" w:rsidRPr="00AC2428" w:rsidRDefault="00154360" w:rsidP="00A51EA0">
      <w:pPr>
        <w:pStyle w:val="SNSignature"/>
        <w:ind w:firstLine="0"/>
      </w:pPr>
      <w:r>
        <w:t>Minister Transformacji Ekologicznej</w:t>
      </w:r>
    </w:p>
    <w:p w14:paraId="0DD79C55" w14:textId="77777777" w:rsidR="00154360" w:rsidRPr="00AC2428" w:rsidRDefault="00154360" w:rsidP="00A51EA0"/>
    <w:p w14:paraId="23951CA8" w14:textId="168874FB" w:rsidR="00154360" w:rsidRPr="00AC2428" w:rsidRDefault="00154360" w:rsidP="00A51EA0">
      <w:r>
        <w:t>Barbara POMPILI</w:t>
      </w:r>
    </w:p>
    <w:p w14:paraId="0BFC79FC" w14:textId="77777777" w:rsidR="000E3CDC" w:rsidRPr="00AC2428" w:rsidRDefault="000E3CDC" w:rsidP="00A51EA0"/>
    <w:p w14:paraId="1CDEBE12" w14:textId="282E7C5A" w:rsidR="008859E2" w:rsidRPr="00AC2428" w:rsidRDefault="008859E2" w:rsidP="00A51EA0">
      <w:pPr>
        <w:jc w:val="right"/>
      </w:pPr>
    </w:p>
    <w:p w14:paraId="1A654AEF" w14:textId="3AF87C2E" w:rsidR="008859E2" w:rsidRPr="00AC2428" w:rsidRDefault="008859E2" w:rsidP="00A51EA0">
      <w:pPr>
        <w:jc w:val="right"/>
      </w:pPr>
    </w:p>
    <w:p w14:paraId="3D75DE50" w14:textId="24DC0399" w:rsidR="008859E2" w:rsidRPr="00AC2428" w:rsidRDefault="008859E2" w:rsidP="00A51EA0">
      <w:pPr>
        <w:jc w:val="right"/>
      </w:pPr>
      <w:r>
        <w:t>Minister oddelegowana przy Minister Transformacji Ekologicznej</w:t>
      </w:r>
    </w:p>
    <w:p w14:paraId="6DDE764E" w14:textId="77777777" w:rsidR="008859E2" w:rsidRPr="00AC2428" w:rsidRDefault="008859E2" w:rsidP="00A51EA0">
      <w:pPr>
        <w:jc w:val="right"/>
      </w:pPr>
      <w:r>
        <w:t>właściwa ds. mieszkalnictwa</w:t>
      </w:r>
    </w:p>
    <w:p w14:paraId="0A6D86F9" w14:textId="77777777" w:rsidR="008859E2" w:rsidRPr="00AC2428" w:rsidRDefault="008859E2" w:rsidP="00A51EA0">
      <w:pPr>
        <w:jc w:val="right"/>
      </w:pPr>
    </w:p>
    <w:p w14:paraId="26DFC305" w14:textId="77777777" w:rsidR="008859E2" w:rsidRPr="00AC2428" w:rsidRDefault="008859E2" w:rsidP="00A51EA0">
      <w:pPr>
        <w:jc w:val="right"/>
      </w:pPr>
      <w:r>
        <w:t>Emmanuelle Wargon</w:t>
      </w:r>
    </w:p>
    <w:sectPr w:rsidR="008859E2" w:rsidRPr="00AC2428">
      <w:pgSz w:w="11906" w:h="16838"/>
      <w:pgMar w:top="1134" w:right="1418" w:bottom="141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CCA2E" w14:textId="77777777" w:rsidR="00564147" w:rsidRDefault="00564147" w:rsidP="00847849">
      <w:r>
        <w:separator/>
      </w:r>
    </w:p>
  </w:endnote>
  <w:endnote w:type="continuationSeparator" w:id="0">
    <w:p w14:paraId="553BD862" w14:textId="77777777" w:rsidR="00564147" w:rsidRDefault="00564147" w:rsidP="00847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altName w:val="微软雅黑"/>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81464" w14:textId="77777777" w:rsidR="00564147" w:rsidRDefault="00564147" w:rsidP="00847849">
      <w:r>
        <w:separator/>
      </w:r>
    </w:p>
  </w:footnote>
  <w:footnote w:type="continuationSeparator" w:id="0">
    <w:p w14:paraId="6343D022" w14:textId="77777777" w:rsidR="00564147" w:rsidRDefault="00564147" w:rsidP="008478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142"/>
        </w:tabs>
        <w:ind w:left="142" w:firstLine="0"/>
      </w:pPr>
    </w:lvl>
    <w:lvl w:ilvl="1">
      <w:start w:val="1"/>
      <w:numFmt w:val="none"/>
      <w:pStyle w:val="Heading2"/>
      <w:suff w:val="nothing"/>
      <w:lvlText w:val=""/>
      <w:lvlJc w:val="left"/>
      <w:pPr>
        <w:tabs>
          <w:tab w:val="num" w:pos="142"/>
        </w:tabs>
        <w:ind w:left="142" w:firstLine="0"/>
      </w:pPr>
    </w:lvl>
    <w:lvl w:ilvl="2">
      <w:start w:val="1"/>
      <w:numFmt w:val="none"/>
      <w:pStyle w:val="Heading3"/>
      <w:suff w:val="nothing"/>
      <w:lvlText w:val=""/>
      <w:lvlJc w:val="left"/>
      <w:pPr>
        <w:tabs>
          <w:tab w:val="num" w:pos="142"/>
        </w:tabs>
        <w:ind w:left="142" w:firstLine="0"/>
      </w:pPr>
    </w:lvl>
    <w:lvl w:ilvl="3">
      <w:start w:val="1"/>
      <w:numFmt w:val="none"/>
      <w:suff w:val="nothing"/>
      <w:lvlText w:val=""/>
      <w:lvlJc w:val="left"/>
      <w:pPr>
        <w:tabs>
          <w:tab w:val="num" w:pos="142"/>
        </w:tabs>
        <w:ind w:left="142" w:firstLine="0"/>
      </w:pPr>
    </w:lvl>
    <w:lvl w:ilvl="4">
      <w:start w:val="1"/>
      <w:numFmt w:val="none"/>
      <w:suff w:val="nothing"/>
      <w:lvlText w:val=""/>
      <w:lvlJc w:val="left"/>
      <w:pPr>
        <w:tabs>
          <w:tab w:val="num" w:pos="142"/>
        </w:tabs>
        <w:ind w:left="142" w:firstLine="0"/>
      </w:pPr>
    </w:lvl>
    <w:lvl w:ilvl="5">
      <w:start w:val="1"/>
      <w:numFmt w:val="none"/>
      <w:suff w:val="nothing"/>
      <w:lvlText w:val=""/>
      <w:lvlJc w:val="left"/>
      <w:pPr>
        <w:tabs>
          <w:tab w:val="num" w:pos="142"/>
        </w:tabs>
        <w:ind w:left="142" w:firstLine="0"/>
      </w:pPr>
    </w:lvl>
    <w:lvl w:ilvl="6">
      <w:start w:val="1"/>
      <w:numFmt w:val="none"/>
      <w:suff w:val="nothing"/>
      <w:lvlText w:val=""/>
      <w:lvlJc w:val="left"/>
      <w:pPr>
        <w:tabs>
          <w:tab w:val="num" w:pos="142"/>
        </w:tabs>
        <w:ind w:left="142" w:firstLine="0"/>
      </w:pPr>
    </w:lvl>
    <w:lvl w:ilvl="7">
      <w:start w:val="1"/>
      <w:numFmt w:val="none"/>
      <w:suff w:val="nothing"/>
      <w:lvlText w:val=""/>
      <w:lvlJc w:val="left"/>
      <w:pPr>
        <w:tabs>
          <w:tab w:val="num" w:pos="142"/>
        </w:tabs>
        <w:ind w:left="142" w:firstLine="0"/>
      </w:pPr>
    </w:lvl>
    <w:lvl w:ilvl="8">
      <w:start w:val="1"/>
      <w:numFmt w:val="none"/>
      <w:suff w:val="nothing"/>
      <w:lvlText w:val=""/>
      <w:lvlJc w:val="left"/>
      <w:pPr>
        <w:tabs>
          <w:tab w:val="num" w:pos="142"/>
        </w:tabs>
        <w:ind w:left="142" w:firstLine="0"/>
      </w:pPr>
    </w:lvl>
  </w:abstractNum>
  <w:abstractNum w:abstractNumId="1" w15:restartNumberingAfterBreak="0">
    <w:nsid w:val="00000002"/>
    <w:multiLevelType w:val="singleLevel"/>
    <w:tmpl w:val="00000002"/>
    <w:name w:val="WW8Num3"/>
    <w:lvl w:ilvl="0">
      <w:numFmt w:val="bullet"/>
      <w:lvlText w:val="-"/>
      <w:lvlJc w:val="left"/>
      <w:pPr>
        <w:tabs>
          <w:tab w:val="num" w:pos="0"/>
        </w:tabs>
        <w:ind w:left="720" w:hanging="360"/>
      </w:pPr>
      <w:rPr>
        <w:rFonts w:ascii="Times New Roman" w:hAnsi="Times New Roman" w:cs="Times New Roman" w:hint="default"/>
      </w:rPr>
    </w:lvl>
  </w:abstractNum>
  <w:abstractNum w:abstractNumId="2" w15:restartNumberingAfterBreak="0">
    <w:nsid w:val="00000003"/>
    <w:multiLevelType w:val="singleLevel"/>
    <w:tmpl w:val="00000003"/>
    <w:name w:val="WW8Num4"/>
    <w:lvl w:ilvl="0">
      <w:start w:val="37"/>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0000004"/>
    <w:multiLevelType w:val="singleLevel"/>
    <w:tmpl w:val="00000004"/>
    <w:name w:val="WW8Num6"/>
    <w:lvl w:ilvl="0">
      <w:numFmt w:val="bullet"/>
      <w:lvlText w:val="-"/>
      <w:lvlJc w:val="left"/>
      <w:pPr>
        <w:tabs>
          <w:tab w:val="num" w:pos="0"/>
        </w:tabs>
        <w:ind w:left="720" w:hanging="360"/>
      </w:pPr>
      <w:rPr>
        <w:rFonts w:ascii="Times New Roman" w:hAnsi="Times New Roman" w:cs="Times New Roman" w:hint="default"/>
      </w:rPr>
    </w:lvl>
  </w:abstractNum>
  <w:abstractNum w:abstractNumId="4" w15:restartNumberingAfterBreak="0">
    <w:nsid w:val="00000005"/>
    <w:multiLevelType w:val="singleLevel"/>
    <w:tmpl w:val="00000005"/>
    <w:name w:val="WW8Num10"/>
    <w:lvl w:ilvl="0">
      <w:numFmt w:val="bullet"/>
      <w:lvlText w:val="-"/>
      <w:lvlJc w:val="left"/>
      <w:pPr>
        <w:tabs>
          <w:tab w:val="num" w:pos="0"/>
        </w:tabs>
        <w:ind w:left="720" w:hanging="360"/>
      </w:pPr>
      <w:rPr>
        <w:rFonts w:ascii="Times New Roman" w:hAnsi="Times New Roman" w:cs="Times New Roman" w:hint="default"/>
      </w:rPr>
    </w:lvl>
  </w:abstractNum>
  <w:abstractNum w:abstractNumId="5" w15:restartNumberingAfterBreak="0">
    <w:nsid w:val="00000006"/>
    <w:multiLevelType w:val="singleLevel"/>
    <w:tmpl w:val="00000006"/>
    <w:lvl w:ilvl="0">
      <w:numFmt w:val="bullet"/>
      <w:lvlText w:val="-"/>
      <w:lvlJc w:val="left"/>
      <w:pPr>
        <w:tabs>
          <w:tab w:val="num" w:pos="0"/>
        </w:tabs>
        <w:ind w:left="720" w:hanging="360"/>
      </w:pPr>
      <w:rPr>
        <w:rFonts w:ascii="Times New Roman" w:hAnsi="Times New Roman"/>
      </w:rPr>
    </w:lvl>
  </w:abstractNum>
  <w:abstractNum w:abstractNumId="6" w15:restartNumberingAfterBreak="0">
    <w:nsid w:val="061A3559"/>
    <w:multiLevelType w:val="multilevel"/>
    <w:tmpl w:val="B5088C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45704A1"/>
    <w:multiLevelType w:val="multilevel"/>
    <w:tmpl w:val="C122F124"/>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106A2"/>
    <w:multiLevelType w:val="hybridMultilevel"/>
    <w:tmpl w:val="94EA7EA8"/>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D0361C"/>
    <w:multiLevelType w:val="hybridMultilevel"/>
    <w:tmpl w:val="C27ED1F0"/>
    <w:lvl w:ilvl="0" w:tplc="00000002">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E65FE8"/>
    <w:multiLevelType w:val="hybridMultilevel"/>
    <w:tmpl w:val="BC50CAC2"/>
    <w:lvl w:ilvl="0" w:tplc="E2C8AE72">
      <w:start w:val="37"/>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907DED"/>
    <w:multiLevelType w:val="hybridMultilevel"/>
    <w:tmpl w:val="7BC22C46"/>
    <w:lvl w:ilvl="0" w:tplc="67D8528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8D19BB"/>
    <w:multiLevelType w:val="hybridMultilevel"/>
    <w:tmpl w:val="1DCC9398"/>
    <w:lvl w:ilvl="0" w:tplc="239C771E">
      <w:start w:val="1"/>
      <w:numFmt w:val="lowerLetter"/>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2E24BB6"/>
    <w:multiLevelType w:val="hybridMultilevel"/>
    <w:tmpl w:val="7310BF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F97E1C"/>
    <w:multiLevelType w:val="hybridMultilevel"/>
    <w:tmpl w:val="778247D8"/>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4A372F2"/>
    <w:multiLevelType w:val="hybridMultilevel"/>
    <w:tmpl w:val="86F4B344"/>
    <w:lvl w:ilvl="0" w:tplc="7706B1C0">
      <w:start w:val="1"/>
      <w:numFmt w:val="upperRoman"/>
      <w:lvlText w:val="%1."/>
      <w:lvlJc w:val="left"/>
      <w:pPr>
        <w:ind w:left="1004"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7DD26EA"/>
    <w:multiLevelType w:val="hybridMultilevel"/>
    <w:tmpl w:val="D428AEA0"/>
    <w:lvl w:ilvl="0" w:tplc="67D2757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8362D5"/>
    <w:multiLevelType w:val="multilevel"/>
    <w:tmpl w:val="C5C82A6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791709"/>
    <w:multiLevelType w:val="hybridMultilevel"/>
    <w:tmpl w:val="DF94DAC0"/>
    <w:lvl w:ilvl="0" w:tplc="C308BBBC">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5D6523B4"/>
    <w:multiLevelType w:val="multilevel"/>
    <w:tmpl w:val="B15E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CB459A"/>
    <w:multiLevelType w:val="hybridMultilevel"/>
    <w:tmpl w:val="E0A0D928"/>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8041DFA"/>
    <w:multiLevelType w:val="hybridMultilevel"/>
    <w:tmpl w:val="5B100876"/>
    <w:lvl w:ilvl="0" w:tplc="173E2A5A">
      <w:start w:val="18"/>
      <w:numFmt w:val="bullet"/>
      <w:lvlText w:val="-"/>
      <w:lvlJc w:val="left"/>
      <w:pPr>
        <w:ind w:left="360" w:hanging="360"/>
      </w:pPr>
      <w:rPr>
        <w:rFonts w:ascii="Calibri" w:eastAsia="Calibr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BF86002"/>
    <w:multiLevelType w:val="hybridMultilevel"/>
    <w:tmpl w:val="CE308682"/>
    <w:lvl w:ilvl="0" w:tplc="C308BB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34E54B7"/>
    <w:multiLevelType w:val="multilevel"/>
    <w:tmpl w:val="705C0BE0"/>
    <w:lvl w:ilvl="0">
      <w:start w:val="1"/>
      <w:numFmt w:val="upperRoman"/>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465341"/>
    <w:multiLevelType w:val="hybridMultilevel"/>
    <w:tmpl w:val="9C2EF68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8"/>
  </w:num>
  <w:num w:numId="8">
    <w:abstractNumId w:val="19"/>
  </w:num>
  <w:num w:numId="9">
    <w:abstractNumId w:val="17"/>
  </w:num>
  <w:num w:numId="10">
    <w:abstractNumId w:val="7"/>
  </w:num>
  <w:num w:numId="11">
    <w:abstractNumId w:val="12"/>
  </w:num>
  <w:num w:numId="12">
    <w:abstractNumId w:val="22"/>
  </w:num>
  <w:num w:numId="13">
    <w:abstractNumId w:val="18"/>
  </w:num>
  <w:num w:numId="14">
    <w:abstractNumId w:val="14"/>
  </w:num>
  <w:num w:numId="15">
    <w:abstractNumId w:val="20"/>
  </w:num>
  <w:num w:numId="16">
    <w:abstractNumId w:val="13"/>
  </w:num>
  <w:num w:numId="17">
    <w:abstractNumId w:val="5"/>
  </w:num>
  <w:num w:numId="18">
    <w:abstractNumId w:val="9"/>
  </w:num>
  <w:num w:numId="19">
    <w:abstractNumId w:val="11"/>
  </w:num>
  <w:num w:numId="20">
    <w:abstractNumId w:val="16"/>
  </w:num>
  <w:num w:numId="21">
    <w:abstractNumId w:val="15"/>
  </w:num>
  <w:num w:numId="22">
    <w:abstractNumId w:val="6"/>
  </w:num>
  <w:num w:numId="23">
    <w:abstractNumId w:val="23"/>
  </w:num>
  <w:num w:numId="24">
    <w:abstractNumId w:val="2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fr-FR" w:vendorID="64" w:dllVersion="6" w:nlCheck="1" w:checkStyle="0"/>
  <w:activeWritingStyle w:appName="MSWord" w:lang="fr-FR" w:vendorID="64" w:dllVersion="4096" w:nlCheck="1" w:checkStyle="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F67"/>
    <w:rsid w:val="0000614F"/>
    <w:rsid w:val="000170A1"/>
    <w:rsid w:val="000571FB"/>
    <w:rsid w:val="0007296A"/>
    <w:rsid w:val="000937AB"/>
    <w:rsid w:val="000B3F2C"/>
    <w:rsid w:val="000B6DAB"/>
    <w:rsid w:val="000B6F57"/>
    <w:rsid w:val="000C69D2"/>
    <w:rsid w:val="000C7EEA"/>
    <w:rsid w:val="000D1E2B"/>
    <w:rsid w:val="000E3CDC"/>
    <w:rsid w:val="000E79A1"/>
    <w:rsid w:val="0010794D"/>
    <w:rsid w:val="00111EE5"/>
    <w:rsid w:val="00114953"/>
    <w:rsid w:val="00126671"/>
    <w:rsid w:val="001367AB"/>
    <w:rsid w:val="00154360"/>
    <w:rsid w:val="0015511A"/>
    <w:rsid w:val="0016406E"/>
    <w:rsid w:val="00166B18"/>
    <w:rsid w:val="00171560"/>
    <w:rsid w:val="00171FD0"/>
    <w:rsid w:val="00173D1D"/>
    <w:rsid w:val="00184159"/>
    <w:rsid w:val="00185AF6"/>
    <w:rsid w:val="00192DA4"/>
    <w:rsid w:val="001958A9"/>
    <w:rsid w:val="0019632A"/>
    <w:rsid w:val="001B1C42"/>
    <w:rsid w:val="001C46EC"/>
    <w:rsid w:val="001E5E7E"/>
    <w:rsid w:val="001E62EB"/>
    <w:rsid w:val="001F2570"/>
    <w:rsid w:val="001F375A"/>
    <w:rsid w:val="001F3786"/>
    <w:rsid w:val="001F465F"/>
    <w:rsid w:val="0020077C"/>
    <w:rsid w:val="00216F67"/>
    <w:rsid w:val="002343E7"/>
    <w:rsid w:val="002358BE"/>
    <w:rsid w:val="002422A2"/>
    <w:rsid w:val="00256D90"/>
    <w:rsid w:val="002633B9"/>
    <w:rsid w:val="00265EB8"/>
    <w:rsid w:val="00272FDC"/>
    <w:rsid w:val="0029131C"/>
    <w:rsid w:val="00292C1F"/>
    <w:rsid w:val="002A0050"/>
    <w:rsid w:val="002A6400"/>
    <w:rsid w:val="002B041A"/>
    <w:rsid w:val="002B2352"/>
    <w:rsid w:val="002C2E88"/>
    <w:rsid w:val="002E4886"/>
    <w:rsid w:val="002E5B2D"/>
    <w:rsid w:val="002F57C9"/>
    <w:rsid w:val="003222E1"/>
    <w:rsid w:val="003364A0"/>
    <w:rsid w:val="00341FBF"/>
    <w:rsid w:val="00351CB0"/>
    <w:rsid w:val="00361792"/>
    <w:rsid w:val="0037164C"/>
    <w:rsid w:val="00374987"/>
    <w:rsid w:val="00387E58"/>
    <w:rsid w:val="00392CE8"/>
    <w:rsid w:val="00393BCB"/>
    <w:rsid w:val="003B7761"/>
    <w:rsid w:val="003C6BCD"/>
    <w:rsid w:val="003F03C1"/>
    <w:rsid w:val="00403727"/>
    <w:rsid w:val="004061F0"/>
    <w:rsid w:val="00413F3D"/>
    <w:rsid w:val="004144B5"/>
    <w:rsid w:val="00425531"/>
    <w:rsid w:val="004314FD"/>
    <w:rsid w:val="00435807"/>
    <w:rsid w:val="004464D5"/>
    <w:rsid w:val="00447F33"/>
    <w:rsid w:val="00457D4B"/>
    <w:rsid w:val="00461CFB"/>
    <w:rsid w:val="00472A5D"/>
    <w:rsid w:val="00476A9D"/>
    <w:rsid w:val="00483354"/>
    <w:rsid w:val="00484378"/>
    <w:rsid w:val="004959E2"/>
    <w:rsid w:val="00497DF9"/>
    <w:rsid w:val="004C024B"/>
    <w:rsid w:val="004C1E63"/>
    <w:rsid w:val="004E3381"/>
    <w:rsid w:val="004F15E7"/>
    <w:rsid w:val="00500EA5"/>
    <w:rsid w:val="0050452B"/>
    <w:rsid w:val="005065BE"/>
    <w:rsid w:val="00513B9C"/>
    <w:rsid w:val="005262D1"/>
    <w:rsid w:val="00533C49"/>
    <w:rsid w:val="0053536C"/>
    <w:rsid w:val="005357FC"/>
    <w:rsid w:val="00537E92"/>
    <w:rsid w:val="00550333"/>
    <w:rsid w:val="00553D85"/>
    <w:rsid w:val="005627F2"/>
    <w:rsid w:val="00564147"/>
    <w:rsid w:val="005677A9"/>
    <w:rsid w:val="0057047D"/>
    <w:rsid w:val="005716EE"/>
    <w:rsid w:val="0058273B"/>
    <w:rsid w:val="00583F56"/>
    <w:rsid w:val="005920C9"/>
    <w:rsid w:val="00597CCF"/>
    <w:rsid w:val="005A6090"/>
    <w:rsid w:val="005B5D62"/>
    <w:rsid w:val="005C103C"/>
    <w:rsid w:val="005F5845"/>
    <w:rsid w:val="005F65E9"/>
    <w:rsid w:val="005F78F2"/>
    <w:rsid w:val="00603D65"/>
    <w:rsid w:val="00607E93"/>
    <w:rsid w:val="00616DFC"/>
    <w:rsid w:val="006470F6"/>
    <w:rsid w:val="00651481"/>
    <w:rsid w:val="00657670"/>
    <w:rsid w:val="00661F52"/>
    <w:rsid w:val="0069482D"/>
    <w:rsid w:val="006B6736"/>
    <w:rsid w:val="006B6DE7"/>
    <w:rsid w:val="006D520A"/>
    <w:rsid w:val="006E1AAD"/>
    <w:rsid w:val="006F1171"/>
    <w:rsid w:val="006F5DA2"/>
    <w:rsid w:val="006F64AC"/>
    <w:rsid w:val="00703D48"/>
    <w:rsid w:val="007071EA"/>
    <w:rsid w:val="00716FC3"/>
    <w:rsid w:val="00722029"/>
    <w:rsid w:val="00723A29"/>
    <w:rsid w:val="00733299"/>
    <w:rsid w:val="00740BDC"/>
    <w:rsid w:val="00741A77"/>
    <w:rsid w:val="00764538"/>
    <w:rsid w:val="00764E5B"/>
    <w:rsid w:val="00765FD4"/>
    <w:rsid w:val="0077116C"/>
    <w:rsid w:val="0077282C"/>
    <w:rsid w:val="00772CE3"/>
    <w:rsid w:val="00775F70"/>
    <w:rsid w:val="00783017"/>
    <w:rsid w:val="00784211"/>
    <w:rsid w:val="007865AC"/>
    <w:rsid w:val="0079149B"/>
    <w:rsid w:val="007959A8"/>
    <w:rsid w:val="007A6C4C"/>
    <w:rsid w:val="007C5C04"/>
    <w:rsid w:val="0080491C"/>
    <w:rsid w:val="00806611"/>
    <w:rsid w:val="008163DC"/>
    <w:rsid w:val="00817F70"/>
    <w:rsid w:val="00824CE9"/>
    <w:rsid w:val="0083620D"/>
    <w:rsid w:val="008431DE"/>
    <w:rsid w:val="00847849"/>
    <w:rsid w:val="008532CF"/>
    <w:rsid w:val="00864578"/>
    <w:rsid w:val="0087260F"/>
    <w:rsid w:val="00876BAE"/>
    <w:rsid w:val="00880FA4"/>
    <w:rsid w:val="00882711"/>
    <w:rsid w:val="008859E2"/>
    <w:rsid w:val="008B067B"/>
    <w:rsid w:val="008B3B64"/>
    <w:rsid w:val="008C2199"/>
    <w:rsid w:val="008C6AC8"/>
    <w:rsid w:val="008D6BE0"/>
    <w:rsid w:val="008E37A6"/>
    <w:rsid w:val="008E3BDF"/>
    <w:rsid w:val="008F01A4"/>
    <w:rsid w:val="008F75B3"/>
    <w:rsid w:val="00911A97"/>
    <w:rsid w:val="009144EE"/>
    <w:rsid w:val="0091475F"/>
    <w:rsid w:val="00914814"/>
    <w:rsid w:val="00924DC4"/>
    <w:rsid w:val="009276F9"/>
    <w:rsid w:val="00947CF0"/>
    <w:rsid w:val="00967F45"/>
    <w:rsid w:val="009918F3"/>
    <w:rsid w:val="009A1433"/>
    <w:rsid w:val="009D13C8"/>
    <w:rsid w:val="009E3368"/>
    <w:rsid w:val="009F5058"/>
    <w:rsid w:val="00A015D5"/>
    <w:rsid w:val="00A01F96"/>
    <w:rsid w:val="00A247EF"/>
    <w:rsid w:val="00A40924"/>
    <w:rsid w:val="00A51EA0"/>
    <w:rsid w:val="00A6367C"/>
    <w:rsid w:val="00A655F4"/>
    <w:rsid w:val="00A65ABB"/>
    <w:rsid w:val="00A65EA8"/>
    <w:rsid w:val="00A84083"/>
    <w:rsid w:val="00A8440F"/>
    <w:rsid w:val="00A941DE"/>
    <w:rsid w:val="00AB78BF"/>
    <w:rsid w:val="00AC1F32"/>
    <w:rsid w:val="00AC2428"/>
    <w:rsid w:val="00AD6E20"/>
    <w:rsid w:val="00AE7990"/>
    <w:rsid w:val="00AF66EB"/>
    <w:rsid w:val="00B037CE"/>
    <w:rsid w:val="00B21C8A"/>
    <w:rsid w:val="00B3258F"/>
    <w:rsid w:val="00B32D50"/>
    <w:rsid w:val="00B347E0"/>
    <w:rsid w:val="00B411FD"/>
    <w:rsid w:val="00B41696"/>
    <w:rsid w:val="00B43ED9"/>
    <w:rsid w:val="00B4435C"/>
    <w:rsid w:val="00B50F74"/>
    <w:rsid w:val="00B53DD6"/>
    <w:rsid w:val="00B8790B"/>
    <w:rsid w:val="00B93F95"/>
    <w:rsid w:val="00B95F9C"/>
    <w:rsid w:val="00BC7E4E"/>
    <w:rsid w:val="00BD0987"/>
    <w:rsid w:val="00BD39F5"/>
    <w:rsid w:val="00BE4319"/>
    <w:rsid w:val="00BF698A"/>
    <w:rsid w:val="00C005F0"/>
    <w:rsid w:val="00C42A9D"/>
    <w:rsid w:val="00C50B6C"/>
    <w:rsid w:val="00C65BD2"/>
    <w:rsid w:val="00C8159C"/>
    <w:rsid w:val="00C9274D"/>
    <w:rsid w:val="00C92A23"/>
    <w:rsid w:val="00CA2FAF"/>
    <w:rsid w:val="00CB5D14"/>
    <w:rsid w:val="00CC0115"/>
    <w:rsid w:val="00CE5DAA"/>
    <w:rsid w:val="00CF4E11"/>
    <w:rsid w:val="00D02C39"/>
    <w:rsid w:val="00D05BC0"/>
    <w:rsid w:val="00D14780"/>
    <w:rsid w:val="00D16BD8"/>
    <w:rsid w:val="00D32220"/>
    <w:rsid w:val="00D45CFA"/>
    <w:rsid w:val="00D603DB"/>
    <w:rsid w:val="00D63479"/>
    <w:rsid w:val="00D66E48"/>
    <w:rsid w:val="00D71C64"/>
    <w:rsid w:val="00D808AA"/>
    <w:rsid w:val="00DA5663"/>
    <w:rsid w:val="00DD47DE"/>
    <w:rsid w:val="00DD675F"/>
    <w:rsid w:val="00DE4EDB"/>
    <w:rsid w:val="00DF7EE4"/>
    <w:rsid w:val="00E06C49"/>
    <w:rsid w:val="00E07CBF"/>
    <w:rsid w:val="00E24F34"/>
    <w:rsid w:val="00E2556F"/>
    <w:rsid w:val="00E56243"/>
    <w:rsid w:val="00E710FB"/>
    <w:rsid w:val="00E72C80"/>
    <w:rsid w:val="00E756DF"/>
    <w:rsid w:val="00EC037D"/>
    <w:rsid w:val="00EF099E"/>
    <w:rsid w:val="00F02147"/>
    <w:rsid w:val="00F063D5"/>
    <w:rsid w:val="00F123C8"/>
    <w:rsid w:val="00F15206"/>
    <w:rsid w:val="00F436F2"/>
    <w:rsid w:val="00F545A7"/>
    <w:rsid w:val="00F55328"/>
    <w:rsid w:val="00F72FDD"/>
    <w:rsid w:val="00F77FD1"/>
    <w:rsid w:val="00F81AC7"/>
    <w:rsid w:val="00F826C1"/>
    <w:rsid w:val="00F9491B"/>
    <w:rsid w:val="00FA0C0D"/>
    <w:rsid w:val="00FA273F"/>
    <w:rsid w:val="00FB13BE"/>
    <w:rsid w:val="00FC2428"/>
    <w:rsid w:val="00FC7497"/>
    <w:rsid w:val="00FD3E5E"/>
    <w:rsid w:val="00FD6985"/>
    <w:rsid w:val="00FE3124"/>
    <w:rsid w:val="00FE45FE"/>
    <w:rsid w:val="00FF74AB"/>
  </w:rsids>
  <m:mathPr>
    <m:mathFont m:val="Cambria Math"/>
    <m:brkBin m:val="before"/>
    <m:brkBinSub m:val="--"/>
    <m:smallFrac m:val="0"/>
    <m:dispDef/>
    <m:lMargin m:val="0"/>
    <m:rMargin m:val="0"/>
    <m:defJc m:val="centerGroup"/>
    <m:wrapIndent m:val="1440"/>
    <m:intLim m:val="subSup"/>
    <m:naryLim m:val="undOvr"/>
  </m:mathPr>
  <w:themeFontLang w:val="fr-FR"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E8D4259"/>
  <w15:docId w15:val="{8A1ED248-64B3-4BB5-8EE5-3A8C802B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spacing w:before="240"/>
      <w:jc w:val="center"/>
      <w:outlineLvl w:val="0"/>
    </w:pPr>
    <w:rPr>
      <w:rFonts w:cs="Arial"/>
      <w:bCs/>
      <w:caps/>
      <w:kern w:val="2"/>
    </w:rPr>
  </w:style>
  <w:style w:type="paragraph" w:styleId="Heading2">
    <w:name w:val="heading 2"/>
    <w:basedOn w:val="Normal"/>
    <w:next w:val="Normal"/>
    <w:qFormat/>
    <w:pPr>
      <w:keepNext/>
      <w:numPr>
        <w:ilvl w:val="1"/>
        <w:numId w:val="1"/>
      </w:numPr>
      <w:spacing w:before="240"/>
      <w:jc w:val="center"/>
      <w:outlineLvl w:val="1"/>
    </w:pPr>
    <w:rPr>
      <w:bCs/>
      <w:iCs/>
      <w:smallCaps/>
    </w:rPr>
  </w:style>
  <w:style w:type="paragraph" w:styleId="Heading3">
    <w:name w:val="heading 3"/>
    <w:basedOn w:val="Normal"/>
    <w:next w:val="Normal"/>
    <w:qFormat/>
    <w:pPr>
      <w:keepNext/>
      <w:numPr>
        <w:ilvl w:val="2"/>
        <w:numId w:val="1"/>
      </w:numPr>
      <w:spacing w:before="120"/>
      <w:jc w:val="center"/>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sz w:val="22"/>
    </w:rPr>
  </w:style>
  <w:style w:type="character" w:customStyle="1" w:styleId="WW8Num2z2">
    <w:name w:val="WW8Num2z2"/>
    <w:rPr>
      <w:rFonts w:ascii="Wingdings" w:hAnsi="Wingdings" w:cs="Wingdings" w:hint="default"/>
      <w:sz w:val="20"/>
    </w:rPr>
  </w:style>
  <w:style w:type="character" w:customStyle="1" w:styleId="WW8Num3z0">
    <w:name w:val="WW8Num3z0"/>
    <w:rPr>
      <w:rFonts w:ascii="Times New Roman" w:eastAsia="Times New Roman"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Times New Roman" w:eastAsia="Times New Roman" w:hAnsi="Times New Roman"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Symbol" w:hAnsi="Symbol" w:cs="Symbol"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sz w:val="20"/>
    </w:rPr>
  </w:style>
  <w:style w:type="character" w:customStyle="1" w:styleId="WW8Num7z1">
    <w:name w:val="WW8Num7z1"/>
    <w:rPr>
      <w:rFonts w:ascii="Wingdings" w:eastAsia="Times New Roman" w:hAnsi="Wingdings" w:cs="Times New Roman" w:hint="default"/>
    </w:rPr>
  </w:style>
  <w:style w:type="character" w:customStyle="1" w:styleId="WW8Num7z2">
    <w:name w:val="WW8Num7z2"/>
    <w:rPr>
      <w:rFonts w:ascii="Wingdings" w:hAnsi="Wingdings" w:cs="Wingdings" w:hint="default"/>
      <w:sz w:val="20"/>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Times New Roman" w:eastAsia="Times New Roman" w:hAnsi="Times New Roman" w:cs="Times New Roman"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Policepardfaut3">
    <w:name w:val="Police par défaut3"/>
  </w:style>
  <w:style w:type="character" w:customStyle="1" w:styleId="Policepardfaut2">
    <w:name w:val="Police par défaut2"/>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Policepardfaut1">
    <w:name w:val="Police par défaut1"/>
  </w:style>
  <w:style w:type="character" w:customStyle="1" w:styleId="SNTimbreCar">
    <w:name w:val="SNTimbre Car"/>
    <w:rPr>
      <w:rFonts w:eastAsia="Lucida Sans Unicode"/>
      <w:sz w:val="24"/>
      <w:szCs w:val="24"/>
      <w:lang w:val="pl-PL" w:bidi="ar-SA"/>
    </w:rPr>
  </w:style>
  <w:style w:type="character" w:customStyle="1" w:styleId="SNDateCar">
    <w:name w:val="SNDate Car"/>
    <w:rPr>
      <w:sz w:val="24"/>
      <w:szCs w:val="24"/>
      <w:lang w:val="pl-PL" w:bidi="ar-SA"/>
    </w:rPr>
  </w:style>
  <w:style w:type="character" w:customStyle="1" w:styleId="SNArticleCar">
    <w:name w:val="SNArticle Car"/>
    <w:rPr>
      <w:b/>
      <w:sz w:val="24"/>
      <w:szCs w:val="24"/>
      <w:lang w:val="pl-PL" w:bidi="ar-SA"/>
    </w:rPr>
  </w:style>
  <w:style w:type="character" w:customStyle="1" w:styleId="SNenProjet">
    <w:name w:val="SNenProjet"/>
    <w:basedOn w:val="Policepardfaut1"/>
  </w:style>
  <w:style w:type="character" w:styleId="Hyperlink">
    <w:name w:val="Hyperlink"/>
    <w:rPr>
      <w:color w:val="000080"/>
      <w:u w:val="single"/>
    </w:rPr>
  </w:style>
  <w:style w:type="character" w:customStyle="1" w:styleId="Marquedecommentaire1">
    <w:name w:val="Marque de commentaire1"/>
    <w:rPr>
      <w:sz w:val="16"/>
      <w:szCs w:val="16"/>
    </w:rPr>
  </w:style>
  <w:style w:type="character" w:customStyle="1" w:styleId="CommentaireCar">
    <w:name w:val="Commentaire Car"/>
    <w:uiPriority w:val="99"/>
    <w:rPr>
      <w:lang w:eastAsia="zh-CN"/>
    </w:rPr>
  </w:style>
  <w:style w:type="character" w:customStyle="1" w:styleId="ObjetducommentaireCar">
    <w:name w:val="Objet du commentaire Car"/>
    <w:rPr>
      <w:b/>
      <w:bCs/>
      <w:lang w:eastAsia="zh-CN"/>
    </w:rPr>
  </w:style>
  <w:style w:type="character" w:customStyle="1" w:styleId="Marquedecommentaire2">
    <w:name w:val="Marque de commentaire2"/>
    <w:rPr>
      <w:sz w:val="16"/>
      <w:szCs w:val="16"/>
    </w:rPr>
  </w:style>
  <w:style w:type="character" w:customStyle="1" w:styleId="CommentaireCar1">
    <w:name w:val="Commentaire Car1"/>
    <w:uiPriority w:val="99"/>
    <w:rPr>
      <w:lang w:eastAsia="zh-CN"/>
    </w:rPr>
  </w:style>
  <w:style w:type="paragraph" w:customStyle="1" w:styleId="Titre3">
    <w:name w:val="Titre3"/>
    <w:basedOn w:val="Normal"/>
    <w:next w:val="BodyText"/>
    <w:pPr>
      <w:keepNext/>
      <w:spacing w:before="240" w:after="120"/>
    </w:pPr>
    <w:rPr>
      <w:rFonts w:ascii="Liberation Sans" w:eastAsia="Microsoft YaHei" w:hAnsi="Liberation Sans" w:cs="Arial Unicode MS"/>
      <w:sz w:val="28"/>
      <w:szCs w:val="28"/>
    </w:rPr>
  </w:style>
  <w:style w:type="paragraph" w:styleId="BodyText">
    <w:name w:val="Body Text"/>
    <w:basedOn w:val="Normal"/>
    <w:pPr>
      <w:spacing w:after="120"/>
      <w:jc w:val="both"/>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Titre2">
    <w:name w:val="Titre2"/>
    <w:basedOn w:val="Normal"/>
    <w:next w:val="BodyText"/>
    <w:pPr>
      <w:keepNext/>
      <w:spacing w:before="240" w:after="120"/>
    </w:pPr>
    <w:rPr>
      <w:rFonts w:ascii="Liberation Sans" w:eastAsia="Microsoft YaHei" w:hAnsi="Liberation Sans" w:cs="Arial"/>
      <w:sz w:val="28"/>
      <w:szCs w:val="28"/>
    </w:rPr>
  </w:style>
  <w:style w:type="paragraph" w:customStyle="1" w:styleId="Titre1">
    <w:name w:val="Titre1"/>
    <w:basedOn w:val="Normal"/>
    <w:next w:val="BodyText"/>
    <w:pPr>
      <w:keepNext/>
      <w:spacing w:before="240" w:after="120"/>
    </w:pPr>
    <w:rPr>
      <w:rFonts w:ascii="Liberation Sans" w:eastAsia="Microsoft YaHei" w:hAnsi="Liberation Sans" w:cs="Arial"/>
      <w:sz w:val="28"/>
      <w:szCs w:val="28"/>
    </w:rPr>
  </w:style>
  <w:style w:type="paragraph" w:customStyle="1" w:styleId="SNREPUBLIQUE">
    <w:name w:val="SNREPUBLIQUE"/>
    <w:basedOn w:val="Normal"/>
    <w:pPr>
      <w:jc w:val="center"/>
    </w:pPr>
    <w:rPr>
      <w:b/>
      <w:bCs/>
      <w:szCs w:val="20"/>
    </w:rPr>
  </w:style>
  <w:style w:type="paragraph" w:customStyle="1" w:styleId="puce1">
    <w:name w:val="puce1"/>
    <w:basedOn w:val="Normal"/>
    <w:pPr>
      <w:widowControl w:val="0"/>
      <w:tabs>
        <w:tab w:val="left" w:pos="1429"/>
      </w:tabs>
      <w:spacing w:before="240"/>
      <w:ind w:left="1429" w:hanging="360"/>
    </w:pPr>
    <w:rPr>
      <w:rFonts w:eastAsia="Lucida Sans Unicode"/>
    </w:rPr>
  </w:style>
  <w:style w:type="paragraph" w:customStyle="1" w:styleId="puce2">
    <w:name w:val="puce2"/>
    <w:basedOn w:val="Normal"/>
    <w:pPr>
      <w:widowControl w:val="0"/>
      <w:tabs>
        <w:tab w:val="left" w:pos="2149"/>
      </w:tabs>
      <w:spacing w:before="240"/>
      <w:ind w:left="2149" w:hanging="360"/>
    </w:pPr>
    <w:rPr>
      <w:rFonts w:eastAsia="Lucida Sans Unicode"/>
    </w:rPr>
  </w:style>
  <w:style w:type="paragraph" w:customStyle="1" w:styleId="puce3">
    <w:name w:val="puce3"/>
    <w:basedOn w:val="Normal"/>
    <w:pPr>
      <w:widowControl w:val="0"/>
      <w:tabs>
        <w:tab w:val="left" w:pos="2869"/>
      </w:tabs>
      <w:spacing w:before="240"/>
      <w:ind w:left="2869" w:hanging="360"/>
    </w:pPr>
    <w:rPr>
      <w:rFonts w:eastAsia="Lucida Sans Unicode"/>
    </w:rPr>
  </w:style>
  <w:style w:type="paragraph" w:customStyle="1" w:styleId="num1">
    <w:name w:val="num1"/>
    <w:basedOn w:val="Normal"/>
    <w:pPr>
      <w:widowControl w:val="0"/>
      <w:tabs>
        <w:tab w:val="left" w:pos="1429"/>
      </w:tabs>
      <w:spacing w:before="240"/>
      <w:ind w:left="1429" w:hanging="360"/>
    </w:pPr>
    <w:rPr>
      <w:rFonts w:eastAsia="Lucida Sans Unicode"/>
    </w:rPr>
  </w:style>
  <w:style w:type="paragraph" w:customStyle="1" w:styleId="num2">
    <w:name w:val="num2"/>
    <w:basedOn w:val="Normal"/>
    <w:pPr>
      <w:widowControl w:val="0"/>
      <w:tabs>
        <w:tab w:val="left" w:pos="2149"/>
      </w:tabs>
      <w:spacing w:before="240"/>
      <w:ind w:left="2149" w:hanging="360"/>
    </w:pPr>
    <w:rPr>
      <w:rFonts w:eastAsia="Lucida Sans Unicode"/>
    </w:rPr>
  </w:style>
  <w:style w:type="paragraph" w:customStyle="1" w:styleId="num3">
    <w:name w:val="num3"/>
    <w:basedOn w:val="Normal"/>
    <w:pPr>
      <w:widowControl w:val="0"/>
      <w:tabs>
        <w:tab w:val="left" w:pos="2869"/>
      </w:tabs>
      <w:spacing w:before="240"/>
      <w:ind w:left="2869" w:hanging="180"/>
    </w:pPr>
    <w:rPr>
      <w:rFonts w:eastAsia="Lucida Sans Unicode"/>
    </w:rPr>
  </w:style>
  <w:style w:type="paragraph" w:customStyle="1" w:styleId="SNConsultation">
    <w:name w:val="SNConsultation"/>
    <w:basedOn w:val="Normal"/>
    <w:pPr>
      <w:widowControl w:val="0"/>
      <w:spacing w:before="120" w:after="120"/>
      <w:ind w:firstLine="709"/>
      <w:jc w:val="both"/>
    </w:pPr>
    <w:rPr>
      <w:rFonts w:eastAsia="Lucida Sans Unicode"/>
    </w:rPr>
  </w:style>
  <w:style w:type="paragraph" w:customStyle="1" w:styleId="SNNature">
    <w:name w:val="SNNature"/>
    <w:basedOn w:val="Normal"/>
    <w:next w:val="SNtitre"/>
    <w:pPr>
      <w:widowControl w:val="0"/>
      <w:suppressLineNumbers/>
      <w:spacing w:before="720" w:after="120"/>
      <w:jc w:val="center"/>
    </w:pPr>
    <w:rPr>
      <w:rFonts w:eastAsia="Lucida Sans Unicode"/>
      <w:b/>
      <w:bCs/>
    </w:rPr>
  </w:style>
  <w:style w:type="paragraph" w:customStyle="1" w:styleId="SNtitre">
    <w:name w:val="SNtitre"/>
    <w:basedOn w:val="Normal"/>
    <w:next w:val="SNNORCentr"/>
    <w:pPr>
      <w:widowControl w:val="0"/>
      <w:suppressLineNumbers/>
      <w:spacing w:after="360"/>
      <w:jc w:val="center"/>
    </w:pPr>
    <w:rPr>
      <w:rFonts w:eastAsia="Lucida Sans Unicode"/>
      <w:b/>
    </w:rPr>
  </w:style>
  <w:style w:type="paragraph" w:customStyle="1" w:styleId="SNNORCentr">
    <w:name w:val="SNNOR+Centré"/>
    <w:next w:val="SNAutorit"/>
    <w:pPr>
      <w:suppressAutoHyphens/>
      <w:jc w:val="center"/>
    </w:pPr>
    <w:rPr>
      <w:bCs/>
      <w:sz w:val="24"/>
      <w:lang w:eastAsia="zh-CN"/>
    </w:rPr>
  </w:style>
  <w:style w:type="paragraph" w:customStyle="1" w:styleId="SNAutorit">
    <w:name w:val="SNAutorité"/>
    <w:basedOn w:val="Normal"/>
    <w:pPr>
      <w:spacing w:before="720" w:after="240"/>
      <w:ind w:firstLine="720"/>
    </w:pPr>
    <w:rPr>
      <w:b/>
    </w:rPr>
  </w:style>
  <w:style w:type="paragraph" w:customStyle="1" w:styleId="SNSignatureDroite">
    <w:name w:val="SNSignatureDroite"/>
    <w:basedOn w:val="Normal"/>
    <w:next w:val="SNSignatureprnomnomDroite"/>
    <w:pPr>
      <w:spacing w:before="120" w:after="1680"/>
      <w:ind w:left="5040"/>
      <w:jc w:val="right"/>
    </w:pPr>
    <w:rPr>
      <w:color w:val="000000"/>
    </w:rPr>
  </w:style>
  <w:style w:type="paragraph" w:customStyle="1" w:styleId="SNSignatureprnomnomDroite">
    <w:name w:val="SNSignature prénom+nom Droite"/>
    <w:basedOn w:val="SNSignatureDroite"/>
    <w:next w:val="SNSignatureGauche"/>
    <w:pPr>
      <w:spacing w:after="120"/>
      <w:ind w:left="5041"/>
    </w:pPr>
  </w:style>
  <w:style w:type="paragraph" w:customStyle="1" w:styleId="SNSignatureGauche">
    <w:name w:val="SNSignatureGauche"/>
    <w:basedOn w:val="Normal"/>
    <w:next w:val="SNSignatureprnomnomGauche"/>
    <w:pPr>
      <w:spacing w:before="120" w:after="1680"/>
      <w:ind w:left="720" w:right="4494"/>
    </w:pPr>
  </w:style>
  <w:style w:type="paragraph" w:customStyle="1" w:styleId="SNSignatureprnomnomGauche">
    <w:name w:val="SNSignature prénom+nom Gauche"/>
    <w:basedOn w:val="SNSignatureGauche"/>
    <w:next w:val="SNSignatureDroite"/>
    <w:pPr>
      <w:spacing w:after="120"/>
    </w:pPr>
    <w:rPr>
      <w:color w:val="000000"/>
    </w:rPr>
  </w:style>
  <w:style w:type="paragraph" w:customStyle="1" w:styleId="SNTimbre">
    <w:name w:val="SNTimbre"/>
    <w:basedOn w:val="Normal"/>
    <w:pPr>
      <w:widowControl w:val="0"/>
      <w:snapToGrid w:val="0"/>
      <w:spacing w:before="120"/>
      <w:jc w:val="center"/>
    </w:pPr>
    <w:rPr>
      <w:rFonts w:eastAsia="Lucida Sans Unicode"/>
    </w:rPr>
  </w:style>
  <w:style w:type="paragraph" w:customStyle="1" w:styleId="SNRapport">
    <w:name w:val="SNRapport"/>
    <w:basedOn w:val="Normal"/>
    <w:pPr>
      <w:spacing w:before="240" w:after="120"/>
      <w:ind w:firstLine="720"/>
    </w:pPr>
  </w:style>
  <w:style w:type="paragraph" w:customStyle="1" w:styleId="SNVisa">
    <w:name w:val="SNVisa"/>
    <w:basedOn w:val="Normal"/>
    <w:pPr>
      <w:spacing w:before="120" w:after="120"/>
      <w:ind w:firstLine="720"/>
    </w:pPr>
  </w:style>
  <w:style w:type="paragraph" w:customStyle="1" w:styleId="SNDate">
    <w:name w:val="SNDate"/>
    <w:basedOn w:val="Normal"/>
    <w:next w:val="SNContreseing"/>
    <w:pPr>
      <w:spacing w:before="480" w:after="2760"/>
      <w:ind w:firstLine="720"/>
    </w:pPr>
  </w:style>
  <w:style w:type="paragraph" w:customStyle="1" w:styleId="SNContreseing">
    <w:name w:val="SNContreseing"/>
    <w:basedOn w:val="Normal"/>
    <w:next w:val="SNSignatureGauche"/>
    <w:pPr>
      <w:spacing w:before="480"/>
      <w:ind w:firstLine="720"/>
    </w:pPr>
  </w:style>
  <w:style w:type="paragraph" w:customStyle="1" w:styleId="SNActe">
    <w:name w:val="SNActe"/>
    <w:basedOn w:val="Normal"/>
    <w:pPr>
      <w:spacing w:before="480" w:after="360"/>
      <w:jc w:val="center"/>
    </w:pPr>
    <w:rPr>
      <w:b/>
    </w:rPr>
  </w:style>
  <w:style w:type="paragraph" w:customStyle="1" w:styleId="SNArticle">
    <w:name w:val="SNArticle"/>
    <w:basedOn w:val="Normal"/>
    <w:next w:val="BodyText"/>
    <w:pPr>
      <w:spacing w:before="240" w:after="240"/>
      <w:jc w:val="center"/>
    </w:pPr>
    <w:rPr>
      <w:b/>
    </w:rPr>
  </w:style>
  <w:style w:type="paragraph" w:customStyle="1" w:styleId="SNConsidrant">
    <w:name w:val="SNConsidérant"/>
    <w:basedOn w:val="Normal"/>
    <w:pPr>
      <w:ind w:firstLine="720"/>
    </w:pPr>
  </w:style>
  <w:style w:type="paragraph" w:customStyle="1" w:styleId="SNConsultationCE">
    <w:name w:val="SNConsultationCE"/>
    <w:basedOn w:val="SNConsultation"/>
  </w:style>
  <w:style w:type="paragraph" w:customStyle="1" w:styleId="SNConsultationCM">
    <w:name w:val="SNConsultationCM"/>
    <w:basedOn w:val="SNConsultation"/>
  </w:style>
  <w:style w:type="paragraph" w:customStyle="1" w:styleId="SNDirection">
    <w:name w:val="SNDirection"/>
    <w:basedOn w:val="Normal"/>
    <w:pPr>
      <w:spacing w:before="720"/>
      <w:jc w:val="center"/>
    </w:pPr>
    <w:rPr>
      <w:b/>
    </w:rPr>
  </w:style>
  <w:style w:type="paragraph" w:customStyle="1" w:styleId="SNListePrincipale">
    <w:name w:val="SNListePrincipale"/>
    <w:basedOn w:val="Normal"/>
  </w:style>
  <w:style w:type="paragraph" w:customStyle="1" w:styleId="SNIntitul">
    <w:name w:val="SNIntitulé"/>
    <w:basedOn w:val="Normal"/>
    <w:pPr>
      <w:jc w:val="center"/>
    </w:pPr>
  </w:style>
  <w:style w:type="paragraph" w:customStyle="1" w:styleId="SNTitreRapport">
    <w:name w:val="SNTitreRapport"/>
    <w:basedOn w:val="SNActe"/>
  </w:style>
  <w:style w:type="paragraph" w:customStyle="1" w:styleId="SNExcution">
    <w:name w:val="SNExécution"/>
    <w:basedOn w:val="Normal"/>
  </w:style>
  <w:style w:type="paragraph" w:customStyle="1" w:styleId="SNAdoption">
    <w:name w:val="SNAdoption"/>
    <w:basedOn w:val="Normal"/>
  </w:style>
  <w:style w:type="paragraph" w:customStyle="1" w:styleId="SNLibell">
    <w:name w:val="SNLibellé"/>
    <w:basedOn w:val="Normal"/>
  </w:style>
  <w:style w:type="paragraph" w:styleId="BalloonText">
    <w:name w:val="Balloon Text"/>
    <w:basedOn w:val="Normal"/>
    <w:rPr>
      <w:rFonts w:ascii="Tahoma" w:hAnsi="Tahoma" w:cs="Tahoma"/>
      <w:sz w:val="16"/>
      <w:szCs w:val="16"/>
    </w:rPr>
  </w:style>
  <w:style w:type="paragraph" w:customStyle="1" w:styleId="Titre1objet">
    <w:name w:val="Titre 1 objet"/>
    <w:basedOn w:val="Heading1"/>
    <w:pPr>
      <w:numPr>
        <w:numId w:val="0"/>
      </w:numPr>
      <w:spacing w:before="0" w:after="120"/>
    </w:pPr>
    <w:rPr>
      <w:b/>
    </w:rPr>
  </w:style>
  <w:style w:type="paragraph" w:customStyle="1" w:styleId="Titre2objet">
    <w:name w:val="Titre 2 objet"/>
    <w:basedOn w:val="Heading2"/>
    <w:next w:val="Normal"/>
    <w:pPr>
      <w:numPr>
        <w:ilvl w:val="0"/>
        <w:numId w:val="0"/>
      </w:numPr>
      <w:spacing w:before="0" w:after="120"/>
    </w:pPr>
    <w:rPr>
      <w:b/>
    </w:rPr>
  </w:style>
  <w:style w:type="paragraph" w:customStyle="1" w:styleId="titre3objet">
    <w:name w:val="titre 3 objet"/>
    <w:basedOn w:val="Heading3"/>
    <w:next w:val="Normal"/>
    <w:pPr>
      <w:numPr>
        <w:ilvl w:val="0"/>
        <w:numId w:val="0"/>
      </w:numPr>
      <w:spacing w:before="0" w:after="120"/>
    </w:pPr>
    <w:rPr>
      <w:b/>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SNSignature">
    <w:name w:val="SNSignature"/>
    <w:basedOn w:val="Normal"/>
    <w:pPr>
      <w:ind w:firstLine="720"/>
    </w:pPr>
  </w:style>
  <w:style w:type="paragraph" w:customStyle="1" w:styleId="SNSignaturePrincipale">
    <w:name w:val="SNSignaturePrincipale"/>
    <w:basedOn w:val="Normal"/>
    <w:next w:val="Normal"/>
    <w:pPr>
      <w:spacing w:before="480" w:after="480"/>
    </w:pPr>
  </w:style>
  <w:style w:type="paragraph" w:customStyle="1" w:styleId="Commentaire1">
    <w:name w:val="Commentaire1"/>
    <w:basedOn w:val="Normal"/>
    <w:rPr>
      <w:sz w:val="20"/>
      <w:szCs w:val="20"/>
    </w:rPr>
  </w:style>
  <w:style w:type="paragraph" w:styleId="CommentSubject">
    <w:name w:val="annotation subject"/>
    <w:basedOn w:val="Commentaire1"/>
    <w:next w:val="Commentaire1"/>
    <w:rPr>
      <w:b/>
      <w:bCs/>
    </w:rPr>
  </w:style>
  <w:style w:type="paragraph" w:customStyle="1" w:styleId="Commentaire2">
    <w:name w:val="Commentaire2"/>
    <w:basedOn w:val="Normal"/>
    <w:rPr>
      <w:sz w:val="20"/>
      <w:szCs w:val="20"/>
    </w:rPr>
  </w:style>
  <w:style w:type="paragraph" w:styleId="Revision">
    <w:name w:val="Revision"/>
    <w:hidden/>
    <w:uiPriority w:val="99"/>
    <w:semiHidden/>
    <w:rPr>
      <w:sz w:val="24"/>
      <w:szCs w:val="24"/>
      <w:lang w:eastAsia="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emiHidden/>
    <w:rPr>
      <w:lang w:eastAsia="zh-CN"/>
    </w:rPr>
  </w:style>
  <w:style w:type="character" w:customStyle="1" w:styleId="WW8Num12z3">
    <w:name w:val="WW8Num12z3"/>
    <w:rPr>
      <w:rFonts w:ascii="Symbol" w:hAnsi="Symbol" w:cs="Symbol"/>
    </w:rPr>
  </w:style>
  <w:style w:type="paragraph" w:styleId="Header">
    <w:name w:val="header"/>
    <w:basedOn w:val="Normal"/>
    <w:link w:val="HeaderChar"/>
    <w:uiPriority w:val="99"/>
    <w:unhideWhenUsed/>
    <w:rsid w:val="00847849"/>
    <w:pPr>
      <w:tabs>
        <w:tab w:val="center" w:pos="4536"/>
        <w:tab w:val="right" w:pos="9072"/>
      </w:tabs>
    </w:pPr>
  </w:style>
  <w:style w:type="character" w:customStyle="1" w:styleId="HeaderChar">
    <w:name w:val="Header Char"/>
    <w:basedOn w:val="DefaultParagraphFont"/>
    <w:link w:val="Header"/>
    <w:uiPriority w:val="99"/>
    <w:rsid w:val="00847849"/>
    <w:rPr>
      <w:sz w:val="24"/>
      <w:szCs w:val="24"/>
      <w:lang w:eastAsia="zh-CN"/>
    </w:rPr>
  </w:style>
  <w:style w:type="paragraph" w:styleId="Footer">
    <w:name w:val="footer"/>
    <w:basedOn w:val="Normal"/>
    <w:link w:val="FooterChar"/>
    <w:uiPriority w:val="99"/>
    <w:unhideWhenUsed/>
    <w:rsid w:val="00847849"/>
    <w:pPr>
      <w:tabs>
        <w:tab w:val="center" w:pos="4536"/>
        <w:tab w:val="right" w:pos="9072"/>
      </w:tabs>
    </w:pPr>
  </w:style>
  <w:style w:type="character" w:customStyle="1" w:styleId="FooterChar">
    <w:name w:val="Footer Char"/>
    <w:basedOn w:val="DefaultParagraphFont"/>
    <w:link w:val="Footer"/>
    <w:uiPriority w:val="99"/>
    <w:rsid w:val="00847849"/>
    <w:rPr>
      <w:sz w:val="24"/>
      <w:szCs w:val="24"/>
      <w:lang w:eastAsia="zh-CN"/>
    </w:rPr>
  </w:style>
  <w:style w:type="character" w:customStyle="1" w:styleId="print-title-summary">
    <w:name w:val="print-title-summary"/>
    <w:basedOn w:val="DefaultParagraphFont"/>
    <w:rsid w:val="009918F3"/>
  </w:style>
  <w:style w:type="paragraph" w:styleId="ListParagraph">
    <w:name w:val="List Paragraph"/>
    <w:basedOn w:val="Normal"/>
    <w:uiPriority w:val="34"/>
    <w:qFormat/>
    <w:rsid w:val="004C1E63"/>
    <w:pPr>
      <w:suppressAutoHyphens w:val="0"/>
      <w:spacing w:after="200" w:line="276" w:lineRule="auto"/>
      <w:ind w:left="720"/>
      <w:contextualSpacing/>
    </w:pPr>
    <w:rPr>
      <w:rFonts w:ascii="Calibri" w:eastAsia="Calibri" w:hAnsi="Calibri" w:cs="Calibri"/>
      <w:sz w:val="22"/>
      <w:szCs w:val="22"/>
      <w:lang w:eastAsia="fr-FR"/>
    </w:rPr>
  </w:style>
  <w:style w:type="paragraph" w:customStyle="1" w:styleId="Date1">
    <w:name w:val="Date1"/>
    <w:basedOn w:val="Normal"/>
    <w:rsid w:val="00154360"/>
    <w:pPr>
      <w:suppressAutoHyphens w:val="0"/>
      <w:spacing w:before="100" w:beforeAutospacing="1" w:after="100" w:afterAutospacing="1"/>
    </w:pPr>
    <w:rPr>
      <w:lang w:eastAsia="fr-FR"/>
    </w:rPr>
  </w:style>
  <w:style w:type="paragraph" w:styleId="NormalWeb">
    <w:name w:val="Normal (Web)"/>
    <w:basedOn w:val="Normal"/>
    <w:uiPriority w:val="99"/>
    <w:semiHidden/>
    <w:unhideWhenUsed/>
    <w:rsid w:val="00154360"/>
    <w:pPr>
      <w:suppressAutoHyphens w:val="0"/>
      <w:spacing w:before="100" w:beforeAutospacing="1" w:after="100" w:afterAutospacing="1"/>
    </w:pPr>
    <w:rPr>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881885">
      <w:bodyDiv w:val="1"/>
      <w:marLeft w:val="0"/>
      <w:marRight w:val="0"/>
      <w:marTop w:val="0"/>
      <w:marBottom w:val="0"/>
      <w:divBdr>
        <w:top w:val="none" w:sz="0" w:space="0" w:color="auto"/>
        <w:left w:val="none" w:sz="0" w:space="0" w:color="auto"/>
        <w:bottom w:val="none" w:sz="0" w:space="0" w:color="auto"/>
        <w:right w:val="none" w:sz="0" w:space="0" w:color="auto"/>
      </w:divBdr>
    </w:div>
    <w:div w:id="703486825">
      <w:bodyDiv w:val="1"/>
      <w:marLeft w:val="0"/>
      <w:marRight w:val="0"/>
      <w:marTop w:val="0"/>
      <w:marBottom w:val="0"/>
      <w:divBdr>
        <w:top w:val="none" w:sz="0" w:space="0" w:color="auto"/>
        <w:left w:val="none" w:sz="0" w:space="0" w:color="auto"/>
        <w:bottom w:val="none" w:sz="0" w:space="0" w:color="auto"/>
        <w:right w:val="none" w:sz="0" w:space="0" w:color="auto"/>
      </w:divBdr>
    </w:div>
    <w:div w:id="931427816">
      <w:bodyDiv w:val="1"/>
      <w:marLeft w:val="0"/>
      <w:marRight w:val="0"/>
      <w:marTop w:val="0"/>
      <w:marBottom w:val="0"/>
      <w:divBdr>
        <w:top w:val="none" w:sz="0" w:space="0" w:color="auto"/>
        <w:left w:val="none" w:sz="0" w:space="0" w:color="auto"/>
        <w:bottom w:val="none" w:sz="0" w:space="0" w:color="auto"/>
        <w:right w:val="none" w:sz="0" w:space="0" w:color="auto"/>
      </w:divBdr>
    </w:div>
    <w:div w:id="1128402633">
      <w:bodyDiv w:val="1"/>
      <w:marLeft w:val="0"/>
      <w:marRight w:val="0"/>
      <w:marTop w:val="0"/>
      <w:marBottom w:val="0"/>
      <w:divBdr>
        <w:top w:val="none" w:sz="0" w:space="0" w:color="auto"/>
        <w:left w:val="none" w:sz="0" w:space="0" w:color="auto"/>
        <w:bottom w:val="none" w:sz="0" w:space="0" w:color="auto"/>
        <w:right w:val="none" w:sz="0" w:space="0" w:color="auto"/>
      </w:divBdr>
    </w:div>
    <w:div w:id="1160997085">
      <w:bodyDiv w:val="1"/>
      <w:marLeft w:val="0"/>
      <w:marRight w:val="0"/>
      <w:marTop w:val="0"/>
      <w:marBottom w:val="0"/>
      <w:divBdr>
        <w:top w:val="none" w:sz="0" w:space="0" w:color="auto"/>
        <w:left w:val="none" w:sz="0" w:space="0" w:color="auto"/>
        <w:bottom w:val="none" w:sz="0" w:space="0" w:color="auto"/>
        <w:right w:val="none" w:sz="0" w:space="0" w:color="auto"/>
      </w:divBdr>
      <w:divsChild>
        <w:div w:id="193815163">
          <w:marLeft w:val="0"/>
          <w:marRight w:val="0"/>
          <w:marTop w:val="0"/>
          <w:marBottom w:val="0"/>
          <w:divBdr>
            <w:top w:val="none" w:sz="0" w:space="0" w:color="auto"/>
            <w:left w:val="none" w:sz="0" w:space="0" w:color="auto"/>
            <w:bottom w:val="none" w:sz="0" w:space="0" w:color="auto"/>
            <w:right w:val="none" w:sz="0" w:space="0" w:color="auto"/>
          </w:divBdr>
          <w:divsChild>
            <w:div w:id="37434685">
              <w:marLeft w:val="0"/>
              <w:marRight w:val="0"/>
              <w:marTop w:val="0"/>
              <w:marBottom w:val="0"/>
              <w:divBdr>
                <w:top w:val="none" w:sz="0" w:space="0" w:color="auto"/>
                <w:left w:val="none" w:sz="0" w:space="0" w:color="auto"/>
                <w:bottom w:val="none" w:sz="0" w:space="0" w:color="auto"/>
                <w:right w:val="none" w:sz="0" w:space="0" w:color="auto"/>
              </w:divBdr>
            </w:div>
          </w:divsChild>
        </w:div>
        <w:div w:id="138235604">
          <w:marLeft w:val="0"/>
          <w:marRight w:val="0"/>
          <w:marTop w:val="0"/>
          <w:marBottom w:val="0"/>
          <w:divBdr>
            <w:top w:val="none" w:sz="0" w:space="0" w:color="auto"/>
            <w:left w:val="none" w:sz="0" w:space="0" w:color="auto"/>
            <w:bottom w:val="none" w:sz="0" w:space="0" w:color="auto"/>
            <w:right w:val="none" w:sz="0" w:space="0" w:color="auto"/>
          </w:divBdr>
          <w:divsChild>
            <w:div w:id="1606884514">
              <w:marLeft w:val="0"/>
              <w:marRight w:val="0"/>
              <w:marTop w:val="0"/>
              <w:marBottom w:val="0"/>
              <w:divBdr>
                <w:top w:val="none" w:sz="0" w:space="0" w:color="auto"/>
                <w:left w:val="none" w:sz="0" w:space="0" w:color="auto"/>
                <w:bottom w:val="none" w:sz="0" w:space="0" w:color="auto"/>
                <w:right w:val="none" w:sz="0" w:space="0" w:color="auto"/>
              </w:divBdr>
            </w:div>
          </w:divsChild>
        </w:div>
        <w:div w:id="1840191435">
          <w:marLeft w:val="0"/>
          <w:marRight w:val="0"/>
          <w:marTop w:val="0"/>
          <w:marBottom w:val="0"/>
          <w:divBdr>
            <w:top w:val="none" w:sz="0" w:space="0" w:color="auto"/>
            <w:left w:val="none" w:sz="0" w:space="0" w:color="auto"/>
            <w:bottom w:val="none" w:sz="0" w:space="0" w:color="auto"/>
            <w:right w:val="none" w:sz="0" w:space="0" w:color="auto"/>
          </w:divBdr>
          <w:divsChild>
            <w:div w:id="453254262">
              <w:marLeft w:val="0"/>
              <w:marRight w:val="0"/>
              <w:marTop w:val="0"/>
              <w:marBottom w:val="0"/>
              <w:divBdr>
                <w:top w:val="none" w:sz="0" w:space="0" w:color="auto"/>
                <w:left w:val="none" w:sz="0" w:space="0" w:color="auto"/>
                <w:bottom w:val="none" w:sz="0" w:space="0" w:color="auto"/>
                <w:right w:val="none" w:sz="0" w:space="0" w:color="auto"/>
              </w:divBdr>
            </w:div>
          </w:divsChild>
        </w:div>
        <w:div w:id="499539545">
          <w:marLeft w:val="0"/>
          <w:marRight w:val="0"/>
          <w:marTop w:val="0"/>
          <w:marBottom w:val="0"/>
          <w:divBdr>
            <w:top w:val="none" w:sz="0" w:space="0" w:color="auto"/>
            <w:left w:val="none" w:sz="0" w:space="0" w:color="auto"/>
            <w:bottom w:val="none" w:sz="0" w:space="0" w:color="auto"/>
            <w:right w:val="none" w:sz="0" w:space="0" w:color="auto"/>
          </w:divBdr>
          <w:divsChild>
            <w:div w:id="1691763694">
              <w:marLeft w:val="0"/>
              <w:marRight w:val="0"/>
              <w:marTop w:val="0"/>
              <w:marBottom w:val="0"/>
              <w:divBdr>
                <w:top w:val="none" w:sz="0" w:space="0" w:color="auto"/>
                <w:left w:val="none" w:sz="0" w:space="0" w:color="auto"/>
                <w:bottom w:val="none" w:sz="0" w:space="0" w:color="auto"/>
                <w:right w:val="none" w:sz="0" w:space="0" w:color="auto"/>
              </w:divBdr>
            </w:div>
          </w:divsChild>
        </w:div>
        <w:div w:id="772550366">
          <w:marLeft w:val="0"/>
          <w:marRight w:val="0"/>
          <w:marTop w:val="0"/>
          <w:marBottom w:val="0"/>
          <w:divBdr>
            <w:top w:val="none" w:sz="0" w:space="0" w:color="auto"/>
            <w:left w:val="none" w:sz="0" w:space="0" w:color="auto"/>
            <w:bottom w:val="none" w:sz="0" w:space="0" w:color="auto"/>
            <w:right w:val="none" w:sz="0" w:space="0" w:color="auto"/>
          </w:divBdr>
          <w:divsChild>
            <w:div w:id="681006130">
              <w:marLeft w:val="0"/>
              <w:marRight w:val="0"/>
              <w:marTop w:val="0"/>
              <w:marBottom w:val="0"/>
              <w:divBdr>
                <w:top w:val="none" w:sz="0" w:space="0" w:color="auto"/>
                <w:left w:val="none" w:sz="0" w:space="0" w:color="auto"/>
                <w:bottom w:val="none" w:sz="0" w:space="0" w:color="auto"/>
                <w:right w:val="none" w:sz="0" w:space="0" w:color="auto"/>
              </w:divBdr>
            </w:div>
          </w:divsChild>
        </w:div>
        <w:div w:id="1376272221">
          <w:marLeft w:val="0"/>
          <w:marRight w:val="0"/>
          <w:marTop w:val="0"/>
          <w:marBottom w:val="0"/>
          <w:divBdr>
            <w:top w:val="none" w:sz="0" w:space="0" w:color="auto"/>
            <w:left w:val="none" w:sz="0" w:space="0" w:color="auto"/>
            <w:bottom w:val="none" w:sz="0" w:space="0" w:color="auto"/>
            <w:right w:val="none" w:sz="0" w:space="0" w:color="auto"/>
          </w:divBdr>
          <w:divsChild>
            <w:div w:id="775173102">
              <w:marLeft w:val="0"/>
              <w:marRight w:val="0"/>
              <w:marTop w:val="0"/>
              <w:marBottom w:val="0"/>
              <w:divBdr>
                <w:top w:val="none" w:sz="0" w:space="0" w:color="auto"/>
                <w:left w:val="none" w:sz="0" w:space="0" w:color="auto"/>
                <w:bottom w:val="none" w:sz="0" w:space="0" w:color="auto"/>
                <w:right w:val="none" w:sz="0" w:space="0" w:color="auto"/>
              </w:divBdr>
            </w:div>
          </w:divsChild>
        </w:div>
        <w:div w:id="828643560">
          <w:marLeft w:val="0"/>
          <w:marRight w:val="0"/>
          <w:marTop w:val="0"/>
          <w:marBottom w:val="0"/>
          <w:divBdr>
            <w:top w:val="none" w:sz="0" w:space="0" w:color="auto"/>
            <w:left w:val="none" w:sz="0" w:space="0" w:color="auto"/>
            <w:bottom w:val="none" w:sz="0" w:space="0" w:color="auto"/>
            <w:right w:val="none" w:sz="0" w:space="0" w:color="auto"/>
          </w:divBdr>
          <w:divsChild>
            <w:div w:id="1150903601">
              <w:marLeft w:val="0"/>
              <w:marRight w:val="0"/>
              <w:marTop w:val="0"/>
              <w:marBottom w:val="0"/>
              <w:divBdr>
                <w:top w:val="none" w:sz="0" w:space="0" w:color="auto"/>
                <w:left w:val="none" w:sz="0" w:space="0" w:color="auto"/>
                <w:bottom w:val="none" w:sz="0" w:space="0" w:color="auto"/>
                <w:right w:val="none" w:sz="0" w:space="0" w:color="auto"/>
              </w:divBdr>
            </w:div>
          </w:divsChild>
        </w:div>
        <w:div w:id="1081947175">
          <w:marLeft w:val="0"/>
          <w:marRight w:val="0"/>
          <w:marTop w:val="0"/>
          <w:marBottom w:val="0"/>
          <w:divBdr>
            <w:top w:val="none" w:sz="0" w:space="0" w:color="auto"/>
            <w:left w:val="none" w:sz="0" w:space="0" w:color="auto"/>
            <w:bottom w:val="none" w:sz="0" w:space="0" w:color="auto"/>
            <w:right w:val="none" w:sz="0" w:space="0" w:color="auto"/>
          </w:divBdr>
          <w:divsChild>
            <w:div w:id="840461615">
              <w:marLeft w:val="0"/>
              <w:marRight w:val="0"/>
              <w:marTop w:val="0"/>
              <w:marBottom w:val="0"/>
              <w:divBdr>
                <w:top w:val="none" w:sz="0" w:space="0" w:color="auto"/>
                <w:left w:val="none" w:sz="0" w:space="0" w:color="auto"/>
                <w:bottom w:val="none" w:sz="0" w:space="0" w:color="auto"/>
                <w:right w:val="none" w:sz="0" w:space="0" w:color="auto"/>
              </w:divBdr>
            </w:div>
          </w:divsChild>
        </w:div>
        <w:div w:id="1724018795">
          <w:marLeft w:val="0"/>
          <w:marRight w:val="0"/>
          <w:marTop w:val="0"/>
          <w:marBottom w:val="0"/>
          <w:divBdr>
            <w:top w:val="none" w:sz="0" w:space="0" w:color="auto"/>
            <w:left w:val="none" w:sz="0" w:space="0" w:color="auto"/>
            <w:bottom w:val="none" w:sz="0" w:space="0" w:color="auto"/>
            <w:right w:val="none" w:sz="0" w:space="0" w:color="auto"/>
          </w:divBdr>
          <w:divsChild>
            <w:div w:id="17144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81031">
      <w:bodyDiv w:val="1"/>
      <w:marLeft w:val="0"/>
      <w:marRight w:val="0"/>
      <w:marTop w:val="0"/>
      <w:marBottom w:val="0"/>
      <w:divBdr>
        <w:top w:val="none" w:sz="0" w:space="0" w:color="auto"/>
        <w:left w:val="none" w:sz="0" w:space="0" w:color="auto"/>
        <w:bottom w:val="none" w:sz="0" w:space="0" w:color="auto"/>
        <w:right w:val="none" w:sz="0" w:space="0" w:color="auto"/>
      </w:divBdr>
    </w:div>
    <w:div w:id="1619750549">
      <w:bodyDiv w:val="1"/>
      <w:marLeft w:val="0"/>
      <w:marRight w:val="0"/>
      <w:marTop w:val="0"/>
      <w:marBottom w:val="0"/>
      <w:divBdr>
        <w:top w:val="none" w:sz="0" w:space="0" w:color="auto"/>
        <w:left w:val="none" w:sz="0" w:space="0" w:color="auto"/>
        <w:bottom w:val="none" w:sz="0" w:space="0" w:color="auto"/>
        <w:right w:val="none" w:sz="0" w:space="0" w:color="auto"/>
      </w:divBdr>
    </w:div>
    <w:div w:id="1972592040">
      <w:bodyDiv w:val="1"/>
      <w:marLeft w:val="0"/>
      <w:marRight w:val="0"/>
      <w:marTop w:val="0"/>
      <w:marBottom w:val="0"/>
      <w:divBdr>
        <w:top w:val="none" w:sz="0" w:space="0" w:color="auto"/>
        <w:left w:val="none" w:sz="0" w:space="0" w:color="auto"/>
        <w:bottom w:val="none" w:sz="0" w:space="0" w:color="auto"/>
        <w:right w:val="none" w:sz="0" w:space="0" w:color="auto"/>
      </w:divBdr>
      <w:divsChild>
        <w:div w:id="678049393">
          <w:marLeft w:val="0"/>
          <w:marRight w:val="0"/>
          <w:marTop w:val="60"/>
          <w:marBottom w:val="0"/>
          <w:divBdr>
            <w:top w:val="none" w:sz="0" w:space="0" w:color="auto"/>
            <w:left w:val="none" w:sz="0" w:space="0" w:color="auto"/>
            <w:bottom w:val="none" w:sz="0" w:space="0" w:color="auto"/>
            <w:right w:val="none" w:sz="0" w:space="0" w:color="auto"/>
          </w:divBdr>
        </w:div>
        <w:div w:id="830025437">
          <w:marLeft w:val="0"/>
          <w:marRight w:val="0"/>
          <w:marTop w:val="60"/>
          <w:marBottom w:val="0"/>
          <w:divBdr>
            <w:top w:val="none" w:sz="0" w:space="0" w:color="auto"/>
            <w:left w:val="none" w:sz="0" w:space="0" w:color="auto"/>
            <w:bottom w:val="none" w:sz="0" w:space="0" w:color="auto"/>
            <w:right w:val="none" w:sz="0" w:space="0" w:color="auto"/>
          </w:divBdr>
        </w:div>
        <w:div w:id="2055762842">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odonata\SOLON\solon\Mod&#232;les_bis\sol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38D9F-1799-4492-B90D-D95155E58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solon.dot</Template>
  <TotalTime>19</TotalTime>
  <Pages>13</Pages>
  <Words>5149</Words>
  <Characters>29354</Characters>
  <Application>Microsoft Office Word</Application>
  <DocSecurity>0</DocSecurity>
  <Lines>244</Lines>
  <Paragraphs>68</Paragraphs>
  <ScaleCrop>false</ScaleCrop>
  <HeadingPairs>
    <vt:vector size="2" baseType="variant">
      <vt:variant>
        <vt:lpstr>Titre</vt:lpstr>
      </vt:variant>
      <vt:variant>
        <vt:i4>1</vt:i4>
      </vt:variant>
    </vt:vector>
  </HeadingPairs>
  <TitlesOfParts>
    <vt:vector size="1" baseType="lpstr">
      <vt:lpstr>REPUBLIQUE FRANCAISE</vt:lpstr>
    </vt:vector>
  </TitlesOfParts>
  <Company>MI</Company>
  <LinksUpToDate>false</LinksUpToDate>
  <CharactersWithSpaces>34435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creator>SPM</dc:creator>
  <cp:lastModifiedBy>Ke, Tingting</cp:lastModifiedBy>
  <cp:revision>7</cp:revision>
  <cp:lastPrinted>2020-11-27T10:44:00Z</cp:lastPrinted>
  <dcterms:created xsi:type="dcterms:W3CDTF">2020-12-11T13:35:00Z</dcterms:created>
  <dcterms:modified xsi:type="dcterms:W3CDTF">2020-12-29T04:05:00Z</dcterms:modified>
</cp:coreProperties>
</file>