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4F8" w:rsidRPr="003574F8" w:rsidRDefault="003574F8" w:rsidP="003574F8">
      <w:pPr>
        <w:jc w:val="center"/>
        <w:rPr>
          <w:rFonts w:ascii="Courier New" w:hAnsi="Courier New"/>
          <w:sz w:val="20"/>
        </w:rPr>
      </w:pPr>
      <w:r>
        <w:rPr>
          <w:rFonts w:ascii="Courier New" w:hAnsi="Courier New"/>
          <w:sz w:val="20"/>
        </w:rPr>
        <w:t>1. ------IND- 2020 0813 D-- DA-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szCs w:val="16"/>
        </w:rPr>
        <w:t>Udgave: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szCs w:val="22"/>
        </w:rPr>
        <w:t>Vedtægt</w:t>
      </w:r>
      <w:r>
        <w:rPr>
          <w:rFonts w:asciiTheme="minorHAnsi" w:hAnsiTheme="minorHAnsi"/>
          <w:b/>
          <w:bCs/>
          <w:sz w:val="22"/>
          <w:szCs w:val="22"/>
        </w:rPr>
        <w:t xml:space="preserve"> for specifikation af bestemmelserne i den statslige medieaftale (</w:t>
      </w:r>
      <w:proofErr w:type="spellStart"/>
      <w:r>
        <w:rPr>
          <w:rFonts w:asciiTheme="minorHAnsi" w:hAnsiTheme="minorHAnsi"/>
          <w:b/>
          <w:bCs/>
          <w:sz w:val="22"/>
          <w:szCs w:val="22"/>
        </w:rPr>
        <w:t>Medienstaatsvertrag</w:t>
      </w:r>
      <w:proofErr w:type="spellEnd"/>
      <w:r>
        <w:rPr>
          <w:rFonts w:asciiTheme="minorHAnsi" w:hAnsiTheme="minorHAnsi"/>
          <w:b/>
          <w:bCs/>
          <w:sz w:val="22"/>
          <w:szCs w:val="22"/>
        </w:rPr>
        <w:t xml:space="preserve">) om medieplatforme og brugergrænseflader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(MB-vedtægt)</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dateret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bCs/>
          <w:sz w:val="22"/>
          <w:szCs w:val="22"/>
        </w:rPr>
        <w:t xml:space="preserve">På basis af § 84, stk. 8, og § </w:t>
      </w:r>
      <w:r>
        <w:rPr>
          <w:rFonts w:ascii="Calibri" w:hAnsi="Calibri"/>
          <w:sz w:val="22"/>
          <w:szCs w:val="22"/>
        </w:rPr>
        <w:t>88</w:t>
      </w:r>
      <w:r>
        <w:rPr>
          <w:rFonts w:asciiTheme="minorHAnsi" w:hAnsiTheme="minorHAnsi"/>
          <w:bCs/>
          <w:sz w:val="22"/>
          <w:szCs w:val="22"/>
        </w:rPr>
        <w:t xml:space="preserve"> </w:t>
      </w:r>
      <w:r>
        <w:rPr>
          <w:rFonts w:ascii="Calibri" w:hAnsi="Calibri"/>
          <w:sz w:val="22"/>
          <w:szCs w:val="22"/>
        </w:rPr>
        <w:t>i den statslige medieaftale (</w:t>
      </w:r>
      <w:proofErr w:type="spellStart"/>
      <w:r>
        <w:rPr>
          <w:rFonts w:ascii="Calibri" w:hAnsi="Calibri"/>
          <w:sz w:val="22"/>
          <w:szCs w:val="22"/>
        </w:rPr>
        <w:t>MStV</w:t>
      </w:r>
      <w:proofErr w:type="spellEnd"/>
      <w:r>
        <w:rPr>
          <w:rFonts w:ascii="Calibri" w:hAnsi="Calibri"/>
          <w:sz w:val="22"/>
          <w:szCs w:val="22"/>
        </w:rPr>
        <w:t xml:space="preserve">) af 14. til 28. april 2020 (… reference) udsteder [navn på delstatens mediemyndighed] </w:t>
      </w:r>
      <w:r>
        <w:rPr>
          <w:rFonts w:ascii="Calibri" w:hAnsi="Calibri"/>
          <w:bCs/>
          <w:sz w:val="22"/>
          <w:szCs w:val="22"/>
        </w:rPr>
        <w:t xml:space="preserve">i overensstemmelse </w:t>
      </w:r>
      <w:r>
        <w:rPr>
          <w:rFonts w:ascii="Calibri" w:hAnsi="Calibri"/>
          <w:sz w:val="22"/>
          <w:szCs w:val="22"/>
        </w:rPr>
        <w:t xml:space="preserve">med de øvrige delstaters mediemyndigheder </w:t>
      </w:r>
      <w:r>
        <w:rPr>
          <w:rFonts w:ascii="Calibri" w:hAnsi="Calibri"/>
          <w:bCs/>
          <w:sz w:val="22"/>
          <w:szCs w:val="22"/>
        </w:rPr>
        <w:t>følgende vedtægt: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1. afsnit: Generelle bestemmelser</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 1</w:t>
      </w:r>
      <w:r>
        <w:rPr>
          <w:rFonts w:ascii="Calibri" w:hAnsi="Calibri"/>
          <w:b/>
          <w:sz w:val="22"/>
          <w:szCs w:val="22"/>
        </w:rPr>
        <w:br/>
        <w:t>Formål, anvendelsesområde</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Stk. 1. </w:t>
      </w:r>
      <w:r>
        <w:rPr>
          <w:rFonts w:asciiTheme="minorHAnsi" w:hAnsiTheme="minorHAnsi"/>
          <w:bCs/>
          <w:sz w:val="22"/>
          <w:szCs w:val="22"/>
          <w:vertAlign w:val="superscript"/>
        </w:rPr>
        <w:t>1</w:t>
      </w:r>
      <w:r>
        <w:rPr>
          <w:rFonts w:asciiTheme="minorHAnsi" w:hAnsiTheme="minorHAnsi"/>
          <w:bCs/>
          <w:sz w:val="22"/>
          <w:szCs w:val="22"/>
        </w:rPr>
        <w:t xml:space="preserve">Denne vedtægt regulerer iht. § 84 stk. 8, og § 88 i </w:t>
      </w:r>
      <w:proofErr w:type="spellStart"/>
      <w:r>
        <w:rPr>
          <w:rFonts w:asciiTheme="minorHAnsi" w:hAnsiTheme="minorHAnsi"/>
          <w:bCs/>
          <w:sz w:val="22"/>
          <w:szCs w:val="22"/>
        </w:rPr>
        <w:t>MStV</w:t>
      </w:r>
      <w:proofErr w:type="spellEnd"/>
      <w:r>
        <w:rPr>
          <w:rFonts w:asciiTheme="minorHAnsi" w:hAnsiTheme="minorHAnsi"/>
          <w:bCs/>
          <w:sz w:val="22"/>
          <w:szCs w:val="22"/>
        </w:rPr>
        <w:t xml:space="preserve"> detaljerne vedrørende den indholdsmæssige og </w:t>
      </w:r>
      <w:r>
        <w:rPr>
          <w:rFonts w:ascii="Calibri" w:hAnsi="Calibri"/>
          <w:sz w:val="22"/>
          <w:szCs w:val="22"/>
        </w:rPr>
        <w:t>proceduremæssige</w:t>
      </w:r>
      <w:r>
        <w:rPr>
          <w:rFonts w:asciiTheme="minorHAnsi" w:hAnsiTheme="minorHAnsi"/>
          <w:bCs/>
          <w:sz w:val="22"/>
          <w:szCs w:val="22"/>
        </w:rPr>
        <w:t xml:space="preserve"> specifikation af retsreglerne i afsnit V, 2. underafsnit i </w:t>
      </w:r>
      <w:proofErr w:type="spellStart"/>
      <w:r>
        <w:rPr>
          <w:rFonts w:asciiTheme="minorHAnsi" w:hAnsiTheme="minorHAnsi"/>
          <w:bCs/>
          <w:sz w:val="22"/>
          <w:szCs w:val="22"/>
        </w:rPr>
        <w:t>MStV</w:t>
      </w:r>
      <w:proofErr w:type="spellEnd"/>
      <w:r>
        <w:rPr>
          <w:rFonts w:asciiTheme="minorHAnsi" w:hAnsiTheme="minorHAnsi"/>
          <w:bCs/>
          <w:sz w:val="22"/>
          <w:szCs w:val="22"/>
        </w:rPr>
        <w:t xml:space="preserve"> om medieplatforme og brugergrænseflader (§ 78 til 88 i </w:t>
      </w:r>
      <w:proofErr w:type="spellStart"/>
      <w:r>
        <w:rPr>
          <w:rFonts w:asciiTheme="minorHAnsi" w:hAnsiTheme="minorHAnsi"/>
          <w:bCs/>
          <w:sz w:val="22"/>
          <w:szCs w:val="22"/>
        </w:rPr>
        <w:t>MStV</w:t>
      </w:r>
      <w:proofErr w:type="spellEnd"/>
      <w:r>
        <w:rPr>
          <w:rFonts w:asciiTheme="minorHAnsi" w:hAnsiTheme="minorHAnsi"/>
          <w:bCs/>
          <w:sz w:val="22"/>
          <w:szCs w:val="22"/>
        </w:rPr>
        <w:t xml:space="preserve">). </w:t>
      </w:r>
      <w:r>
        <w:rPr>
          <w:rFonts w:asciiTheme="minorHAnsi" w:hAnsiTheme="minorHAnsi"/>
          <w:bCs/>
          <w:sz w:val="22"/>
          <w:szCs w:val="22"/>
          <w:vertAlign w:val="superscript"/>
        </w:rPr>
        <w:t>2</w:t>
      </w:r>
      <w:r>
        <w:rPr>
          <w:rFonts w:asciiTheme="minorHAnsi" w:hAnsiTheme="minorHAnsi"/>
          <w:bCs/>
          <w:sz w:val="22"/>
          <w:szCs w:val="22"/>
        </w:rPr>
        <w:t xml:space="preserve">Den har til formål positivt at sikre mangfoldigheden af meninger (mangfoldighed af tilbud og udbydere).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Stk. 2. </w:t>
      </w:r>
      <w:r>
        <w:rPr>
          <w:rFonts w:asciiTheme="minorHAnsi" w:hAnsiTheme="minorHAnsi"/>
          <w:sz w:val="22"/>
          <w:szCs w:val="22"/>
          <w:vertAlign w:val="superscript"/>
        </w:rPr>
        <w:t>1</w:t>
      </w:r>
      <w:r>
        <w:rPr>
          <w:rFonts w:asciiTheme="minorHAnsi" w:hAnsiTheme="minorHAnsi"/>
          <w:sz w:val="22"/>
          <w:szCs w:val="22"/>
        </w:rPr>
        <w:t xml:space="preserve">Bestemmelserne i denne vedtægt finder anvendelse på medieplatforme og brugergrænseflader. </w:t>
      </w:r>
      <w:r>
        <w:rPr>
          <w:rFonts w:asciiTheme="minorHAnsi" w:hAnsiTheme="minorHAnsi"/>
          <w:sz w:val="22"/>
          <w:szCs w:val="22"/>
          <w:vertAlign w:val="superscript"/>
        </w:rPr>
        <w:t>2</w:t>
      </w:r>
      <w:r>
        <w:rPr>
          <w:rFonts w:asciiTheme="minorHAnsi" w:hAnsiTheme="minorHAnsi"/>
          <w:sz w:val="22"/>
          <w:szCs w:val="22"/>
        </w:rPr>
        <w:t xml:space="preserve">Med undtagelse af denne vedtægts § 1, 2, 3, 12 ff. finder de ikke anvendelse på medieplatforme og brugergrænseflader, hvis betydning er ringe for mangfoldigheden af tilbud og meninger. </w:t>
      </w:r>
      <w:r>
        <w:rPr>
          <w:rFonts w:asciiTheme="minorHAnsi" w:hAnsiTheme="minorHAnsi"/>
          <w:sz w:val="22"/>
          <w:szCs w:val="22"/>
          <w:vertAlign w:val="superscript"/>
        </w:rPr>
        <w:t>3</w:t>
      </w:r>
      <w:r>
        <w:rPr>
          <w:rFonts w:asciiTheme="minorHAnsi" w:hAnsiTheme="minorHAnsi"/>
          <w:sz w:val="22"/>
          <w:szCs w:val="22"/>
        </w:rPr>
        <w:t xml:space="preserve">Dette er normalt tilfældet, hvis medieplatformen eller brugergrænsefladen ligger under de tærskler, der er fastsat i § 78, 2. punktum, nr. 1) og 2), i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Stk. 3. </w:t>
      </w:r>
      <w:r>
        <w:rPr>
          <w:rFonts w:asciiTheme="minorHAnsi" w:hAnsiTheme="minorHAnsi"/>
          <w:sz w:val="22"/>
          <w:szCs w:val="22"/>
          <w:vertAlign w:val="superscript"/>
        </w:rPr>
        <w:t>1</w:t>
      </w:r>
      <w:r>
        <w:rPr>
          <w:rFonts w:asciiTheme="minorHAnsi" w:hAnsiTheme="minorHAnsi"/>
          <w:sz w:val="22"/>
          <w:szCs w:val="22"/>
        </w:rPr>
        <w:t xml:space="preserve">Medieplatforme er infrastrukturrelaterede i de tilfælde, hvor udbyderen af medieplatformen også kontrollerer transmissionsinfrastrukturen fra indgangspunktet til </w:t>
      </w:r>
      <w:proofErr w:type="spellStart"/>
      <w:r>
        <w:rPr>
          <w:rFonts w:asciiTheme="minorHAnsi" w:hAnsiTheme="minorHAnsi"/>
          <w:sz w:val="22"/>
          <w:szCs w:val="22"/>
        </w:rPr>
        <w:t>nettermineringspunktet</w:t>
      </w:r>
      <w:proofErr w:type="spellEnd"/>
      <w:r>
        <w:rPr>
          <w:rFonts w:asciiTheme="minorHAnsi" w:hAnsiTheme="minorHAnsi"/>
          <w:sz w:val="22"/>
          <w:szCs w:val="22"/>
        </w:rPr>
        <w:t xml:space="preserve">. </w:t>
      </w:r>
      <w:r>
        <w:rPr>
          <w:rFonts w:asciiTheme="minorHAnsi" w:hAnsiTheme="minorHAnsi"/>
          <w:sz w:val="22"/>
          <w:szCs w:val="22"/>
          <w:vertAlign w:val="superscript"/>
        </w:rPr>
        <w:t>2</w:t>
      </w:r>
      <w:r>
        <w:rPr>
          <w:rFonts w:asciiTheme="minorHAnsi" w:hAnsiTheme="minorHAnsi"/>
          <w:sz w:val="22"/>
          <w:szCs w:val="22"/>
        </w:rPr>
        <w:t>Kontrollen kan også opnås ved en kontraktlig aftale mellem udbyderen og ejeren af transmissionsinfrastrukturen.</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0" w:name="_Hlk46137526"/>
      <w:r>
        <w:rPr>
          <w:rFonts w:asciiTheme="minorHAnsi" w:hAnsiTheme="minorHAnsi"/>
          <w:sz w:val="22"/>
          <w:szCs w:val="22"/>
        </w:rPr>
        <w:t xml:space="preserve">Stk. 4. Fastlæggelsen af de tilsluttede boligenheder til </w:t>
      </w:r>
      <w:proofErr w:type="spellStart"/>
      <w:r>
        <w:rPr>
          <w:rFonts w:asciiTheme="minorHAnsi" w:hAnsiTheme="minorHAnsi"/>
          <w:sz w:val="22"/>
          <w:szCs w:val="22"/>
        </w:rPr>
        <w:t>kabelnetforbundne</w:t>
      </w:r>
      <w:proofErr w:type="spellEnd"/>
      <w:r>
        <w:rPr>
          <w:rFonts w:asciiTheme="minorHAnsi" w:hAnsiTheme="minorHAnsi"/>
          <w:sz w:val="22"/>
          <w:szCs w:val="22"/>
        </w:rPr>
        <w:t xml:space="preserve"> medieplatforme og tilhørende brugergrænseflader i henhold til § 78, 2. punktum, nr. 1), i </w:t>
      </w:r>
      <w:proofErr w:type="spellStart"/>
      <w:r>
        <w:rPr>
          <w:rFonts w:asciiTheme="minorHAnsi" w:hAnsiTheme="minorHAnsi"/>
          <w:sz w:val="22"/>
          <w:szCs w:val="22"/>
        </w:rPr>
        <w:t>MStV</w:t>
      </w:r>
      <w:proofErr w:type="spellEnd"/>
      <w:r>
        <w:rPr>
          <w:rFonts w:asciiTheme="minorHAnsi" w:hAnsiTheme="minorHAnsi"/>
          <w:sz w:val="22"/>
          <w:szCs w:val="22"/>
        </w:rPr>
        <w:t xml:space="preserve"> finder sted i overensstemmelse med følgende bestemmelser:</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Alle net, der kan henføres til en udbyder af en </w:t>
      </w:r>
      <w:proofErr w:type="spellStart"/>
      <w:r>
        <w:rPr>
          <w:rFonts w:asciiTheme="minorHAnsi" w:hAnsiTheme="minorHAnsi"/>
          <w:sz w:val="22"/>
          <w:szCs w:val="22"/>
        </w:rPr>
        <w:t>kabelnetforbundet</w:t>
      </w:r>
      <w:proofErr w:type="spellEnd"/>
      <w:r>
        <w:rPr>
          <w:rFonts w:asciiTheme="minorHAnsi" w:hAnsiTheme="minorHAnsi"/>
          <w:sz w:val="22"/>
          <w:szCs w:val="22"/>
        </w:rPr>
        <w:t xml:space="preserve"> </w:t>
      </w:r>
      <w:r>
        <w:rPr>
          <w:rFonts w:ascii="Calibri" w:hAnsi="Calibri"/>
          <w:sz w:val="22"/>
          <w:szCs w:val="22"/>
        </w:rPr>
        <w:t>medieplatform</w:t>
      </w:r>
      <w:r>
        <w:rPr>
          <w:rFonts w:asciiTheme="minorHAnsi" w:hAnsiTheme="minorHAnsi"/>
          <w:sz w:val="22"/>
          <w:szCs w:val="22"/>
        </w:rPr>
        <w:t>, betragtes samlet.</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Tilsluttede boligenheder er i henhold til § 78, 2. punktum, nr. 1), i </w:t>
      </w:r>
      <w:proofErr w:type="spellStart"/>
      <w:r>
        <w:rPr>
          <w:rFonts w:asciiTheme="minorHAnsi" w:hAnsiTheme="minorHAnsi"/>
          <w:sz w:val="22"/>
          <w:szCs w:val="22"/>
        </w:rPr>
        <w:t>MStV</w:t>
      </w:r>
      <w:proofErr w:type="spellEnd"/>
      <w:r>
        <w:rPr>
          <w:rFonts w:asciiTheme="minorHAnsi" w:hAnsiTheme="minorHAnsi"/>
          <w:sz w:val="22"/>
          <w:szCs w:val="22"/>
        </w:rPr>
        <w:t xml:space="preserve"> i tilfælde af </w:t>
      </w:r>
      <w:proofErr w:type="spellStart"/>
      <w:r>
        <w:rPr>
          <w:rFonts w:asciiTheme="minorHAnsi" w:hAnsiTheme="minorHAnsi"/>
          <w:sz w:val="22"/>
          <w:szCs w:val="22"/>
        </w:rPr>
        <w:t>kabelnetforbundne</w:t>
      </w:r>
      <w:proofErr w:type="spellEnd"/>
      <w:r>
        <w:rPr>
          <w:rFonts w:asciiTheme="minorHAnsi" w:hAnsiTheme="minorHAnsi"/>
          <w:sz w:val="22"/>
          <w:szCs w:val="22"/>
        </w:rPr>
        <w:t xml:space="preserve"> medieplatforme boligenheder, hvor der er et fysisk </w:t>
      </w:r>
      <w:proofErr w:type="spellStart"/>
      <w:r>
        <w:rPr>
          <w:rFonts w:asciiTheme="minorHAnsi" w:hAnsiTheme="minorHAnsi"/>
          <w:sz w:val="22"/>
          <w:szCs w:val="22"/>
        </w:rPr>
        <w:t>nettermineringspunkt</w:t>
      </w:r>
      <w:proofErr w:type="spellEnd"/>
      <w:r>
        <w:rPr>
          <w:rFonts w:asciiTheme="minorHAnsi" w:hAnsiTheme="minorHAnsi"/>
          <w:sz w:val="22"/>
          <w:szCs w:val="22"/>
        </w:rPr>
        <w:t xml:space="preserve">, fra hvilket en slutbruger får adgang til et kabelnet, forudsat at der er en aftale om </w:t>
      </w:r>
      <w:proofErr w:type="spellStart"/>
      <w:r>
        <w:rPr>
          <w:rFonts w:asciiTheme="minorHAnsi" w:hAnsiTheme="minorHAnsi"/>
          <w:sz w:val="22"/>
          <w:szCs w:val="22"/>
        </w:rPr>
        <w:t>nettermineringspunktet</w:t>
      </w:r>
      <w:proofErr w:type="spellEnd"/>
      <w:r>
        <w:rPr>
          <w:rFonts w:asciiTheme="minorHAnsi" w:hAnsiTheme="minorHAnsi"/>
          <w:sz w:val="22"/>
          <w:szCs w:val="22"/>
        </w:rPr>
        <w:t>, i henhold til hvilken slutbrugeren har ret til at udsende TV- eller radioprogrammer.</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Stk. 5. For fastlæggelsen af de faktiske daglige brugere i henhold til § 78, 2. punktum, nr. 2), i </w:t>
      </w:r>
      <w:proofErr w:type="spellStart"/>
      <w:r>
        <w:rPr>
          <w:rFonts w:asciiTheme="minorHAnsi" w:hAnsiTheme="minorHAnsi"/>
          <w:sz w:val="22"/>
          <w:szCs w:val="22"/>
        </w:rPr>
        <w:t>MStV</w:t>
      </w:r>
      <w:proofErr w:type="spellEnd"/>
      <w:r>
        <w:rPr>
          <w:rFonts w:asciiTheme="minorHAnsi" w:hAnsiTheme="minorHAnsi"/>
          <w:sz w:val="22"/>
          <w:szCs w:val="22"/>
        </w:rPr>
        <w:t>, gælder følgende bestemmelser:</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Faktiske daglige brugere af en medieplatform eller brugergrænseflade, der ikke er infrastrukturrelateret, er brugere, der besøger medieplatformen eller brugergrænsefladen inden for en dag. Flere opkald fra en bruger tælles én gang (Unique User).</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Det afgørende er opkaldet til det første valgniveau på en medieplatform eller brugergrænseflade. Hvis medieplatformen derimod er en definerbar del af et blandet tilbud, er det antallet af Unique Users, der er afgørende.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Hvis opkaldet til TV-/radioprogrammer, TV-/radio-lignende telemedier eller telemedier iht. i § 19, stk. 1, i </w:t>
      </w:r>
      <w:proofErr w:type="spellStart"/>
      <w:r>
        <w:rPr>
          <w:rFonts w:ascii="Calibri" w:hAnsi="Calibri"/>
          <w:sz w:val="22"/>
          <w:szCs w:val="22"/>
        </w:rPr>
        <w:t>MStV</w:t>
      </w:r>
      <w:proofErr w:type="spellEnd"/>
      <w:r>
        <w:rPr>
          <w:rFonts w:ascii="Calibri" w:hAnsi="Calibri"/>
          <w:sz w:val="22"/>
          <w:szCs w:val="22"/>
        </w:rPr>
        <w:t xml:space="preserve">, der udelukkende er afhængig af en registrering eller et login, er det målingen af den Unique User af opkaldet fra det første valgniveau, der er tilgængeligt efter registreringen eller login, der er afgørende.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Hvis der ikke kan gives oplysninger om de faktiske daglige antal brugere, bruges antallet af solgte apparater som grundlag for brugergrænseflader.</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Der lægges en periode på seks måneder til grund for ovenstående beregninger af det månedlige gennemsnit.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Stk. 6. Udbyderen skal opfylde kravene i overensstemmelse med § 78, 2. punktum, nr. 1) og 2), i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Anmeldelse</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Stk. 1. </w:t>
      </w:r>
      <w:r>
        <w:rPr>
          <w:rFonts w:asciiTheme="minorHAnsi" w:hAnsiTheme="minorHAnsi"/>
          <w:sz w:val="22"/>
          <w:szCs w:val="22"/>
          <w:vertAlign w:val="superscript"/>
        </w:rPr>
        <w:t>1</w:t>
      </w:r>
      <w:r>
        <w:rPr>
          <w:rFonts w:asciiTheme="minorHAnsi" w:hAnsiTheme="minorHAnsi"/>
          <w:sz w:val="22"/>
          <w:szCs w:val="22"/>
        </w:rPr>
        <w:t xml:space="preserve">Udbydere, der ønsker at tilbyde en medieplatform eller brugergrænseflade, skal anmelde dette til den kompetente mediemyndighed i delstaten herom mindst en måned før idriftsættelse. </w:t>
      </w:r>
      <w:r>
        <w:rPr>
          <w:rFonts w:asciiTheme="minorHAnsi" w:hAnsiTheme="minorHAnsi"/>
          <w:sz w:val="22"/>
          <w:szCs w:val="22"/>
          <w:vertAlign w:val="superscript"/>
        </w:rPr>
        <w:t>2</w:t>
      </w:r>
      <w:r>
        <w:rPr>
          <w:rFonts w:asciiTheme="minorHAnsi" w:hAnsiTheme="minorHAnsi"/>
          <w:sz w:val="22"/>
          <w:szCs w:val="22"/>
        </w:rPr>
        <w:t xml:space="preserve">For så vidt som idriftsættelsen af tilbuddet ikke er leverandørens ansvar, skal anmeldelsesforpligtelsen i henhold til stk. 1 baseres på tidspunktet for markedsføring.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Stk. 2. Som en del af anmeldelsen skal især følgende oplysninger gives og dokumenter indsendes:</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Præsentation af tilbuddet; dette inkluderer også information om medieplatformens infrastrukturrelaterede karakter eller information om, hvorvidt det er en brugergrænseflade til en infrastrukturrelateret medieplatform.</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Udpegning af den fysiske eller juridiske person, der udbyder medieplatformen eller brugergrænsefladen, samt bopæl eller forretningssted.</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 xml:space="preserve">Fremlæggelse af en udskrift af strafferegistret eller et sammenligneligt udenlandsk dokument, der ved fremlæggelsen højst må være seks måneder gammelt, for personen hos udbyderen af medieplatformen eller brugergrænsefladen eller den person, der juridisk eller i overensstemmelse med vedtægterne repræsenterer denne. Hvis der er flere personer, der repræsenterer vedkommende juridisk eller i overensstemmelse med vedtægterne, er det tilstrækkeligt med fremlæggelse af et dokument som defineret i 1. punktum for de repræsentanter, der er ansvarlige for udvælgelsen af </w:t>
      </w:r>
      <w:proofErr w:type="spellStart"/>
      <w:r>
        <w:rPr>
          <w:rFonts w:ascii="Calibri" w:hAnsi="Calibri"/>
          <w:sz w:val="22"/>
          <w:szCs w:val="22"/>
        </w:rPr>
        <w:t>tilbudene</w:t>
      </w:r>
      <w:proofErr w:type="spellEnd"/>
      <w:r>
        <w:rPr>
          <w:rFonts w:ascii="Calibri" w:hAnsi="Calibri"/>
          <w:sz w:val="22"/>
          <w:szCs w:val="22"/>
        </w:rPr>
        <w:t xml:space="preserve"> eller udformningen af oversigten.</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 xml:space="preserve">Oplysninger om det tekniske og forventede anvendelsesområde. Dette inkluderer særlig de oplysninger, der kræves til kontrol af § 78, 2. punktum, i </w:t>
      </w:r>
      <w:proofErr w:type="spellStart"/>
      <w:r>
        <w:rPr>
          <w:rFonts w:ascii="Calibri" w:hAnsi="Calibri"/>
          <w:sz w:val="22"/>
          <w:szCs w:val="22"/>
        </w:rPr>
        <w:t>MStV</w:t>
      </w:r>
      <w:proofErr w:type="spellEnd"/>
      <w:r>
        <w:rPr>
          <w:rFonts w:ascii="Calibri" w:hAnsi="Calibri"/>
          <w:sz w:val="22"/>
          <w:szCs w:val="22"/>
        </w:rPr>
        <w:t xml:space="preserve"> og § 1, stk. 4 til 6, i denne vedtægt.</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Stk. 3. Hvis udbyderen af medieplatformen eller brugergrænsefladen ikke har bopæl eller forretningssted i Tyskland, i en anden EU-medlemsstat eller en anden stat, der har underskrevet aftalen om Det Europæiske Økonomiske Samarbejdsområde, skal vedkommende udpege en bemyndiget repræsentant i henhold til § 79, stk. 1, 2. punktum, i </w:t>
      </w:r>
      <w:proofErr w:type="spellStart"/>
      <w:r>
        <w:rPr>
          <w:rFonts w:asciiTheme="minorHAnsi" w:hAnsiTheme="minorHAnsi"/>
          <w:sz w:val="22"/>
          <w:szCs w:val="22"/>
        </w:rPr>
        <w:t>MStV</w:t>
      </w:r>
      <w:proofErr w:type="spellEnd"/>
      <w:r>
        <w:rPr>
          <w:rFonts w:asciiTheme="minorHAnsi" w:hAnsiTheme="minorHAnsi"/>
          <w:sz w:val="22"/>
          <w:szCs w:val="22"/>
        </w:rPr>
        <w:t xml:space="preserve"> ved fremlæggelse af et dokument i overensstemmelse med stk. 2, nr.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Stk. 4. Den kompetente mediemyndighed kan også anmode om indsendelse af yderligere dokumenter og oplysninger, der er nødvendige for at vurdere anmeldelsen.</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Signalintegritet, </w:t>
      </w:r>
      <w:proofErr w:type="spellStart"/>
      <w:r>
        <w:rPr>
          <w:rFonts w:ascii="Calibri" w:hAnsi="Calibri"/>
          <w:b/>
          <w:sz w:val="22"/>
          <w:szCs w:val="22"/>
        </w:rPr>
        <w:t>overlays</w:t>
      </w:r>
      <w:proofErr w:type="spellEnd"/>
      <w:r>
        <w:rPr>
          <w:rFonts w:ascii="Calibri" w:hAnsi="Calibri"/>
          <w:b/>
          <w:sz w:val="22"/>
          <w:szCs w:val="22"/>
        </w:rPr>
        <w:t xml:space="preserve"> og </w:t>
      </w:r>
      <w:proofErr w:type="spellStart"/>
      <w:r>
        <w:rPr>
          <w:rFonts w:ascii="Calibri" w:hAnsi="Calibri"/>
          <w:b/>
          <w:sz w:val="22"/>
          <w:szCs w:val="22"/>
        </w:rPr>
        <w:t>skaleringer</w:t>
      </w:r>
      <w:proofErr w:type="spellEnd"/>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Stk. 1. Det er også en teknisk ændring iht. § 80, stk. 1, nr. 1), i </w:t>
      </w:r>
      <w:proofErr w:type="spellStart"/>
      <w:r>
        <w:rPr>
          <w:rFonts w:asciiTheme="minorHAnsi" w:hAnsiTheme="minorHAnsi"/>
          <w:sz w:val="22"/>
          <w:szCs w:val="22"/>
        </w:rPr>
        <w:t>MStV</w:t>
      </w:r>
      <w:proofErr w:type="spellEnd"/>
      <w:r>
        <w:rPr>
          <w:rFonts w:asciiTheme="minorHAnsi" w:hAnsiTheme="minorHAnsi"/>
          <w:sz w:val="22"/>
          <w:szCs w:val="22"/>
        </w:rPr>
        <w:t xml:space="preserve">, hvis </w:t>
      </w:r>
      <w:proofErr w:type="spellStart"/>
      <w:r>
        <w:rPr>
          <w:rFonts w:asciiTheme="minorHAnsi" w:hAnsiTheme="minorHAnsi"/>
          <w:sz w:val="22"/>
          <w:szCs w:val="22"/>
        </w:rPr>
        <w:t>HbbTV</w:t>
      </w:r>
      <w:proofErr w:type="spellEnd"/>
      <w:r>
        <w:rPr>
          <w:rFonts w:asciiTheme="minorHAnsi" w:hAnsiTheme="minorHAnsi"/>
          <w:sz w:val="22"/>
          <w:szCs w:val="22"/>
        </w:rPr>
        <w:t>-signaler, der teknisk set stilles til rådighed, ikke videresendes af medieplatformsudbyderne.</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1" w:name="_Hlk49412973"/>
      <w:r>
        <w:rPr>
          <w:rFonts w:asciiTheme="minorHAnsi" w:hAnsiTheme="minorHAnsi"/>
          <w:sz w:val="22"/>
          <w:szCs w:val="22"/>
        </w:rPr>
        <w:t xml:space="preserve">Stk. 2. Et </w:t>
      </w:r>
      <w:proofErr w:type="spellStart"/>
      <w:r>
        <w:rPr>
          <w:rFonts w:asciiTheme="minorHAnsi" w:hAnsiTheme="minorHAnsi"/>
          <w:sz w:val="22"/>
          <w:szCs w:val="22"/>
        </w:rPr>
        <w:t>overlay</w:t>
      </w:r>
      <w:proofErr w:type="spellEnd"/>
      <w:r>
        <w:rPr>
          <w:rFonts w:asciiTheme="minorHAnsi" w:hAnsiTheme="minorHAnsi"/>
          <w:sz w:val="22"/>
          <w:szCs w:val="22"/>
        </w:rPr>
        <w:t xml:space="preserve"> er iht. § 80, stk. 1, nr. 2), i </w:t>
      </w:r>
      <w:proofErr w:type="spellStart"/>
      <w:r>
        <w:rPr>
          <w:rFonts w:asciiTheme="minorHAnsi" w:hAnsiTheme="minorHAnsi"/>
          <w:sz w:val="22"/>
          <w:szCs w:val="22"/>
        </w:rPr>
        <w:t>MStV</w:t>
      </w:r>
      <w:proofErr w:type="spellEnd"/>
      <w:r>
        <w:rPr>
          <w:rFonts w:asciiTheme="minorHAnsi" w:hAnsiTheme="minorHAnsi"/>
          <w:sz w:val="22"/>
          <w:szCs w:val="22"/>
        </w:rPr>
        <w:t xml:space="preserve"> akustiske eller visuelle </w:t>
      </w:r>
      <w:proofErr w:type="spellStart"/>
      <w:r>
        <w:rPr>
          <w:rFonts w:asciiTheme="minorHAnsi" w:hAnsiTheme="minorHAnsi"/>
          <w:sz w:val="22"/>
          <w:szCs w:val="22"/>
        </w:rPr>
        <w:t>indblændinger</w:t>
      </w:r>
      <w:proofErr w:type="spellEnd"/>
      <w:r>
        <w:rPr>
          <w:rFonts w:asciiTheme="minorHAnsi" w:hAnsiTheme="minorHAnsi"/>
          <w:sz w:val="22"/>
          <w:szCs w:val="22"/>
        </w:rPr>
        <w:t xml:space="preserve">, der foretages umiddelbart efter brugerens valg af program og inden radio- eller </w:t>
      </w:r>
      <w:proofErr w:type="spellStart"/>
      <w:r>
        <w:rPr>
          <w:rFonts w:asciiTheme="minorHAnsi" w:hAnsiTheme="minorHAnsi"/>
          <w:sz w:val="22"/>
          <w:szCs w:val="22"/>
        </w:rPr>
        <w:t>TV-programmet</w:t>
      </w:r>
      <w:proofErr w:type="spellEnd"/>
      <w:r>
        <w:rPr>
          <w:rFonts w:asciiTheme="minorHAnsi" w:hAnsiTheme="minorHAnsi"/>
          <w:sz w:val="22"/>
          <w:szCs w:val="22"/>
        </w:rPr>
        <w:t xml:space="preserve"> starter (</w:t>
      </w:r>
      <w:proofErr w:type="spellStart"/>
      <w:r>
        <w:rPr>
          <w:rFonts w:asciiTheme="minorHAnsi" w:hAnsiTheme="minorHAnsi"/>
          <w:sz w:val="22"/>
          <w:szCs w:val="22"/>
        </w:rPr>
        <w:t>pre</w:t>
      </w:r>
      <w:proofErr w:type="spellEnd"/>
      <w:r>
        <w:rPr>
          <w:rFonts w:asciiTheme="minorHAnsi" w:hAnsiTheme="minorHAnsi"/>
          <w:sz w:val="22"/>
          <w:szCs w:val="22"/>
        </w:rPr>
        <w:t xml:space="preserve">-roll).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Stk. 3. </w:t>
      </w:r>
      <w:r>
        <w:rPr>
          <w:rFonts w:asciiTheme="minorHAnsi" w:hAnsiTheme="minorHAnsi"/>
          <w:sz w:val="22"/>
          <w:szCs w:val="22"/>
          <w:vertAlign w:val="superscript"/>
        </w:rPr>
        <w:t>1</w:t>
      </w:r>
      <w:r>
        <w:rPr>
          <w:rFonts w:asciiTheme="minorHAnsi" w:hAnsiTheme="minorHAnsi"/>
          <w:sz w:val="22"/>
          <w:szCs w:val="22"/>
        </w:rPr>
        <w:t xml:space="preserve">En foranledning iht. § 80, stk. 2, 2. og 3. punktum, i </w:t>
      </w:r>
      <w:proofErr w:type="spellStart"/>
      <w:r>
        <w:rPr>
          <w:rFonts w:asciiTheme="minorHAnsi" w:hAnsiTheme="minorHAnsi"/>
          <w:sz w:val="22"/>
          <w:szCs w:val="22"/>
        </w:rPr>
        <w:t>MStV</w:t>
      </w:r>
      <w:proofErr w:type="spellEnd"/>
      <w:r>
        <w:rPr>
          <w:rFonts w:asciiTheme="minorHAnsi" w:hAnsiTheme="minorHAnsi"/>
          <w:sz w:val="22"/>
          <w:szCs w:val="22"/>
        </w:rPr>
        <w:t xml:space="preserve"> finder sted ved en klar, frivillig, handling fra brugerens side, hvor brugeren i den specifikke brugssituation og entydigt har angivet, at vedkommende ønsker at udløse dette </w:t>
      </w:r>
      <w:proofErr w:type="spellStart"/>
      <w:r>
        <w:rPr>
          <w:rFonts w:asciiTheme="minorHAnsi" w:hAnsiTheme="minorHAnsi"/>
          <w:sz w:val="22"/>
          <w:szCs w:val="22"/>
        </w:rPr>
        <w:t>overlay</w:t>
      </w:r>
      <w:proofErr w:type="spellEnd"/>
      <w:r>
        <w:rPr>
          <w:rFonts w:asciiTheme="minorHAnsi" w:hAnsiTheme="minorHAnsi"/>
          <w:sz w:val="22"/>
          <w:szCs w:val="22"/>
        </w:rPr>
        <w:t xml:space="preserve"> eller denne </w:t>
      </w:r>
      <w:proofErr w:type="spellStart"/>
      <w:r>
        <w:rPr>
          <w:rFonts w:asciiTheme="minorHAnsi" w:hAnsiTheme="minorHAnsi"/>
          <w:sz w:val="22"/>
          <w:szCs w:val="22"/>
        </w:rPr>
        <w:t>skalering</w:t>
      </w:r>
      <w:proofErr w:type="spellEnd"/>
      <w:r>
        <w:rPr>
          <w:rFonts w:asciiTheme="minorHAnsi" w:hAnsiTheme="minorHAnsi"/>
          <w:sz w:val="22"/>
          <w:szCs w:val="22"/>
        </w:rPr>
        <w:t xml:space="preserve">. </w:t>
      </w:r>
      <w:r>
        <w:rPr>
          <w:rFonts w:asciiTheme="minorHAnsi" w:hAnsiTheme="minorHAnsi"/>
          <w:sz w:val="22"/>
          <w:szCs w:val="22"/>
          <w:vertAlign w:val="superscript"/>
        </w:rPr>
        <w:t>2</w:t>
      </w:r>
      <w:r>
        <w:rPr>
          <w:rFonts w:asciiTheme="minorHAnsi" w:hAnsiTheme="minorHAnsi"/>
          <w:sz w:val="22"/>
          <w:szCs w:val="22"/>
        </w:rPr>
        <w:t xml:space="preserve">Dette er især tilfældet, når brugeren bruger passende markerede visuelle eller akustiske betjeningselementer til at udløse overblænding eller </w:t>
      </w:r>
      <w:proofErr w:type="spellStart"/>
      <w:r>
        <w:rPr>
          <w:rFonts w:asciiTheme="minorHAnsi" w:hAnsiTheme="minorHAnsi"/>
          <w:sz w:val="22"/>
          <w:szCs w:val="22"/>
        </w:rPr>
        <w:t>skalering</w:t>
      </w:r>
      <w:proofErr w:type="spellEnd"/>
      <w:r>
        <w:rPr>
          <w:rFonts w:asciiTheme="minorHAnsi" w:hAnsiTheme="minorHAnsi"/>
          <w:sz w:val="22"/>
          <w:szCs w:val="22"/>
        </w:rPr>
        <w:t>.</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2. afsnit: Udnyttelsesforskrifter</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Udnyttelsesforskrifter for infrastrukturrelaterede medieplatforme</w:t>
      </w:r>
    </w:p>
    <w:p w:rsidR="002C35D6" w:rsidRPr="00077B73" w:rsidRDefault="002C35D6" w:rsidP="00077B73">
      <w:pPr>
        <w:keepNext/>
        <w:spacing w:line="276" w:lineRule="auto"/>
        <w:jc w:val="center"/>
        <w:rPr>
          <w:rFonts w:ascii="Calibri" w:eastAsia="Calibri" w:hAnsi="Calibri"/>
          <w:b/>
          <w:sz w:val="22"/>
          <w:szCs w:val="22"/>
          <w:lang w:eastAsia="en-US"/>
        </w:rPr>
      </w:pPr>
    </w:p>
    <w:bookmarkEnd w:id="1"/>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En passende hensyntagen til tilbuddene i henhold til § 81, stk. 2, 1. punktum, nr. 1), litra b) og c), i </w:t>
      </w:r>
      <w:proofErr w:type="spellStart"/>
      <w:r>
        <w:rPr>
          <w:rFonts w:asciiTheme="minorHAnsi" w:hAnsiTheme="minorHAnsi"/>
          <w:sz w:val="22"/>
          <w:szCs w:val="22"/>
        </w:rPr>
        <w:t>MStV</w:t>
      </w:r>
      <w:proofErr w:type="spellEnd"/>
      <w:r>
        <w:rPr>
          <w:rFonts w:asciiTheme="minorHAnsi" w:hAnsiTheme="minorHAnsi"/>
          <w:sz w:val="22"/>
          <w:szCs w:val="22"/>
        </w:rPr>
        <w:t xml:space="preserve"> og § 81, stk. 3, 1. punktum, nr. 1), litra b), i </w:t>
      </w:r>
      <w:proofErr w:type="spellStart"/>
      <w:r>
        <w:rPr>
          <w:rFonts w:asciiTheme="minorHAnsi" w:hAnsiTheme="minorHAnsi"/>
          <w:sz w:val="22"/>
          <w:szCs w:val="22"/>
        </w:rPr>
        <w:t>MStV</w:t>
      </w:r>
      <w:proofErr w:type="spellEnd"/>
      <w:r>
        <w:rPr>
          <w:rFonts w:asciiTheme="minorHAnsi" w:hAnsiTheme="minorHAnsi"/>
          <w:sz w:val="22"/>
          <w:szCs w:val="22"/>
        </w:rPr>
        <w:t xml:space="preserve"> kræver, at</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det dokumenteres, at kapaciteten til udnyttelse i henhold til 1. punktum, nr. 1), er utilstrækkelig til fuldt ud at opfylde udbredelsesforpligtelserne i henhold til § 81, stk. 2, 1. punktum, nr. 1), i </w:t>
      </w:r>
      <w:proofErr w:type="spellStart"/>
      <w:r>
        <w:rPr>
          <w:rFonts w:ascii="Calibri" w:hAnsi="Calibri"/>
          <w:sz w:val="22"/>
          <w:szCs w:val="22"/>
        </w:rPr>
        <w:t>MStV</w:t>
      </w:r>
      <w:proofErr w:type="spellEnd"/>
      <w:r>
        <w:rPr>
          <w:rFonts w:ascii="Calibri" w:hAnsi="Calibri"/>
          <w:sz w:val="22"/>
          <w:szCs w:val="22"/>
        </w:rPr>
        <w:t xml:space="preserve"> og i henhold til § 81, stk. 3, 1. punktum, nr. 1), i </w:t>
      </w:r>
      <w:proofErr w:type="spellStart"/>
      <w:r>
        <w:rPr>
          <w:rFonts w:ascii="Calibri" w:hAnsi="Calibri"/>
          <w:sz w:val="22"/>
          <w:szCs w:val="22"/>
        </w:rPr>
        <w:t>MStV</w:t>
      </w:r>
      <w:proofErr w:type="spellEnd"/>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programmer, der udbredes i forskellige standarder, tælles kun med én gang</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programmer i henhold til § 81, stk. 2, 1. punktum, nr. 1), i </w:t>
      </w:r>
      <w:proofErr w:type="spellStart"/>
      <w:r>
        <w:rPr>
          <w:rFonts w:ascii="Calibri" w:hAnsi="Calibri"/>
          <w:sz w:val="22"/>
          <w:szCs w:val="22"/>
        </w:rPr>
        <w:t>MStV</w:t>
      </w:r>
      <w:proofErr w:type="spellEnd"/>
      <w:r>
        <w:rPr>
          <w:rFonts w:ascii="Calibri" w:hAnsi="Calibri"/>
          <w:sz w:val="22"/>
          <w:szCs w:val="22"/>
        </w:rPr>
        <w:t xml:space="preserve"> og § 81, stk. 3, 1. punktum, nr. 1), i </w:t>
      </w:r>
      <w:proofErr w:type="spellStart"/>
      <w:r>
        <w:rPr>
          <w:rFonts w:ascii="Calibri" w:hAnsi="Calibri"/>
          <w:sz w:val="22"/>
          <w:szCs w:val="22"/>
        </w:rPr>
        <w:t>MStV</w:t>
      </w:r>
      <w:proofErr w:type="spellEnd"/>
      <w:r>
        <w:rPr>
          <w:rFonts w:ascii="Calibri" w:hAnsi="Calibri"/>
          <w:sz w:val="22"/>
          <w:szCs w:val="22"/>
        </w:rPr>
        <w:t xml:space="preserve">, som ikke er juridisk bestemt for det respektive udbredelsesområde, udbydes underordnet i forhold til tilbud i henhold til § 81, stk. 2, 1. punktum, nr. 1), litra b) og c), i </w:t>
      </w:r>
      <w:proofErr w:type="spellStart"/>
      <w:r>
        <w:rPr>
          <w:rFonts w:ascii="Calibri" w:hAnsi="Calibri"/>
          <w:sz w:val="22"/>
          <w:szCs w:val="22"/>
        </w:rPr>
        <w:t>MStV</w:t>
      </w:r>
      <w:proofErr w:type="spellEnd"/>
      <w:r>
        <w:rPr>
          <w:rFonts w:ascii="Calibri" w:hAnsi="Calibri"/>
          <w:sz w:val="22"/>
          <w:szCs w:val="22"/>
        </w:rPr>
        <w:t xml:space="preserve"> og § 81, stk. 3, 1. punktum, nr. 1), litra b), i </w:t>
      </w:r>
      <w:proofErr w:type="spellStart"/>
      <w:r>
        <w:rPr>
          <w:rFonts w:ascii="Calibri" w:hAnsi="Calibri"/>
          <w:sz w:val="22"/>
          <w:szCs w:val="22"/>
        </w:rPr>
        <w:t>MStV</w:t>
      </w:r>
      <w:proofErr w:type="spellEnd"/>
      <w:r>
        <w:rPr>
          <w:rFonts w:ascii="Calibri" w:hAnsi="Calibri"/>
          <w:sz w:val="22"/>
          <w:szCs w:val="22"/>
        </w:rPr>
        <w:t xml:space="preserve">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tilbud i henhold til § 81, stk. 2, 1. punktum, nr. 1), litra b) og c), i </w:t>
      </w:r>
      <w:proofErr w:type="spellStart"/>
      <w:r>
        <w:rPr>
          <w:rFonts w:ascii="Calibri" w:hAnsi="Calibri"/>
          <w:sz w:val="22"/>
          <w:szCs w:val="22"/>
        </w:rPr>
        <w:t>MStV</w:t>
      </w:r>
      <w:proofErr w:type="spellEnd"/>
      <w:r>
        <w:rPr>
          <w:rFonts w:ascii="Calibri" w:hAnsi="Calibri"/>
          <w:sz w:val="22"/>
          <w:szCs w:val="22"/>
        </w:rPr>
        <w:t xml:space="preserve"> og § 81, stk. 3, 1. punktum, nr. 1), litra b), i </w:t>
      </w:r>
      <w:proofErr w:type="spellStart"/>
      <w:r>
        <w:rPr>
          <w:rFonts w:ascii="Calibri" w:hAnsi="Calibri"/>
          <w:sz w:val="22"/>
          <w:szCs w:val="22"/>
        </w:rPr>
        <w:t>MStV</w:t>
      </w:r>
      <w:proofErr w:type="spellEnd"/>
      <w:r>
        <w:rPr>
          <w:rFonts w:ascii="Calibri" w:hAnsi="Calibri"/>
          <w:sz w:val="22"/>
          <w:szCs w:val="22"/>
        </w:rPr>
        <w:t xml:space="preserve"> ikke undertrykkes fuldstændigt.</w:t>
      </w:r>
      <w:bookmarkEnd w:id="0"/>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lastRenderedPageBreak/>
        <w:t>3. afsnit:</w:t>
      </w:r>
      <w:r>
        <w:rPr>
          <w:rFonts w:asciiTheme="minorHAnsi" w:hAnsiTheme="minorHAnsi"/>
          <w:b/>
          <w:sz w:val="22"/>
          <w:szCs w:val="22"/>
        </w:rPr>
        <w:t xml:space="preserve"> Adgangsbetingelser for medieplatforme</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Lige muligheder</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Stk. 1. Udbydere af medieplatforme skal tilbyde adgang til deres medieplatforme på en sådan måde, at udbredelsen eller markedsføringen af tilbud inden for anvendelsesområdet for § 82, stk. 2, i </w:t>
      </w:r>
      <w:proofErr w:type="spellStart"/>
      <w:r>
        <w:rPr>
          <w:rFonts w:asciiTheme="minorHAnsi" w:hAnsiTheme="minorHAnsi"/>
          <w:sz w:val="22"/>
          <w:szCs w:val="22"/>
        </w:rPr>
        <w:t>MStV</w:t>
      </w:r>
      <w:proofErr w:type="spellEnd"/>
      <w:r>
        <w:rPr>
          <w:rFonts w:asciiTheme="minorHAnsi" w:hAnsiTheme="minorHAnsi"/>
          <w:sz w:val="22"/>
          <w:szCs w:val="22"/>
        </w:rPr>
        <w:t xml:space="preserve"> hverken direkte eller indirekte hindres på uretmæssig måde.</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Stk. 2. Hvorvidt en hindring har været uretmæssig skal fastslås ved omhyggelig afvejning af de involverede parters interesser og under hensyntagen til målene for </w:t>
      </w:r>
      <w:proofErr w:type="spellStart"/>
      <w:r>
        <w:rPr>
          <w:rFonts w:asciiTheme="minorHAnsi" w:hAnsiTheme="minorHAnsi"/>
          <w:sz w:val="22"/>
          <w:szCs w:val="22"/>
        </w:rPr>
        <w:t>MStV</w:t>
      </w:r>
      <w:proofErr w:type="spellEnd"/>
      <w:r>
        <w:rPr>
          <w:rFonts w:asciiTheme="minorHAnsi" w:hAnsiTheme="minorHAnsi"/>
          <w:sz w:val="22"/>
          <w:szCs w:val="22"/>
        </w:rPr>
        <w:t xml:space="preserve"> og denne vedtægt, der har til formål at sikre mangfoldigheden af meninger og tilbud.</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Stk. 3. Der forekommer især en uretmæssig hindring, hvis medieplatforme ikke giver en realistisk chance for adgang inden for rammerne af, hvad der er teknisk muligt og økonomisk rimeligt, eller adgangsbetingelserne fører til en strukturel forfordeling af tilbud i henhold til § 82, stk. 2, i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Ikke-forskelsbehandling</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Stk. 1. </w:t>
      </w:r>
      <w:r>
        <w:rPr>
          <w:rFonts w:asciiTheme="minorHAnsi" w:hAnsiTheme="minorHAnsi"/>
          <w:sz w:val="22"/>
          <w:szCs w:val="22"/>
          <w:vertAlign w:val="superscript"/>
        </w:rPr>
        <w:t>1</w:t>
      </w:r>
      <w:r>
        <w:rPr>
          <w:rFonts w:asciiTheme="minorHAnsi" w:hAnsiTheme="minorHAnsi"/>
          <w:sz w:val="22"/>
          <w:szCs w:val="22"/>
        </w:rPr>
        <w:t xml:space="preserve">Udbydere af medieplatforme må ikke behandle tilbud inden for anvendelsesområdet for § 82, stk. 2, i </w:t>
      </w:r>
      <w:proofErr w:type="spellStart"/>
      <w:r>
        <w:rPr>
          <w:rFonts w:asciiTheme="minorHAnsi" w:hAnsiTheme="minorHAnsi"/>
          <w:sz w:val="22"/>
          <w:szCs w:val="22"/>
        </w:rPr>
        <w:t>MStV</w:t>
      </w:r>
      <w:proofErr w:type="spellEnd"/>
      <w:r>
        <w:rPr>
          <w:rFonts w:asciiTheme="minorHAnsi" w:hAnsiTheme="minorHAnsi"/>
          <w:sz w:val="22"/>
          <w:szCs w:val="22"/>
        </w:rPr>
        <w:t xml:space="preserve"> forskelligt fra lignende tilbud, uden at det kan begrundes objektivt. </w:t>
      </w:r>
      <w:r>
        <w:rPr>
          <w:rFonts w:asciiTheme="minorHAnsi" w:hAnsiTheme="minorHAnsi"/>
          <w:sz w:val="22"/>
          <w:szCs w:val="22"/>
          <w:vertAlign w:val="superscript"/>
        </w:rPr>
        <w:t>2</w:t>
      </w:r>
      <w:r>
        <w:rPr>
          <w:rFonts w:asciiTheme="minorHAnsi" w:hAnsiTheme="minorHAnsi"/>
          <w:sz w:val="22"/>
          <w:szCs w:val="22"/>
        </w:rPr>
        <w:t xml:space="preserve">Dette er især tilfældet, hvis en udbyder af en medieplatform tilbyder adgang til medieplatforme til et tilbud i henhold til § 82, stk. 2, i </w:t>
      </w:r>
      <w:proofErr w:type="spellStart"/>
      <w:r>
        <w:rPr>
          <w:rFonts w:asciiTheme="minorHAnsi" w:hAnsiTheme="minorHAnsi"/>
          <w:sz w:val="22"/>
          <w:szCs w:val="22"/>
        </w:rPr>
        <w:t>MStV</w:t>
      </w:r>
      <w:proofErr w:type="spellEnd"/>
      <w:r>
        <w:rPr>
          <w:rFonts w:asciiTheme="minorHAnsi" w:hAnsiTheme="minorHAnsi"/>
          <w:sz w:val="22"/>
          <w:szCs w:val="22"/>
        </w:rPr>
        <w:t xml:space="preserve"> på andre adgangsbetingelser, end en virksomhed, som udbyderen af medieplatformen kan medregnes til; i så fald ville der foreligge en objektiv begrundelse. </w:t>
      </w:r>
      <w:r>
        <w:rPr>
          <w:rFonts w:asciiTheme="minorHAnsi" w:hAnsiTheme="minorHAnsi"/>
          <w:sz w:val="22"/>
          <w:szCs w:val="22"/>
          <w:vertAlign w:val="superscript"/>
        </w:rPr>
        <w:t>3</w:t>
      </w:r>
      <w:r>
        <w:rPr>
          <w:rFonts w:asciiTheme="minorHAnsi" w:hAnsiTheme="minorHAnsi"/>
          <w:sz w:val="22"/>
          <w:szCs w:val="22"/>
        </w:rPr>
        <w:t xml:space="preserve">Virksomheder skal regnes med, hvis udbydere af medieplatforme er direkte eller indirekte forbundet via ejerandele eller på anden måde. § 62 i </w:t>
      </w:r>
      <w:proofErr w:type="spellStart"/>
      <w:r>
        <w:rPr>
          <w:rFonts w:asciiTheme="minorHAnsi" w:hAnsiTheme="minorHAnsi"/>
          <w:sz w:val="22"/>
          <w:szCs w:val="22"/>
        </w:rPr>
        <w:t>MStV</w:t>
      </w:r>
      <w:proofErr w:type="spellEnd"/>
      <w:r>
        <w:rPr>
          <w:rFonts w:asciiTheme="minorHAnsi" w:hAnsiTheme="minorHAnsi"/>
          <w:sz w:val="22"/>
          <w:szCs w:val="22"/>
        </w:rPr>
        <w:t xml:space="preserve"> skal anvendes tilsvarende.</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Stk. 2. Den objektivt begrundende årsag til ulige behandling skal have forrang før hovedmålsætningen om at sikre mangfoldighed af meninger.</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Adgangsrettighedssystemer</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Stk. 1. Et adgangsrettighedssystem er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enhver teknisk foranstaltning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ethvert autentificeringssystem og/eller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enhver enhed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som gør adgang til en beskyttet radio- eller TV-tjeneste i </w:t>
      </w:r>
      <w:proofErr w:type="spellStart"/>
      <w:r>
        <w:rPr>
          <w:rFonts w:asciiTheme="minorHAnsi" w:hAnsiTheme="minorHAnsi"/>
          <w:sz w:val="22"/>
          <w:szCs w:val="22"/>
        </w:rPr>
        <w:t>ukrypteret</w:t>
      </w:r>
      <w:proofErr w:type="spellEnd"/>
      <w:r>
        <w:rPr>
          <w:rFonts w:asciiTheme="minorHAnsi" w:hAnsiTheme="minorHAnsi"/>
          <w:sz w:val="22"/>
          <w:szCs w:val="22"/>
        </w:rPr>
        <w:t xml:space="preserve"> form afhængig af et abonnement eller en anden form for forudgående individuel tilladelse.</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Stk. 2. For adgangsrettighedssystemer i henhold til § 82, stk. 2, nr. 1), i </w:t>
      </w:r>
      <w:proofErr w:type="spellStart"/>
      <w:r>
        <w:rPr>
          <w:rFonts w:asciiTheme="minorHAnsi" w:hAnsiTheme="minorHAnsi"/>
          <w:sz w:val="22"/>
          <w:szCs w:val="22"/>
        </w:rPr>
        <w:t>MStV</w:t>
      </w:r>
      <w:proofErr w:type="spellEnd"/>
      <w:r>
        <w:rPr>
          <w:rFonts w:asciiTheme="minorHAnsi" w:hAnsiTheme="minorHAnsi"/>
          <w:sz w:val="22"/>
          <w:szCs w:val="22"/>
        </w:rPr>
        <w:t xml:space="preserve"> skal alle autoriserede personer være i stand til at bruge de tekniske tjenester, der kræves for at bruge disse systemer, og de nødvendige oplysninger til dette formål skal gives på lige, rimelige og ikke-diskriminerende betingelser.</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Adgangsbetingelser</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Stk. 1. Udformningen af adgangsbetingelserne i henhold til § 82, stk. 2, nr. 4), og § 83, stk. 2, i </w:t>
      </w:r>
      <w:proofErr w:type="spellStart"/>
      <w:r>
        <w:rPr>
          <w:rFonts w:asciiTheme="minorHAnsi" w:hAnsiTheme="minorHAnsi"/>
          <w:sz w:val="22"/>
          <w:szCs w:val="22"/>
        </w:rPr>
        <w:t>MStV</w:t>
      </w:r>
      <w:proofErr w:type="spellEnd"/>
      <w:r>
        <w:rPr>
          <w:rFonts w:asciiTheme="minorHAnsi" w:hAnsiTheme="minorHAnsi"/>
          <w:sz w:val="22"/>
          <w:szCs w:val="22"/>
        </w:rPr>
        <w:t xml:space="preserve"> omfatter især den måde, hvorpå en udbyder af medieplatforme via økonomiske og tekniske specifikationer bestemmer over adgangen til et tilbud i henhold til § 82, stk. 2, i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Stk. 2. Hvis en radio- eller </w:t>
      </w:r>
      <w:proofErr w:type="spellStart"/>
      <w:r>
        <w:rPr>
          <w:rFonts w:asciiTheme="minorHAnsi" w:hAnsiTheme="minorHAnsi"/>
          <w:sz w:val="22"/>
          <w:szCs w:val="22"/>
        </w:rPr>
        <w:t>TV-station</w:t>
      </w:r>
      <w:proofErr w:type="spellEnd"/>
      <w:r>
        <w:rPr>
          <w:rFonts w:asciiTheme="minorHAnsi" w:hAnsiTheme="minorHAnsi"/>
          <w:sz w:val="22"/>
          <w:szCs w:val="22"/>
        </w:rPr>
        <w:t xml:space="preserve"> anmoder om adgang til en medieplatform, skal alle monetære transaktioner, der foregår eller skal foregå i direkte eller indirekte forretningsmæssig forbindelse med adgang, medtages i undersøgelsen af ikke-forskelsbehandling og lige muligheder. Hertil hører især:</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 xml:space="preserve">gebyrer og takster, som udbyderen af en medieplatform opkræver eller ønsker at opkræve fra radio- eller </w:t>
      </w:r>
      <w:proofErr w:type="spellStart"/>
      <w:r>
        <w:rPr>
          <w:rFonts w:ascii="Calibri" w:hAnsi="Calibri"/>
          <w:sz w:val="22"/>
          <w:szCs w:val="22"/>
        </w:rPr>
        <w:t>TV-stationer</w:t>
      </w:r>
      <w:proofErr w:type="spellEnd"/>
      <w:r>
        <w:rPr>
          <w:rFonts w:ascii="Calibri" w:hAnsi="Calibri"/>
          <w:sz w:val="22"/>
          <w:szCs w:val="22"/>
        </w:rPr>
        <w:t>, der anmoder om adgang</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 xml:space="preserve">vederlag, som udbyderen af en medieplatform betaler eller formelt skal betale til radio- eller </w:t>
      </w:r>
      <w:proofErr w:type="spellStart"/>
      <w:r>
        <w:rPr>
          <w:rFonts w:ascii="Calibri" w:hAnsi="Calibri"/>
          <w:sz w:val="22"/>
          <w:szCs w:val="22"/>
        </w:rPr>
        <w:t>TV-stationen</w:t>
      </w:r>
      <w:proofErr w:type="spellEnd"/>
      <w:r>
        <w:rPr>
          <w:rFonts w:ascii="Calibri" w:hAnsi="Calibri"/>
          <w:sz w:val="22"/>
          <w:szCs w:val="22"/>
        </w:rPr>
        <w:t xml:space="preserve"> på basis af signaloverførslen, inklusive tilbagebetalinger i HD-CPS-modeller.</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2" w:name="_Hlk46133246"/>
      <w:r>
        <w:rPr>
          <w:rFonts w:asciiTheme="minorHAnsi" w:hAnsiTheme="minorHAnsi"/>
          <w:sz w:val="22"/>
          <w:szCs w:val="22"/>
        </w:rPr>
        <w:t xml:space="preserve">Stk. 3. I det omfang der er nødvendigt for at vurdere adgangssituationen kan aftaler om tildeling af og honorar for rettigheder, som udbyderen af en medieplatform indgår eller har til hensigt at indgå med radio- eller </w:t>
      </w:r>
      <w:proofErr w:type="spellStart"/>
      <w:r>
        <w:rPr>
          <w:rFonts w:asciiTheme="minorHAnsi" w:hAnsiTheme="minorHAnsi"/>
          <w:sz w:val="22"/>
          <w:szCs w:val="22"/>
        </w:rPr>
        <w:t>TV-stationen</w:t>
      </w:r>
      <w:proofErr w:type="spellEnd"/>
      <w:r>
        <w:rPr>
          <w:rFonts w:asciiTheme="minorHAnsi" w:hAnsiTheme="minorHAnsi"/>
          <w:sz w:val="22"/>
          <w:szCs w:val="22"/>
        </w:rPr>
        <w:t xml:space="preserve"> på baggrund af ophavsret eller varemærker, også medtages i den krævede samlede vurdering. Bestemmelserne i ophavsretsloven, lov om kollektiv forvaltning af ophavsrettigheder og lov om forbud mod begrænsninger i konkurrencen samt det dermed forbundne ansvar forbliver uberørt.</w:t>
      </w:r>
      <w:bookmarkEnd w:id="2"/>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Offentliggørelse</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Stk. 1. Udbydere af medieplatforme er forpligtet til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hvis de lovgivningsmæssige tærskler, der er nævnt i § 78 i </w:t>
      </w:r>
      <w:proofErr w:type="spellStart"/>
      <w:r>
        <w:rPr>
          <w:rFonts w:ascii="Calibri" w:hAnsi="Calibri"/>
          <w:sz w:val="22"/>
          <w:szCs w:val="22"/>
        </w:rPr>
        <w:t>MStV</w:t>
      </w:r>
      <w:proofErr w:type="spellEnd"/>
      <w:r>
        <w:rPr>
          <w:rFonts w:ascii="Calibri" w:hAnsi="Calibri"/>
          <w:sz w:val="22"/>
          <w:szCs w:val="22"/>
        </w:rPr>
        <w:t xml:space="preserve">, overskrides, at offentliggøre adgangsbetingelserne iht. § 82, stk. 2, i </w:t>
      </w:r>
      <w:proofErr w:type="spellStart"/>
      <w:r>
        <w:rPr>
          <w:rFonts w:ascii="Calibri" w:hAnsi="Calibri"/>
          <w:sz w:val="22"/>
          <w:szCs w:val="22"/>
        </w:rPr>
        <w:t>MStV</w:t>
      </w:r>
      <w:proofErr w:type="spellEnd"/>
      <w:r>
        <w:rPr>
          <w:rFonts w:ascii="Calibri" w:hAnsi="Calibri"/>
          <w:sz w:val="22"/>
          <w:szCs w:val="22"/>
        </w:rPr>
        <w:t xml:space="preserve"> og §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i tilfælde af § 81, stk. 2, 2. punktum, i </w:t>
      </w:r>
      <w:proofErr w:type="spellStart"/>
      <w:r>
        <w:rPr>
          <w:rFonts w:asciiTheme="minorHAnsi" w:hAnsiTheme="minorHAnsi"/>
          <w:sz w:val="22"/>
          <w:szCs w:val="22"/>
        </w:rPr>
        <w:t>MStV</w:t>
      </w:r>
      <w:proofErr w:type="spellEnd"/>
      <w:r>
        <w:rPr>
          <w:rFonts w:asciiTheme="minorHAnsi" w:hAnsiTheme="minorHAnsi"/>
          <w:sz w:val="22"/>
          <w:szCs w:val="22"/>
        </w:rPr>
        <w:t xml:space="preserve">, oplysninger om den samlede kapacitet til rådighed til digital udbredelse af </w:t>
      </w:r>
      <w:proofErr w:type="spellStart"/>
      <w:r>
        <w:rPr>
          <w:rFonts w:asciiTheme="minorHAnsi" w:hAnsiTheme="minorHAnsi"/>
          <w:sz w:val="22"/>
          <w:szCs w:val="22"/>
        </w:rPr>
        <w:t>TV-programmer</w:t>
      </w:r>
      <w:proofErr w:type="spellEnd"/>
      <w:r>
        <w:rPr>
          <w:rFonts w:asciiTheme="minorHAnsi" w:hAnsiTheme="minorHAnsi"/>
          <w:sz w:val="22"/>
          <w:szCs w:val="22"/>
        </w:rPr>
        <w:t xml:space="preserve"> eller radio</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på anmodning af delstatens kompetente mediemyndighed.</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Stk. 2. Offentliggørelsen skal ske ved fremlæggelse af egnede dokumenter.</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Stk. 3. Oplysningen skal især indeholde oplysninger om følgende punkter:</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I tilfælde af stk. 1. nr.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alle tekniske parametre og tekniske rammebetingelser, det er nødvendigt at kende for at vurdere adgang i overensstemmelse med § 82, stk. 2, nr. 1) og 2), i </w:t>
      </w:r>
      <w:proofErr w:type="spellStart"/>
      <w:r>
        <w:rPr>
          <w:rFonts w:asciiTheme="minorHAnsi" w:hAnsiTheme="minorHAnsi"/>
          <w:sz w:val="22"/>
          <w:szCs w:val="22"/>
        </w:rPr>
        <w:t>MStV</w:t>
      </w:r>
      <w:proofErr w:type="spellEnd"/>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de gebyrer og takster, der kræves af udbydere af medieplatforme, herunder beregningen af dem, de underliggende data og forretningsmæssige forudsætninger</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en beskrivelse af det anvendte vederlagssystem.</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I tilfælde af stk. 1. nr.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oplysninger om, hvilke muligheder for effektiv kapacitetsudnyttelse der er anvendt</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om og i hvilke forskellige udbredelsesstandarder et program udbredes.</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lastRenderedPageBreak/>
        <w:t>4. afsnit:</w:t>
      </w:r>
      <w:r>
        <w:rPr>
          <w:rFonts w:asciiTheme="minorHAnsi" w:hAnsiTheme="minorHAnsi"/>
          <w:b/>
          <w:sz w:val="22"/>
          <w:szCs w:val="22"/>
        </w:rPr>
        <w:t xml:space="preserve"> Bestemmelser for brugergrænseflader</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3" w:name="_Hlk46133330"/>
      <w:r>
        <w:rPr>
          <w:rFonts w:ascii="Calibri" w:hAnsi="Calibri"/>
          <w:b/>
          <w:sz w:val="22"/>
          <w:szCs w:val="22"/>
        </w:rPr>
        <w:t xml:space="preserve">§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Søgbarhed i brugergrænseflader</w:t>
      </w:r>
      <w:bookmarkEnd w:id="3"/>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4" w:name="_Hlk46133556"/>
      <w:r>
        <w:rPr>
          <w:rFonts w:asciiTheme="minorHAnsi" w:hAnsiTheme="minorHAnsi"/>
          <w:sz w:val="22"/>
          <w:szCs w:val="22"/>
        </w:rPr>
        <w:t xml:space="preserve">Stk. 1. </w:t>
      </w:r>
      <w:r>
        <w:rPr>
          <w:rFonts w:asciiTheme="minorHAnsi" w:hAnsiTheme="minorHAnsi"/>
          <w:sz w:val="22"/>
          <w:szCs w:val="22"/>
          <w:vertAlign w:val="superscript"/>
        </w:rPr>
        <w:t>1</w:t>
      </w:r>
      <w:r>
        <w:rPr>
          <w:rFonts w:asciiTheme="minorHAnsi" w:hAnsiTheme="minorHAnsi"/>
          <w:sz w:val="22"/>
          <w:szCs w:val="22"/>
        </w:rPr>
        <w:t xml:space="preserve">Sortering, arrangering og præsentation af tilbud og indhold såvel som andre tekstmæssige, visuelle og akustiske repræsentationsformer, der tjener til at gøre det lettere at søge, er afgørende for, om tilbud og indhold kan søges i brugergrænseflader. </w:t>
      </w:r>
      <w:r>
        <w:rPr>
          <w:rFonts w:asciiTheme="minorHAnsi" w:hAnsiTheme="minorHAnsi"/>
          <w:sz w:val="22"/>
          <w:szCs w:val="22"/>
          <w:vertAlign w:val="superscript"/>
        </w:rPr>
        <w:t>2</w:t>
      </w:r>
      <w:r>
        <w:rPr>
          <w:rFonts w:asciiTheme="minorHAnsi" w:hAnsiTheme="minorHAnsi"/>
          <w:sz w:val="22"/>
          <w:szCs w:val="22"/>
        </w:rPr>
        <w:t xml:space="preserve">Tilbud er individuelle radio- eller </w:t>
      </w:r>
      <w:proofErr w:type="spellStart"/>
      <w:r>
        <w:rPr>
          <w:rFonts w:asciiTheme="minorHAnsi" w:hAnsiTheme="minorHAnsi"/>
          <w:sz w:val="22"/>
          <w:szCs w:val="22"/>
        </w:rPr>
        <w:t>TV-programmer</w:t>
      </w:r>
      <w:proofErr w:type="spellEnd"/>
      <w:r>
        <w:rPr>
          <w:rFonts w:asciiTheme="minorHAnsi" w:hAnsiTheme="minorHAnsi"/>
          <w:sz w:val="22"/>
          <w:szCs w:val="22"/>
        </w:rPr>
        <w:t xml:space="preserve">, radio- eller TV-lignende telemedier, telemedier i henhold til § 19, stk. 1, i </w:t>
      </w:r>
      <w:proofErr w:type="spellStart"/>
      <w:r>
        <w:rPr>
          <w:rFonts w:asciiTheme="minorHAnsi" w:hAnsiTheme="minorHAnsi"/>
          <w:sz w:val="22"/>
          <w:szCs w:val="22"/>
        </w:rPr>
        <w:t>MStV</w:t>
      </w:r>
      <w:proofErr w:type="spellEnd"/>
      <w:r>
        <w:rPr>
          <w:rFonts w:asciiTheme="minorHAnsi" w:hAnsiTheme="minorHAnsi"/>
          <w:sz w:val="22"/>
          <w:szCs w:val="22"/>
        </w:rPr>
        <w:t xml:space="preserve"> samt softwarebaserede applikationer, der i det væsentlige bruges til direkte at kontrollere de førnævnte tilbud i deres helhed. </w:t>
      </w:r>
      <w:r>
        <w:rPr>
          <w:rFonts w:asciiTheme="minorHAnsi" w:hAnsiTheme="minorHAnsi"/>
          <w:sz w:val="22"/>
          <w:szCs w:val="22"/>
          <w:vertAlign w:val="superscript"/>
        </w:rPr>
        <w:t>3</w:t>
      </w:r>
      <w:r>
        <w:rPr>
          <w:rFonts w:asciiTheme="minorHAnsi" w:hAnsiTheme="minorHAnsi"/>
          <w:sz w:val="22"/>
          <w:szCs w:val="22"/>
        </w:rPr>
        <w:t>Indhold er dele, der kan afgrænses, især særskilt benævnte eller særskilt hørbare/synlige dele af tilbud, såsom programmer.</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Stk. 2. Med hensyn til kravene til brugergrænsefladers søgbarhed og brug er den forståelse af brugergrænsefladen hos en gennemsnitsbruger, der ikke har specifik teknisk viden, afgørende i de følgende bestemmelser.</w:t>
      </w:r>
      <w:bookmarkEnd w:id="4"/>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Stk. 3. </w:t>
      </w:r>
      <w:r>
        <w:rPr>
          <w:rFonts w:asciiTheme="minorHAnsi" w:hAnsiTheme="minorHAnsi"/>
          <w:sz w:val="22"/>
          <w:szCs w:val="22"/>
          <w:vertAlign w:val="superscript"/>
        </w:rPr>
        <w:t>1</w:t>
      </w:r>
      <w:r>
        <w:rPr>
          <w:rFonts w:asciiTheme="minorHAnsi" w:hAnsiTheme="minorHAnsi"/>
          <w:sz w:val="22"/>
          <w:szCs w:val="22"/>
        </w:rPr>
        <w:t xml:space="preserve">Lignende tilbud eller indhold skal kunne søges med lige muligheder og uden forskelsbehandling. </w:t>
      </w:r>
      <w:r>
        <w:rPr>
          <w:rFonts w:asciiTheme="minorHAnsi" w:hAnsiTheme="minorHAnsi"/>
          <w:sz w:val="22"/>
          <w:szCs w:val="22"/>
          <w:vertAlign w:val="superscript"/>
        </w:rPr>
        <w:t>2</w:t>
      </w:r>
      <w:r>
        <w:rPr>
          <w:rFonts w:asciiTheme="minorHAnsi" w:hAnsiTheme="minorHAnsi"/>
          <w:sz w:val="22"/>
          <w:szCs w:val="22"/>
        </w:rPr>
        <w:t xml:space="preserve">Ulige behandling er således kun tilladt, hvis der er en verificerbar objektiv grund til dette, der ikke strider mod målet om at sikre mangfoldighed. </w:t>
      </w:r>
      <w:r>
        <w:rPr>
          <w:rFonts w:asciiTheme="minorHAnsi" w:hAnsiTheme="minorHAnsi"/>
          <w:sz w:val="22"/>
          <w:szCs w:val="22"/>
          <w:vertAlign w:val="superscript"/>
        </w:rPr>
        <w:t>3</w:t>
      </w:r>
      <w:r>
        <w:rPr>
          <w:rFonts w:asciiTheme="minorHAnsi" w:hAnsiTheme="minorHAnsi"/>
          <w:sz w:val="22"/>
          <w:szCs w:val="22"/>
        </w:rPr>
        <w:t>Tilladte kriterier for sortering eller arrangering af tilbud og indhold er særlig:</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alfabetet</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genrer som information, uddannelse, kultur, regionalt stof eller underholdning eller</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udnyttelsesrækkevidde.</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Muligheden for videreudvikling af kriterierne påvirkes ikke. </w:t>
      </w:r>
      <w:r>
        <w:rPr>
          <w:rFonts w:asciiTheme="minorHAnsi" w:hAnsiTheme="minorHAnsi"/>
          <w:sz w:val="22"/>
          <w:szCs w:val="22"/>
          <w:vertAlign w:val="superscript"/>
        </w:rPr>
        <w:t>5</w:t>
      </w:r>
      <w:r>
        <w:rPr>
          <w:rFonts w:asciiTheme="minorHAnsi" w:hAnsiTheme="minorHAnsi"/>
          <w:sz w:val="22"/>
          <w:szCs w:val="22"/>
        </w:rPr>
        <w:t xml:space="preserve">Forskelsbehandling forekommer især, hvis udbyderen af brugergrænsefladen afviger fra sine egne tilladte kriterier. </w:t>
      </w:r>
      <w:r>
        <w:rPr>
          <w:rFonts w:asciiTheme="minorHAnsi" w:hAnsiTheme="minorHAnsi"/>
          <w:sz w:val="22"/>
          <w:szCs w:val="22"/>
          <w:vertAlign w:val="superscript"/>
        </w:rPr>
        <w:t>6</w:t>
      </w:r>
      <w:r>
        <w:rPr>
          <w:rFonts w:asciiTheme="minorHAnsi" w:hAnsiTheme="minorHAnsi"/>
          <w:sz w:val="22"/>
          <w:szCs w:val="22"/>
        </w:rPr>
        <w:t xml:space="preserve">Udbyderen skal garantere delstaternes mediemyndigheder, at kriterierne er verificerbare, og at de overholdes, især ved detaljeret at forklare, hvilke kriterier der anvendes, og hvilke oplysninger der lægges til grund herfor. </w:t>
      </w:r>
      <w:r>
        <w:rPr>
          <w:rFonts w:asciiTheme="minorHAnsi" w:hAnsiTheme="minorHAnsi"/>
          <w:sz w:val="22"/>
          <w:szCs w:val="22"/>
          <w:vertAlign w:val="superscript"/>
        </w:rPr>
        <w:t>7</w:t>
      </w:r>
      <w:r>
        <w:rPr>
          <w:rFonts w:asciiTheme="minorHAnsi" w:hAnsiTheme="minorHAnsi"/>
          <w:sz w:val="22"/>
          <w:szCs w:val="22"/>
        </w:rPr>
        <w:t xml:space="preserve">Det er normalt ikke tilladt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at foretage en sortering eller en arrangering, der er påvirket af betaling eller en lignende modydelse eller</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at foretrække udbyderens egne tilbud og eget indhold på brugergrænsefladen, medmindre der betales et gebyr for brugen. </w:t>
      </w:r>
      <w:bookmarkStart w:id="5"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Stk. 4. </w:t>
      </w:r>
      <w:r>
        <w:rPr>
          <w:rFonts w:asciiTheme="minorHAnsi" w:hAnsiTheme="minorHAnsi"/>
          <w:sz w:val="22"/>
          <w:szCs w:val="22"/>
          <w:vertAlign w:val="superscript"/>
        </w:rPr>
        <w:t>1</w:t>
      </w:r>
      <w:r>
        <w:rPr>
          <w:rFonts w:asciiTheme="minorHAnsi" w:hAnsiTheme="minorHAnsi"/>
          <w:sz w:val="22"/>
          <w:szCs w:val="22"/>
        </w:rPr>
        <w:t xml:space="preserve">Brugergrænseflader skal give mulighed for at kunne søge gennem alle tilbud og frem til specifikke tilbud (søgefunktion). </w:t>
      </w:r>
      <w:r>
        <w:rPr>
          <w:rFonts w:asciiTheme="minorHAnsi" w:hAnsiTheme="minorHAnsi"/>
          <w:sz w:val="22"/>
          <w:szCs w:val="22"/>
          <w:vertAlign w:val="superscript"/>
        </w:rPr>
        <w:t>2</w:t>
      </w:r>
      <w:r>
        <w:rPr>
          <w:rFonts w:asciiTheme="minorHAnsi" w:hAnsiTheme="minorHAnsi"/>
          <w:sz w:val="22"/>
          <w:szCs w:val="22"/>
        </w:rPr>
        <w:t xml:space="preserve">Resultatet af søgningen, inklusive de søgeforslag, der vises under søgningsprocessen (f.eks. gennem en autofuldførelsesfunktion), skal vises uden forskelsbehandling. </w:t>
      </w:r>
      <w:r>
        <w:rPr>
          <w:rFonts w:asciiTheme="minorHAnsi" w:hAnsiTheme="minorHAnsi"/>
          <w:sz w:val="22"/>
          <w:szCs w:val="22"/>
          <w:vertAlign w:val="superscript"/>
        </w:rPr>
        <w:t>3</w:t>
      </w:r>
      <w:r>
        <w:rPr>
          <w:rFonts w:asciiTheme="minorHAnsi" w:hAnsiTheme="minorHAnsi"/>
          <w:sz w:val="22"/>
          <w:szCs w:val="22"/>
        </w:rPr>
        <w:t>Derudover kan en brugergrænseflade også give mulighed for at søge efter indhold; stk. 3, 1. punktum, finder tilsvarende anvendelse.</w:t>
      </w:r>
      <w:bookmarkStart w:id="6" w:name="_Hlk46133701"/>
      <w:bookmarkEnd w:id="5"/>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Stk. 5. </w:t>
      </w:r>
      <w:r>
        <w:rPr>
          <w:rFonts w:asciiTheme="minorHAnsi" w:hAnsiTheme="minorHAnsi"/>
          <w:sz w:val="22"/>
          <w:szCs w:val="22"/>
          <w:vertAlign w:val="superscript"/>
        </w:rPr>
        <w:t>1</w:t>
      </w:r>
      <w:r>
        <w:rPr>
          <w:rFonts w:asciiTheme="minorHAnsi" w:hAnsiTheme="minorHAnsi"/>
          <w:sz w:val="22"/>
          <w:szCs w:val="22"/>
        </w:rPr>
        <w:t xml:space="preserve">Tilbud er lette at søge på brugergrænseflader, hvis de hurtigt og nemt kan findes, for eksempel fordi de forhåndspræsenteres eller fremhæves, for eksempel ved hjælp af deres egen knap. </w:t>
      </w:r>
      <w:r>
        <w:rPr>
          <w:rFonts w:asciiTheme="minorHAnsi" w:hAnsiTheme="minorHAnsi"/>
          <w:sz w:val="22"/>
          <w:szCs w:val="22"/>
          <w:vertAlign w:val="superscript"/>
        </w:rPr>
        <w:t>2</w:t>
      </w:r>
      <w:r>
        <w:rPr>
          <w:rFonts w:asciiTheme="minorHAnsi" w:hAnsiTheme="minorHAnsi"/>
          <w:sz w:val="22"/>
          <w:szCs w:val="22"/>
        </w:rPr>
        <w:t xml:space="preserve">Hvordan let søgbarhed kan sikres i individuelle tilfælde afhænger af typen, omfanget og udformningen af brugergrænsefladen samt den specifikke illustration eller anden præsentation af tilbud og indhold. </w:t>
      </w:r>
      <w:r>
        <w:rPr>
          <w:rFonts w:asciiTheme="minorHAnsi" w:hAnsiTheme="minorHAnsi"/>
          <w:sz w:val="22"/>
          <w:szCs w:val="22"/>
          <w:vertAlign w:val="superscript"/>
        </w:rPr>
        <w:t>3</w:t>
      </w:r>
      <w:r>
        <w:rPr>
          <w:rFonts w:asciiTheme="minorHAnsi" w:hAnsiTheme="minorHAnsi"/>
          <w:sz w:val="22"/>
          <w:szCs w:val="22"/>
        </w:rPr>
        <w:t>For at de pågældende tilbud skal være lette at finde, er det som regel nødvendigt, men ikke tilstrækkeligt, at de kan søges lige så let og hurtigt som de andre tilbud.</w:t>
      </w:r>
      <w:bookmarkEnd w:id="6"/>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7" w:name="_Hlk46133741"/>
      <w:r>
        <w:rPr>
          <w:rFonts w:asciiTheme="minorHAnsi" w:hAnsiTheme="minorHAnsi"/>
          <w:sz w:val="22"/>
          <w:szCs w:val="22"/>
        </w:rPr>
        <w:t xml:space="preserve">Stk. 6. </w:t>
      </w:r>
      <w:r>
        <w:rPr>
          <w:rFonts w:asciiTheme="minorHAnsi" w:hAnsiTheme="minorHAnsi"/>
          <w:sz w:val="22"/>
          <w:szCs w:val="22"/>
          <w:vertAlign w:val="superscript"/>
        </w:rPr>
        <w:t>1</w:t>
      </w:r>
      <w:r>
        <w:rPr>
          <w:rFonts w:asciiTheme="minorHAnsi" w:hAnsiTheme="minorHAnsi"/>
          <w:sz w:val="22"/>
          <w:szCs w:val="22"/>
        </w:rPr>
        <w:t>På brugergrænseflader skal det være let at søge: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på radio- eller TV-tjenestens første valgniveau i sin helhed, forudsat at det ikke kun er radioprogrammer, der kan vælges på dette niveau</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i radio- eller TV-tjenesten, de lovbestemte bidragsfinansierede programmer, radio- eller </w:t>
      </w:r>
      <w:proofErr w:type="spellStart"/>
      <w:r>
        <w:rPr>
          <w:rFonts w:ascii="Calibri" w:hAnsi="Calibri"/>
          <w:sz w:val="22"/>
          <w:szCs w:val="22"/>
        </w:rPr>
        <w:t>TV-programmerne</w:t>
      </w:r>
      <w:proofErr w:type="spellEnd"/>
      <w:r>
        <w:rPr>
          <w:rFonts w:ascii="Calibri" w:hAnsi="Calibri"/>
          <w:sz w:val="22"/>
          <w:szCs w:val="22"/>
        </w:rPr>
        <w:t xml:space="preserve">, til kortere lokaltemaprogrammer (§ 59, stk. 4, i </w:t>
      </w:r>
      <w:proofErr w:type="spellStart"/>
      <w:r>
        <w:rPr>
          <w:rFonts w:ascii="Calibri" w:hAnsi="Calibri"/>
          <w:sz w:val="22"/>
          <w:szCs w:val="22"/>
        </w:rPr>
        <w:t>MStV</w:t>
      </w:r>
      <w:proofErr w:type="spellEnd"/>
      <w:r>
        <w:rPr>
          <w:rFonts w:ascii="Calibri" w:hAnsi="Calibri"/>
          <w:sz w:val="22"/>
          <w:szCs w:val="22"/>
        </w:rPr>
        <w:t>) samt de private programmer, der yder et særligt bidrag til mangfoldigheden af​meninger og tilbud i hele landet og</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på valgniveauer, der kun eller overvejende præsenterer radio- eller TV-lignende telemedier eller softwarebaserede applikationer, der tjener til direkte kontrol af dem, tilbyder telemedier og softwarebaserede applikationer i henhold til § 84, stk. 4, i </w:t>
      </w:r>
      <w:proofErr w:type="spellStart"/>
      <w:r>
        <w:rPr>
          <w:rFonts w:ascii="Calibri" w:hAnsi="Calibri"/>
          <w:sz w:val="22"/>
          <w:szCs w:val="22"/>
        </w:rPr>
        <w:t>MStV</w:t>
      </w:r>
      <w:proofErr w:type="spellEnd"/>
      <w:r>
        <w:rPr>
          <w:rFonts w:ascii="Calibri" w:hAnsi="Calibri"/>
          <w:sz w:val="22"/>
          <w:szCs w:val="22"/>
        </w:rPr>
        <w:t>.</w:t>
      </w:r>
      <w:bookmarkEnd w:id="7"/>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Radio- eller TV-tjenesten i sin helhed skal kunne nås på det første valgniveau uden væsentlige mellemtrin, normalt kun med én handling. </w:t>
      </w:r>
      <w:r>
        <w:rPr>
          <w:rFonts w:asciiTheme="minorHAnsi" w:hAnsiTheme="minorHAnsi"/>
          <w:sz w:val="22"/>
          <w:szCs w:val="22"/>
          <w:vertAlign w:val="superscript"/>
        </w:rPr>
        <w:t>3</w:t>
      </w:r>
      <w:r>
        <w:rPr>
          <w:rFonts w:asciiTheme="minorHAnsi" w:hAnsiTheme="minorHAnsi"/>
          <w:sz w:val="22"/>
          <w:szCs w:val="22"/>
        </w:rPr>
        <w:t xml:space="preserve">Hvis radio- eller </w:t>
      </w:r>
      <w:proofErr w:type="spellStart"/>
      <w:r>
        <w:rPr>
          <w:rFonts w:asciiTheme="minorHAnsi" w:hAnsiTheme="minorHAnsi"/>
          <w:sz w:val="22"/>
          <w:szCs w:val="22"/>
        </w:rPr>
        <w:t>TV-programmer</w:t>
      </w:r>
      <w:proofErr w:type="spellEnd"/>
      <w:r>
        <w:rPr>
          <w:rFonts w:asciiTheme="minorHAnsi" w:hAnsiTheme="minorHAnsi"/>
          <w:sz w:val="22"/>
          <w:szCs w:val="22"/>
        </w:rPr>
        <w:t>, der skal medtage kortere lokaltemaprogrammer (§ 59, stk. 4), udbredes i billedform eller akustisk, skal hovedprogrammerne med de kortere lokaltemaprogrammer i det område, hvor de kortere lokaltemaprogrammer er tilladt eller lovligt bestemt, præsenteres prioriteret i forhold til det, der udsendes uden et kortere lokaltemaprogram, og i forhold til kortere lokaltemaprogrammer, som er tilladt i andre områder eller er foreskrevet ved lov.</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8" w:name="_Hlk46133783"/>
      <w:r>
        <w:rPr>
          <w:rFonts w:asciiTheme="minorHAnsi" w:hAnsiTheme="minorHAnsi"/>
          <w:sz w:val="22"/>
          <w:szCs w:val="22"/>
        </w:rPr>
        <w:t xml:space="preserve">Stk. 7. </w:t>
      </w:r>
      <w:r>
        <w:rPr>
          <w:rFonts w:asciiTheme="minorHAnsi" w:hAnsiTheme="minorHAnsi"/>
          <w:sz w:val="22"/>
          <w:szCs w:val="22"/>
          <w:vertAlign w:val="superscript"/>
        </w:rPr>
        <w:t>1</w:t>
      </w:r>
      <w:r>
        <w:rPr>
          <w:rFonts w:asciiTheme="minorHAnsi" w:hAnsiTheme="minorHAnsi"/>
          <w:sz w:val="22"/>
          <w:szCs w:val="22"/>
        </w:rPr>
        <w:t xml:space="preserve">Uanset standardindstillingerne skal tilbud og indhold være i stand til let og hurtigt at kunne sorteres og arrangeres af brugeren (f.eks. ved hjælp af en favoritliste). </w:t>
      </w:r>
      <w:r>
        <w:rPr>
          <w:rFonts w:asciiTheme="minorHAnsi" w:hAnsiTheme="minorHAnsi"/>
          <w:sz w:val="22"/>
          <w:szCs w:val="22"/>
          <w:vertAlign w:val="superscript"/>
        </w:rPr>
        <w:t>2</w:t>
      </w:r>
      <w:r>
        <w:rPr>
          <w:rFonts w:asciiTheme="minorHAnsi" w:hAnsiTheme="minorHAnsi"/>
          <w:sz w:val="22"/>
          <w:szCs w:val="22"/>
        </w:rPr>
        <w:t xml:space="preserve">Som regel kan tilbud eller indhold sorteres eller arrangeres hurtigt og let, hvis dette er indlysende eller forklares på en let forståelig måde. </w:t>
      </w:r>
      <w:r>
        <w:rPr>
          <w:rFonts w:asciiTheme="minorHAnsi" w:hAnsiTheme="minorHAnsi"/>
          <w:sz w:val="22"/>
          <w:szCs w:val="22"/>
          <w:vertAlign w:val="superscript"/>
        </w:rPr>
        <w:t>3</w:t>
      </w:r>
      <w:r>
        <w:rPr>
          <w:rFonts w:asciiTheme="minorHAnsi" w:hAnsiTheme="minorHAnsi"/>
          <w:sz w:val="22"/>
          <w:szCs w:val="22"/>
        </w:rPr>
        <w:t>Den sortering eller den arrangering, der udføres af brugeren, må kun kunne ændres af vedkommende selv og især ikke gennem opdateringer.</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Stk. 8. </w:t>
      </w:r>
      <w:r>
        <w:rPr>
          <w:rFonts w:asciiTheme="minorHAnsi" w:hAnsiTheme="minorHAnsi"/>
          <w:sz w:val="22"/>
          <w:szCs w:val="22"/>
          <w:vertAlign w:val="superscript"/>
        </w:rPr>
        <w:t>1</w:t>
      </w:r>
      <w:r>
        <w:rPr>
          <w:rFonts w:asciiTheme="minorHAnsi" w:hAnsiTheme="minorHAnsi"/>
          <w:sz w:val="22"/>
          <w:szCs w:val="22"/>
        </w:rPr>
        <w:t xml:space="preserve">Stk. 4 til 7 gælder ikke, hvis udbyderen af brugergrænsefladen dokumenterer, at gennemførelsen er teknisk umulig eller kun mulig med en uforholdsmæssig stor indsats. </w:t>
      </w:r>
      <w:r>
        <w:rPr>
          <w:rFonts w:asciiTheme="minorHAnsi" w:hAnsiTheme="minorHAnsi"/>
          <w:sz w:val="22"/>
          <w:szCs w:val="22"/>
          <w:vertAlign w:val="superscript"/>
        </w:rPr>
        <w:t>2</w:t>
      </w:r>
      <w:r>
        <w:rPr>
          <w:rFonts w:asciiTheme="minorHAnsi" w:hAnsiTheme="minorHAnsi"/>
          <w:sz w:val="22"/>
          <w:szCs w:val="22"/>
        </w:rPr>
        <w:t>Afgørende for fastlæggelsen af en uforholdsmæssig indsats er en samlet vurdering, hvor der især tages hensyn til leverandørens økonomiske kapacitet, indsatsen vedrørende andre funktioner i brugergrænsefladen, der tjener til at gøre det lettere at søge, samt typen og omfanget af den overtrædelse, der er begået i tilfælde af manglende gennemførelse. Indsatsen er kun uforholdsmæssig, hvis der er et stort misforhold.</w:t>
      </w:r>
    </w:p>
    <w:bookmarkEnd w:id="8"/>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5. afsnit: Gennemsigtighedskrav</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Gennemsigtighed</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Stk. 1. </w:t>
      </w:r>
      <w:r>
        <w:rPr>
          <w:rFonts w:asciiTheme="minorHAnsi" w:hAnsiTheme="minorHAnsi"/>
          <w:sz w:val="22"/>
          <w:szCs w:val="22"/>
          <w:vertAlign w:val="superscript"/>
        </w:rPr>
        <w:t>1</w:t>
      </w:r>
      <w:r>
        <w:rPr>
          <w:rFonts w:asciiTheme="minorHAnsi" w:hAnsiTheme="minorHAnsi"/>
          <w:sz w:val="22"/>
          <w:szCs w:val="22"/>
        </w:rPr>
        <w:t xml:space="preserve">Udbydere af medieplatforme og brugergrænseflader skal sørge for, at oplysningerne iht. § 85 i </w:t>
      </w:r>
      <w:proofErr w:type="spellStart"/>
      <w:r>
        <w:rPr>
          <w:rFonts w:asciiTheme="minorHAnsi" w:hAnsiTheme="minorHAnsi"/>
          <w:sz w:val="22"/>
          <w:szCs w:val="22"/>
        </w:rPr>
        <w:t>MStV</w:t>
      </w:r>
      <w:proofErr w:type="spellEnd"/>
      <w:r>
        <w:rPr>
          <w:rFonts w:asciiTheme="minorHAnsi" w:hAnsiTheme="minorHAnsi"/>
          <w:sz w:val="22"/>
          <w:szCs w:val="22"/>
        </w:rPr>
        <w:t xml:space="preserve"> er gennemsigtige. </w:t>
      </w:r>
      <w:r>
        <w:rPr>
          <w:rFonts w:asciiTheme="minorHAnsi" w:hAnsiTheme="minorHAnsi"/>
          <w:sz w:val="22"/>
          <w:szCs w:val="22"/>
          <w:vertAlign w:val="superscript"/>
        </w:rPr>
        <w:t>2</w:t>
      </w:r>
      <w:r>
        <w:rPr>
          <w:rFonts w:asciiTheme="minorHAnsi" w:hAnsiTheme="minorHAnsi"/>
          <w:sz w:val="22"/>
          <w:szCs w:val="22"/>
        </w:rPr>
        <w:t>Oplysningerne skal gives på tysk på en sådan måde, at de let kan opfattes af brugeren og er direkte og konstant tilgængelige.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Stk. 2. Med hensyn til kravene til gennemførelse af gennemsigtighedskravene er det afgørende, at de er på et niveau, så en gennemsnitlig bruger, der ikke har specifik teknisk viden, kan forstå dem.</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9" w:name="_Hlk46134451"/>
      <w:r>
        <w:rPr>
          <w:rFonts w:asciiTheme="minorHAnsi" w:hAnsiTheme="minorHAnsi"/>
          <w:sz w:val="22"/>
          <w:szCs w:val="22"/>
        </w:rPr>
        <w:lastRenderedPageBreak/>
        <w:t xml:space="preserve">Stk. 3. </w:t>
      </w:r>
      <w:r>
        <w:rPr>
          <w:rFonts w:asciiTheme="minorHAnsi" w:hAnsiTheme="minorHAnsi"/>
          <w:sz w:val="22"/>
          <w:szCs w:val="22"/>
          <w:vertAlign w:val="superscript"/>
        </w:rPr>
        <w:t>1</w:t>
      </w:r>
      <w:r>
        <w:rPr>
          <w:rFonts w:asciiTheme="minorHAnsi" w:hAnsiTheme="minorHAnsi"/>
          <w:sz w:val="22"/>
          <w:szCs w:val="22"/>
        </w:rPr>
        <w:t xml:space="preserve">Oplysningerne er lette at opfatte, hvis de kan søges hurtigt og nemt, når man bruger medieplatformen eller brugergrænsefladen, ved at de f.eks. fremhæves og identificeres med et umiskendeligt udtryk. </w:t>
      </w:r>
      <w:r>
        <w:rPr>
          <w:rFonts w:asciiTheme="minorHAnsi" w:hAnsiTheme="minorHAnsi"/>
          <w:sz w:val="22"/>
          <w:szCs w:val="22"/>
          <w:vertAlign w:val="superscript"/>
        </w:rPr>
        <w:t>2</w:t>
      </w:r>
      <w:r>
        <w:rPr>
          <w:rFonts w:asciiTheme="minorHAnsi" w:hAnsiTheme="minorHAnsi"/>
          <w:sz w:val="22"/>
          <w:szCs w:val="22"/>
        </w:rPr>
        <w:t xml:space="preserve">Den specifikke udformning, der sikrer, at oplysningerne er lette at opfatte, skal foretages i lyset af tjenestens type, omfang og anden udformning. </w:t>
      </w:r>
      <w:r>
        <w:rPr>
          <w:rFonts w:asciiTheme="minorHAnsi" w:hAnsiTheme="minorHAnsi"/>
          <w:sz w:val="22"/>
          <w:szCs w:val="22"/>
          <w:vertAlign w:val="superscript"/>
        </w:rPr>
        <w:t>3</w:t>
      </w:r>
      <w:r>
        <w:rPr>
          <w:rFonts w:asciiTheme="minorHAnsi" w:hAnsiTheme="minorHAnsi"/>
          <w:sz w:val="22"/>
          <w:szCs w:val="22"/>
        </w:rPr>
        <w:t>Hvis brugen af tjenesten overvejende er stemmestyret, skal oplysningerne også gengives akustisk efter anmodning fra brugeren, og så er en akustisk indikation af, hvor oplysningerne opbevares, tilstrækkelig.</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75"/>
      <w:bookmarkEnd w:id="9"/>
      <w:r>
        <w:rPr>
          <w:rFonts w:asciiTheme="minorHAnsi" w:hAnsiTheme="minorHAnsi"/>
          <w:sz w:val="22"/>
          <w:szCs w:val="22"/>
        </w:rPr>
        <w:t xml:space="preserve">Stk. 4. </w:t>
      </w:r>
      <w:r>
        <w:rPr>
          <w:rFonts w:asciiTheme="minorHAnsi" w:hAnsiTheme="minorHAnsi"/>
          <w:sz w:val="22"/>
          <w:szCs w:val="22"/>
          <w:vertAlign w:val="superscript"/>
        </w:rPr>
        <w:t>1</w:t>
      </w:r>
      <w:r>
        <w:rPr>
          <w:rFonts w:asciiTheme="minorHAnsi" w:hAnsiTheme="minorHAnsi"/>
          <w:sz w:val="22"/>
          <w:szCs w:val="22"/>
        </w:rPr>
        <w:t xml:space="preserve">Oplysningerne er direkte tilgængelige, hvis de gøres tilgængelige på en sådan måde, at de kan hentes i medieplatformen eller brugergrænsefladen uden væsentlige mellemliggende trin. </w:t>
      </w:r>
      <w:r>
        <w:rPr>
          <w:rFonts w:asciiTheme="minorHAnsi" w:hAnsiTheme="minorHAnsi"/>
          <w:sz w:val="22"/>
          <w:szCs w:val="22"/>
          <w:vertAlign w:val="superscript"/>
        </w:rPr>
        <w:t>2</w:t>
      </w:r>
      <w:r>
        <w:rPr>
          <w:rFonts w:asciiTheme="minorHAnsi" w:hAnsiTheme="minorHAnsi"/>
          <w:sz w:val="22"/>
          <w:szCs w:val="22"/>
        </w:rPr>
        <w:t>Hvis tjenesten bruges over internettet, kan dette også gøres ved at linke.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Stk. 5. Oplysningerne er altid tilgængelige, hvis de gøres tilgængelige permanent og uden tidsbegrænsning.</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6. afsnit: Procedureforskrifter</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0"/>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Stk. 1. </w:t>
      </w:r>
      <w:r>
        <w:rPr>
          <w:rFonts w:asciiTheme="minorHAnsi" w:hAnsiTheme="minorHAnsi"/>
          <w:sz w:val="22"/>
          <w:szCs w:val="22"/>
          <w:vertAlign w:val="superscript"/>
        </w:rPr>
        <w:t>1</w:t>
      </w:r>
      <w:r>
        <w:rPr>
          <w:rFonts w:asciiTheme="minorHAnsi" w:hAnsiTheme="minorHAnsi"/>
          <w:sz w:val="22"/>
          <w:szCs w:val="22"/>
        </w:rPr>
        <w:t xml:space="preserve">Udvalget for tilladelse og tilsyn (ZAK) i delstatens kompetente mediemyndighed fungerer som et organ for de opgaver, der skal udføres inden for anvendelsesområdet for denne vedtægt (§ 104, stk. 2, 1. punktum, nr. 1)), § 105, stk. 1, 1. punktum, nr. 8) og 9), i </w:t>
      </w:r>
      <w:proofErr w:type="spellStart"/>
      <w:r>
        <w:rPr>
          <w:rFonts w:asciiTheme="minorHAnsi" w:hAnsiTheme="minorHAnsi"/>
          <w:sz w:val="22"/>
          <w:szCs w:val="22"/>
        </w:rPr>
        <w:t>MStV</w:t>
      </w:r>
      <w:proofErr w:type="spellEnd"/>
      <w:r>
        <w:rPr>
          <w:rFonts w:asciiTheme="minorHAnsi" w:hAnsiTheme="minorHAnsi"/>
          <w:sz w:val="22"/>
          <w:szCs w:val="22"/>
        </w:rPr>
        <w:t xml:space="preserve"> i forbindelse med </w:t>
      </w:r>
      <w:proofErr w:type="spellStart"/>
      <w:r>
        <w:rPr>
          <w:rFonts w:asciiTheme="minorHAnsi" w:hAnsiTheme="minorHAnsi"/>
          <w:sz w:val="22"/>
          <w:szCs w:val="22"/>
        </w:rPr>
        <w:t>ZAK's</w:t>
      </w:r>
      <w:proofErr w:type="spellEnd"/>
      <w:r>
        <w:rPr>
          <w:rFonts w:asciiTheme="minorHAnsi" w:hAnsiTheme="minorHAnsi"/>
          <w:sz w:val="22"/>
          <w:szCs w:val="22"/>
        </w:rPr>
        <w:t xml:space="preserve"> forretningsorden og procedureregler - GVO ZAK).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 xml:space="preserve">§ 81, stk. 5, 3. punktum, i forbindelse med § 105, stk. 2, 1. punktum, tidligere 2. punktum, i </w:t>
      </w:r>
      <w:proofErr w:type="spellStart"/>
      <w:r>
        <w:rPr>
          <w:rFonts w:asciiTheme="minorHAnsi" w:hAnsiTheme="minorHAnsi"/>
          <w:sz w:val="22"/>
          <w:szCs w:val="22"/>
        </w:rPr>
        <w:t>MStV</w:t>
      </w:r>
      <w:proofErr w:type="spellEnd"/>
      <w:r>
        <w:rPr>
          <w:rFonts w:asciiTheme="minorHAnsi" w:hAnsiTheme="minorHAnsi"/>
          <w:sz w:val="22"/>
          <w:szCs w:val="22"/>
        </w:rPr>
        <w:t xml:space="preserve"> påvirkes ikke.</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Stk. 2. </w:t>
      </w:r>
      <w:r>
        <w:rPr>
          <w:rFonts w:asciiTheme="minorHAnsi" w:hAnsiTheme="minorHAnsi"/>
          <w:sz w:val="22"/>
          <w:szCs w:val="22"/>
          <w:vertAlign w:val="superscript"/>
        </w:rPr>
        <w:t>1</w:t>
      </w:r>
      <w:r>
        <w:rPr>
          <w:rFonts w:asciiTheme="minorHAnsi" w:hAnsiTheme="minorHAnsi"/>
          <w:sz w:val="22"/>
          <w:szCs w:val="22"/>
        </w:rPr>
        <w:t xml:space="preserve">Delstatens kompetente mediemyndighed sender straks anmeldelser i henhold til § 2 og klager i henhold til § 14 via det fælles kontor til ZAK og informerer dem om officielle undersøgelser. </w:t>
      </w:r>
      <w:r>
        <w:rPr>
          <w:rFonts w:asciiTheme="minorHAnsi" w:hAnsiTheme="minorHAnsi"/>
          <w:sz w:val="22"/>
          <w:szCs w:val="22"/>
          <w:vertAlign w:val="superscript"/>
        </w:rPr>
        <w:t>2</w:t>
      </w:r>
      <w:r>
        <w:rPr>
          <w:rFonts w:asciiTheme="minorHAnsi" w:hAnsiTheme="minorHAnsi"/>
          <w:sz w:val="22"/>
          <w:szCs w:val="22"/>
        </w:rPr>
        <w:t xml:space="preserve">Delstatens kompetente mediemyndighed gennemfører proceduren, indtil den er klar til afgørelse.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Procedure</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Stk. 1. Delstatens kompetente mediemyndighed undersøger via ZAK, på grundlag af en klage fra en bemyndiget person i henhold til § 14 eller officielt, om udbyderen af en medieplatform eller brugergrænseflade overholder bestemmelserne i § 79 til 85 i </w:t>
      </w:r>
      <w:proofErr w:type="spellStart"/>
      <w:r>
        <w:rPr>
          <w:rFonts w:asciiTheme="minorHAnsi" w:hAnsiTheme="minorHAnsi"/>
          <w:sz w:val="22"/>
          <w:szCs w:val="22"/>
        </w:rPr>
        <w:t>MStV</w:t>
      </w:r>
      <w:proofErr w:type="spellEnd"/>
      <w:r>
        <w:rPr>
          <w:rFonts w:asciiTheme="minorHAnsi" w:hAnsiTheme="minorHAnsi"/>
          <w:sz w:val="22"/>
          <w:szCs w:val="22"/>
        </w:rPr>
        <w:t xml:space="preserve"> eller § 2 til 6 og 10 og 11 i denne vedtægt.</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Stk. 2. Hvis der er konkrete tegn på en overtrædelse, er udbyderen af en medieplatform eller brugergrænseflade forpligtet til straks at indsende de nødvendige oplysninger og dokumenter til verifikation til delstatens kompetente mediemyndighed.</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Stk. 3. </w:t>
      </w:r>
      <w:r>
        <w:rPr>
          <w:rFonts w:asciiTheme="minorHAnsi" w:hAnsiTheme="minorHAnsi"/>
          <w:sz w:val="22"/>
          <w:szCs w:val="22"/>
          <w:vertAlign w:val="superscript"/>
        </w:rPr>
        <w:t>1</w:t>
      </w:r>
      <w:r>
        <w:rPr>
          <w:rFonts w:asciiTheme="minorHAnsi" w:hAnsiTheme="minorHAnsi"/>
          <w:sz w:val="22"/>
          <w:szCs w:val="22"/>
        </w:rPr>
        <w:t xml:space="preserve">Hvis delstatens kompetente mediemyndighed via ZAK konstaterer en overtrædelse i overensstemmelse med stk. 1, kan den give udbyderen af medieplatformen eller brugergrænsefladen mulighed for at foretage forbedringer ved at fastsætte en rimelig frist. </w:t>
      </w:r>
      <w:r>
        <w:rPr>
          <w:rFonts w:asciiTheme="minorHAnsi" w:hAnsiTheme="minorHAnsi"/>
          <w:sz w:val="22"/>
          <w:szCs w:val="22"/>
          <w:vertAlign w:val="superscript"/>
        </w:rPr>
        <w:t>2</w:t>
      </w:r>
      <w:r>
        <w:rPr>
          <w:rFonts w:asciiTheme="minorHAnsi" w:hAnsiTheme="minorHAnsi"/>
          <w:sz w:val="22"/>
          <w:szCs w:val="22"/>
        </w:rPr>
        <w:t xml:space="preserve">Hvis de juridiske krav stadig ikke er opfyldt herefter, vil delstatens kompetente mediemyndighed træffe de </w:t>
      </w:r>
      <w:r>
        <w:rPr>
          <w:rFonts w:asciiTheme="minorHAnsi" w:hAnsiTheme="minorHAnsi"/>
          <w:sz w:val="22"/>
          <w:szCs w:val="22"/>
        </w:rPr>
        <w:lastRenderedPageBreak/>
        <w:t xml:space="preserve">foranstaltninger, der kræves i henhold til § 109, stk. 1, i </w:t>
      </w:r>
      <w:proofErr w:type="spellStart"/>
      <w:r>
        <w:rPr>
          <w:rFonts w:asciiTheme="minorHAnsi" w:hAnsiTheme="minorHAnsi"/>
          <w:sz w:val="22"/>
          <w:szCs w:val="22"/>
        </w:rPr>
        <w:t>MStV</w:t>
      </w:r>
      <w:proofErr w:type="spellEnd"/>
      <w:r>
        <w:rPr>
          <w:rFonts w:asciiTheme="minorHAnsi" w:hAnsiTheme="minorHAnsi"/>
          <w:sz w:val="22"/>
          <w:szCs w:val="22"/>
        </w:rPr>
        <w:t xml:space="preserve"> på grundlag af en beslutning truffet af ZAK og i tilfælde af artikel 81, stk. 5, 3. punktum, i </w:t>
      </w:r>
      <w:proofErr w:type="spellStart"/>
      <w:r>
        <w:rPr>
          <w:rFonts w:asciiTheme="minorHAnsi" w:hAnsiTheme="minorHAnsi"/>
          <w:sz w:val="22"/>
          <w:szCs w:val="22"/>
        </w:rPr>
        <w:t>MStV</w:t>
      </w:r>
      <w:proofErr w:type="spellEnd"/>
      <w:r>
        <w:rPr>
          <w:rFonts w:asciiTheme="minorHAnsi" w:hAnsiTheme="minorHAnsi"/>
          <w:sz w:val="22"/>
          <w:szCs w:val="22"/>
        </w:rPr>
        <w:t>, på beslutning fra GVK.</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szCs w:val="22"/>
        </w:rPr>
        <w:t>Klager</w:t>
      </w:r>
      <w:r>
        <w:rPr>
          <w:rFonts w:asciiTheme="minorHAnsi" w:hAnsiTheme="minorHAnsi"/>
          <w:b/>
          <w:bCs/>
          <w:sz w:val="22"/>
          <w:szCs w:val="22"/>
        </w:rPr>
        <w:t xml:space="preserve"> inden for rammerne af tilsynet</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Stk. 1. </w:t>
      </w:r>
      <w:r>
        <w:rPr>
          <w:rFonts w:asciiTheme="minorHAnsi" w:hAnsiTheme="minorHAnsi"/>
          <w:sz w:val="22"/>
          <w:szCs w:val="22"/>
          <w:vertAlign w:val="superscript"/>
        </w:rPr>
        <w:t>1</w:t>
      </w:r>
      <w:r>
        <w:rPr>
          <w:rFonts w:asciiTheme="minorHAnsi" w:hAnsiTheme="minorHAnsi"/>
          <w:sz w:val="22"/>
          <w:szCs w:val="22"/>
        </w:rPr>
        <w:t xml:space="preserve">Der kan indgives klager af udbydere af radio- eller TV-udsendelser, radio- eller TV-udsendelseslignende telemedier eller telemedier i henhold til § 19, stk. 1, i </w:t>
      </w:r>
      <w:proofErr w:type="spellStart"/>
      <w:r>
        <w:rPr>
          <w:rFonts w:asciiTheme="minorHAnsi" w:hAnsiTheme="minorHAnsi"/>
          <w:sz w:val="22"/>
          <w:szCs w:val="22"/>
        </w:rPr>
        <w:t>MStV</w:t>
      </w:r>
      <w:proofErr w:type="spellEnd"/>
      <w:r>
        <w:rPr>
          <w:rFonts w:asciiTheme="minorHAnsi" w:hAnsiTheme="minorHAnsi"/>
          <w:sz w:val="22"/>
          <w:szCs w:val="22"/>
        </w:rPr>
        <w:t>, som</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udbredes på en medieplatform eller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ønsker adgang til en medieplatform for at kunne tilbyde eller markedsføre radio- eller TV-udsendelser, radio- eller TV-udsendelseslignende telemedier eller telemedier i overensstemmelse med § 19, stk. 1, </w:t>
      </w:r>
      <w:proofErr w:type="spellStart"/>
      <w:r>
        <w:rPr>
          <w:rFonts w:ascii="Calibri" w:hAnsi="Calibri"/>
          <w:sz w:val="22"/>
          <w:szCs w:val="22"/>
        </w:rPr>
        <w:t>RStV</w:t>
      </w:r>
      <w:proofErr w:type="spellEnd"/>
      <w:r>
        <w:rPr>
          <w:rFonts w:ascii="Calibri" w:hAnsi="Calibri"/>
          <w:sz w:val="22"/>
          <w:szCs w:val="22"/>
        </w:rPr>
        <w:t xml:space="preserve"> eller</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selv er berørt af fremstillingen på brugergrænseflader i henhold til § 2, stk. 2, nr. 15), i </w:t>
      </w:r>
      <w:proofErr w:type="spellStart"/>
      <w:r>
        <w:rPr>
          <w:rFonts w:ascii="Calibri" w:hAnsi="Calibri"/>
          <w:sz w:val="22"/>
          <w:szCs w:val="22"/>
        </w:rPr>
        <w:t>MStV</w:t>
      </w:r>
      <w:proofErr w:type="spellEnd"/>
      <w:r>
        <w:rPr>
          <w:rFonts w:ascii="Calibri" w:hAnsi="Calibri"/>
          <w:sz w:val="22"/>
          <w:szCs w:val="22"/>
        </w:rPr>
        <w:t>.</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Respondenter kan være udbydere af medieplatforme i henhold til § 2 stk. 2, nr. 19), i </w:t>
      </w:r>
      <w:proofErr w:type="spellStart"/>
      <w:r>
        <w:rPr>
          <w:rFonts w:asciiTheme="minorHAnsi" w:hAnsiTheme="minorHAnsi"/>
          <w:sz w:val="22"/>
          <w:szCs w:val="22"/>
        </w:rPr>
        <w:t>MStV</w:t>
      </w:r>
      <w:proofErr w:type="spellEnd"/>
      <w:r>
        <w:rPr>
          <w:rFonts w:asciiTheme="minorHAnsi" w:hAnsiTheme="minorHAnsi"/>
          <w:sz w:val="22"/>
          <w:szCs w:val="22"/>
        </w:rPr>
        <w:t xml:space="preserve"> og udbydere af brugergræn</w:t>
      </w:r>
      <w:bookmarkStart w:id="11" w:name="_GoBack"/>
      <w:bookmarkEnd w:id="11"/>
      <w:r>
        <w:rPr>
          <w:rFonts w:asciiTheme="minorHAnsi" w:hAnsiTheme="minorHAnsi"/>
          <w:sz w:val="22"/>
          <w:szCs w:val="22"/>
        </w:rPr>
        <w:t xml:space="preserve">seflader i henhold til § 2, stk. 2, nr. 20), i </w:t>
      </w:r>
      <w:proofErr w:type="spellStart"/>
      <w:r>
        <w:rPr>
          <w:rFonts w:asciiTheme="minorHAnsi" w:hAnsiTheme="minorHAnsi"/>
          <w:sz w:val="22"/>
          <w:szCs w:val="22"/>
        </w:rPr>
        <w:t>MStV</w:t>
      </w:r>
      <w:proofErr w:type="spellEnd"/>
      <w:r>
        <w:rPr>
          <w:rFonts w:asciiTheme="minorHAnsi" w:hAnsiTheme="minorHAnsi"/>
          <w:sz w:val="22"/>
          <w:szCs w:val="22"/>
        </w:rPr>
        <w:t>.</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Stk. 2. Personer, der er berettiget til at indgive en klage i henhold til stk. 1, kan indgive en klage til delstatens kompetente mediemyndighed skriftligt med specifikke angivelser af, at der foreligger en overtrædelse af bestemmelserne i § 80 til 84 i </w:t>
      </w:r>
      <w:proofErr w:type="spellStart"/>
      <w:r>
        <w:rPr>
          <w:rFonts w:asciiTheme="minorHAnsi" w:hAnsiTheme="minorHAnsi"/>
          <w:sz w:val="22"/>
          <w:szCs w:val="22"/>
        </w:rPr>
        <w:t>MStV</w:t>
      </w:r>
      <w:proofErr w:type="spellEnd"/>
      <w:r>
        <w:rPr>
          <w:rFonts w:asciiTheme="minorHAnsi" w:hAnsiTheme="minorHAnsi"/>
          <w:sz w:val="22"/>
          <w:szCs w:val="22"/>
        </w:rPr>
        <w:t xml:space="preserve"> eller § 3 til 6 og 10 i denne vedtægt og indbringe de faktiske forhold, der ligger til grund.</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Stk. 3. Ved indbringelse af en klage skal berettigede parter påvise og gøre troværdigt, at de har arbejdet for at afklare det forhold, hvormed vedkommende er i tvist med udbyderen af medieplatformen eller brugergrænsefladen.</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Stk. 4. </w:t>
      </w:r>
      <w:r>
        <w:rPr>
          <w:rFonts w:asciiTheme="minorHAnsi" w:hAnsiTheme="minorHAnsi"/>
          <w:sz w:val="22"/>
          <w:szCs w:val="22"/>
          <w:vertAlign w:val="superscript"/>
        </w:rPr>
        <w:t>1</w:t>
      </w:r>
      <w:r>
        <w:rPr>
          <w:rFonts w:asciiTheme="minorHAnsi" w:hAnsiTheme="minorHAnsi"/>
          <w:sz w:val="22"/>
          <w:szCs w:val="22"/>
        </w:rPr>
        <w:t xml:space="preserve">Delstatens kompetente mediemyndighed kan først forsøge at arbejde hen imod en passende løsning blandt de involverede. </w:t>
      </w:r>
      <w:r>
        <w:rPr>
          <w:rFonts w:asciiTheme="minorHAnsi" w:hAnsiTheme="minorHAnsi"/>
          <w:sz w:val="22"/>
          <w:szCs w:val="22"/>
          <w:vertAlign w:val="superscript"/>
        </w:rPr>
        <w:t>2</w:t>
      </w:r>
      <w:r>
        <w:rPr>
          <w:rFonts w:asciiTheme="minorHAnsi" w:hAnsiTheme="minorHAnsi"/>
          <w:sz w:val="22"/>
          <w:szCs w:val="22"/>
        </w:rPr>
        <w:t xml:space="preserve">I tilfældene omhandlet i § 83, stk. 3, i </w:t>
      </w:r>
      <w:proofErr w:type="spellStart"/>
      <w:r>
        <w:rPr>
          <w:rFonts w:asciiTheme="minorHAnsi" w:hAnsiTheme="minorHAnsi"/>
          <w:sz w:val="22"/>
          <w:szCs w:val="22"/>
        </w:rPr>
        <w:t>MStV</w:t>
      </w:r>
      <w:proofErr w:type="spellEnd"/>
      <w:r>
        <w:rPr>
          <w:rFonts w:asciiTheme="minorHAnsi" w:hAnsiTheme="minorHAnsi"/>
          <w:sz w:val="22"/>
          <w:szCs w:val="22"/>
        </w:rPr>
        <w:t xml:space="preserve"> skal delstatens kompetente mediemyndighed mægle inden klageproceduren.</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Stk. 5. For så vidt angår adgangsgodkendelsessystemer og grænseflader til applikationsprogrammer, videresender delstatens kompetente mediemyndighed klagen til </w:t>
      </w:r>
      <w:proofErr w:type="spellStart"/>
      <w:r>
        <w:rPr>
          <w:rFonts w:asciiTheme="minorHAnsi" w:hAnsiTheme="minorHAnsi"/>
          <w:sz w:val="22"/>
          <w:szCs w:val="22"/>
        </w:rPr>
        <w:t>BNetzA</w:t>
      </w:r>
      <w:proofErr w:type="spellEnd"/>
      <w:r>
        <w:rPr>
          <w:rFonts w:asciiTheme="minorHAnsi" w:hAnsiTheme="minorHAnsi"/>
          <w:sz w:val="22"/>
          <w:szCs w:val="22"/>
        </w:rPr>
        <w:t xml:space="preserve"> inden for rammerne af den procedure, der er aftalt med </w:t>
      </w:r>
      <w:proofErr w:type="spellStart"/>
      <w:r>
        <w:rPr>
          <w:rFonts w:asciiTheme="minorHAnsi" w:hAnsiTheme="minorHAnsi"/>
          <w:sz w:val="22"/>
          <w:szCs w:val="22"/>
        </w:rPr>
        <w:t>Bundesnetzagentur</w:t>
      </w:r>
      <w:proofErr w:type="spellEnd"/>
      <w:r>
        <w:rPr>
          <w:rFonts w:asciiTheme="minorHAnsi" w:hAnsiTheme="minorHAnsi"/>
          <w:sz w:val="22"/>
          <w:szCs w:val="22"/>
        </w:rPr>
        <w:t xml:space="preserve"> (</w:t>
      </w:r>
      <w:proofErr w:type="spellStart"/>
      <w:r>
        <w:rPr>
          <w:rFonts w:asciiTheme="minorHAnsi" w:hAnsiTheme="minorHAnsi"/>
          <w:sz w:val="22"/>
          <w:szCs w:val="22"/>
        </w:rPr>
        <w:t>BNetzA</w:t>
      </w:r>
      <w:proofErr w:type="spellEnd"/>
      <w:r>
        <w:rPr>
          <w:rFonts w:asciiTheme="minorHAnsi" w:hAnsiTheme="minorHAnsi"/>
          <w:sz w:val="22"/>
          <w:szCs w:val="22"/>
        </w:rPr>
        <w:t>) (procedurebeskrivelse dateret 20. april 2010), hvor proceduren gennemføres.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Stk. 6. </w:t>
      </w:r>
      <w:r>
        <w:rPr>
          <w:rFonts w:asciiTheme="minorHAnsi" w:hAnsiTheme="minorHAnsi"/>
          <w:sz w:val="22"/>
          <w:szCs w:val="22"/>
          <w:vertAlign w:val="superscript"/>
        </w:rPr>
        <w:t>1</w:t>
      </w:r>
      <w:r>
        <w:rPr>
          <w:rFonts w:asciiTheme="minorHAnsi" w:hAnsiTheme="minorHAnsi"/>
          <w:sz w:val="22"/>
          <w:szCs w:val="22"/>
        </w:rPr>
        <w:t xml:space="preserve">Klagen skal rettes til mediemyndigheden i den delstat, hvor medieplatformen eller brugergrænsefladen er anmeldt. </w:t>
      </w:r>
      <w:r>
        <w:rPr>
          <w:rFonts w:asciiTheme="minorHAnsi" w:hAnsiTheme="minorHAnsi"/>
          <w:sz w:val="22"/>
          <w:szCs w:val="22"/>
          <w:vertAlign w:val="superscript"/>
        </w:rPr>
        <w:t>2</w:t>
      </w:r>
      <w:r>
        <w:rPr>
          <w:rFonts w:asciiTheme="minorHAnsi" w:hAnsiTheme="minorHAnsi"/>
          <w:sz w:val="22"/>
          <w:szCs w:val="22"/>
        </w:rPr>
        <w:t xml:space="preserve">Hvis der ikke er nogen anmeldelse på tidspunktet for klagen, finder § 106, stk. 1, i </w:t>
      </w:r>
      <w:proofErr w:type="spellStart"/>
      <w:r>
        <w:rPr>
          <w:rFonts w:asciiTheme="minorHAnsi" w:hAnsiTheme="minorHAnsi"/>
          <w:sz w:val="22"/>
          <w:szCs w:val="22"/>
        </w:rPr>
        <w:t>MStV</w:t>
      </w:r>
      <w:proofErr w:type="spellEnd"/>
      <w:r>
        <w:rPr>
          <w:rFonts w:asciiTheme="minorHAnsi" w:hAnsiTheme="minorHAnsi"/>
          <w:sz w:val="22"/>
          <w:szCs w:val="22"/>
        </w:rPr>
        <w:t xml:space="preserve"> tilsvarende anvendelse på landsdækkende tilbud.</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Udstedelse af en overensstemmelsesattest i henhold til § 87 i </w:t>
      </w:r>
      <w:proofErr w:type="spellStart"/>
      <w:r>
        <w:rPr>
          <w:rFonts w:ascii="Calibri" w:hAnsi="Calibri"/>
          <w:b/>
          <w:sz w:val="22"/>
          <w:szCs w:val="22"/>
        </w:rPr>
        <w:t>MStV</w:t>
      </w:r>
      <w:proofErr w:type="spellEnd"/>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Stk. 1. </w:t>
      </w:r>
      <w:r>
        <w:rPr>
          <w:rFonts w:asciiTheme="minorHAnsi" w:hAnsiTheme="minorHAnsi"/>
          <w:sz w:val="22"/>
          <w:szCs w:val="22"/>
          <w:vertAlign w:val="superscript"/>
        </w:rPr>
        <w:t>1</w:t>
      </w:r>
      <w:r>
        <w:rPr>
          <w:rFonts w:asciiTheme="minorHAnsi" w:hAnsiTheme="minorHAnsi"/>
          <w:sz w:val="22"/>
          <w:szCs w:val="22"/>
        </w:rPr>
        <w:t xml:space="preserve">Hvis der indgives en ansøgning om en overensstemmelsesattest i henhold til § 87, stk. 1, i </w:t>
      </w:r>
      <w:proofErr w:type="spellStart"/>
      <w:r>
        <w:rPr>
          <w:rFonts w:asciiTheme="minorHAnsi" w:hAnsiTheme="minorHAnsi"/>
          <w:sz w:val="22"/>
          <w:szCs w:val="22"/>
        </w:rPr>
        <w:t>MStV</w:t>
      </w:r>
      <w:proofErr w:type="spellEnd"/>
      <w:r>
        <w:rPr>
          <w:rFonts w:asciiTheme="minorHAnsi" w:hAnsiTheme="minorHAnsi"/>
          <w:sz w:val="22"/>
          <w:szCs w:val="22"/>
        </w:rPr>
        <w:t xml:space="preserve">, underretter delstatens kompetente mediemyndighed udbyderne om de tilbud, der privilegeres i henhold til § 84, stk. 3, 2. punktum og stk. 4, i </w:t>
      </w:r>
      <w:proofErr w:type="spellStart"/>
      <w:r>
        <w:rPr>
          <w:rFonts w:asciiTheme="minorHAnsi" w:hAnsiTheme="minorHAnsi"/>
          <w:sz w:val="22"/>
          <w:szCs w:val="22"/>
        </w:rPr>
        <w:t>MStV</w:t>
      </w:r>
      <w:proofErr w:type="spellEnd"/>
      <w:r>
        <w:rPr>
          <w:rFonts w:asciiTheme="minorHAnsi" w:hAnsiTheme="minorHAnsi"/>
          <w:sz w:val="22"/>
          <w:szCs w:val="22"/>
        </w:rPr>
        <w:t xml:space="preserve">. </w:t>
      </w:r>
      <w:r>
        <w:rPr>
          <w:rFonts w:asciiTheme="minorHAnsi" w:hAnsiTheme="minorHAnsi"/>
          <w:sz w:val="22"/>
          <w:szCs w:val="22"/>
          <w:vertAlign w:val="superscript"/>
        </w:rPr>
        <w:t>2</w:t>
      </w:r>
      <w:r>
        <w:rPr>
          <w:rFonts w:asciiTheme="minorHAnsi" w:hAnsiTheme="minorHAnsi"/>
          <w:sz w:val="22"/>
          <w:szCs w:val="22"/>
        </w:rPr>
        <w:t>Oplysningerne kan gives elektronisk.</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lastRenderedPageBreak/>
        <w:t xml:space="preserve">Stk. 2. Delstatens kompetente mediemyndighed videresender ansøgningen til ZAK via det fælles kontor. Delstatens kompetente mediemyndighed gennemfører proceduren, indtil den er klar til afgørelse.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Stk. 3. </w:t>
      </w:r>
      <w:r>
        <w:rPr>
          <w:rFonts w:asciiTheme="minorHAnsi" w:hAnsiTheme="minorHAnsi"/>
          <w:sz w:val="22"/>
          <w:szCs w:val="22"/>
          <w:vertAlign w:val="superscript"/>
        </w:rPr>
        <w:t>1</w:t>
      </w:r>
      <w:r>
        <w:rPr>
          <w:rFonts w:asciiTheme="minorHAnsi" w:hAnsiTheme="minorHAnsi"/>
          <w:sz w:val="22"/>
          <w:szCs w:val="22"/>
        </w:rPr>
        <w:t xml:space="preserve">I overensstemmelsesattestens gyldighedsperiode skal udbyderen af medieplatformen eller brugergrænsefladen informere delstatens kompetente mediemyndighed om alle væsentlige ændringer, der foretages på medieplatformen eller brugergrænsefladen. </w:t>
      </w:r>
      <w:r>
        <w:rPr>
          <w:rFonts w:asciiTheme="minorHAnsi" w:hAnsiTheme="minorHAnsi"/>
          <w:sz w:val="22"/>
          <w:szCs w:val="22"/>
          <w:vertAlign w:val="superscript"/>
        </w:rPr>
        <w:t>2</w:t>
      </w:r>
      <w:r>
        <w:rPr>
          <w:rFonts w:asciiTheme="minorHAnsi" w:hAnsiTheme="minorHAnsi"/>
          <w:sz w:val="22"/>
          <w:szCs w:val="22"/>
        </w:rPr>
        <w:t>Delstatens kompetente mediemyndighed kontrollerer officielt, om kravene i overensstemmelsesattesten stadig er opfyldt.</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7. afsnit: Afsluttende bestemmelser</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Tilgængelighed</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Udbydere af </w:t>
      </w:r>
      <w:r>
        <w:rPr>
          <w:rFonts w:asciiTheme="minorHAnsi" w:hAnsiTheme="minorHAnsi"/>
          <w:sz w:val="22"/>
          <w:szCs w:val="22"/>
        </w:rPr>
        <w:t>brugergrænseflader</w:t>
      </w:r>
      <w:r>
        <w:rPr>
          <w:rFonts w:asciiTheme="minorHAnsi" w:hAnsiTheme="minorHAnsi"/>
          <w:bCs/>
          <w:sz w:val="22"/>
          <w:szCs w:val="22"/>
        </w:rPr>
        <w:t xml:space="preserve"> og udbydere af medieplatforme bør understøtte tilgængelighed til </w:t>
      </w:r>
      <w:proofErr w:type="spellStart"/>
      <w:r>
        <w:rPr>
          <w:rFonts w:asciiTheme="minorHAnsi" w:hAnsiTheme="minorHAnsi"/>
          <w:bCs/>
          <w:sz w:val="22"/>
          <w:szCs w:val="22"/>
        </w:rPr>
        <w:t>TV-programmer</w:t>
      </w:r>
      <w:proofErr w:type="spellEnd"/>
      <w:r>
        <w:rPr>
          <w:rFonts w:asciiTheme="minorHAnsi" w:hAnsiTheme="minorHAnsi"/>
          <w:bCs/>
          <w:sz w:val="22"/>
          <w:szCs w:val="22"/>
        </w:rPr>
        <w:t xml:space="preserve"> og TV-lignende telemedier inden for rammerne af deres tekniske og økonomiske muligheder (§ 21 i </w:t>
      </w:r>
      <w:proofErr w:type="spellStart"/>
      <w:r>
        <w:rPr>
          <w:rFonts w:asciiTheme="minorHAnsi" w:hAnsiTheme="minorHAnsi"/>
          <w:bCs/>
          <w:sz w:val="22"/>
          <w:szCs w:val="22"/>
        </w:rPr>
        <w:t>MStV</w:t>
      </w:r>
      <w:proofErr w:type="spellEnd"/>
      <w:r>
        <w:rPr>
          <w:rFonts w:asciiTheme="minorHAnsi" w:hAnsiTheme="minorHAnsi"/>
          <w:bCs/>
          <w:sz w:val="22"/>
          <w:szCs w:val="22"/>
        </w:rPr>
        <w:t>).</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Ikrafttrædelse, ophævelse</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Stk. 1. </w:t>
      </w:r>
      <w:r>
        <w:rPr>
          <w:rFonts w:asciiTheme="minorHAnsi" w:hAnsiTheme="minorHAnsi"/>
          <w:sz w:val="22"/>
          <w:szCs w:val="22"/>
          <w:vertAlign w:val="superscript"/>
        </w:rPr>
        <w:t>1</w:t>
      </w:r>
      <w:r>
        <w:rPr>
          <w:rFonts w:asciiTheme="minorHAnsi" w:hAnsiTheme="minorHAnsi"/>
          <w:sz w:val="22"/>
          <w:szCs w:val="22"/>
        </w:rPr>
        <w:t xml:space="preserve">Denne vedtægt træder i kraft den 15. april 2021. </w:t>
      </w:r>
      <w:r>
        <w:rPr>
          <w:rFonts w:asciiTheme="minorHAnsi" w:hAnsiTheme="minorHAnsi"/>
          <w:sz w:val="22"/>
          <w:szCs w:val="22"/>
          <w:vertAlign w:val="superscript"/>
        </w:rPr>
        <w:t>2</w:t>
      </w:r>
      <w:r>
        <w:rPr>
          <w:rFonts w:asciiTheme="minorHAnsi" w:hAnsiTheme="minorHAnsi"/>
          <w:sz w:val="22"/>
          <w:szCs w:val="22"/>
        </w:rPr>
        <w:t xml:space="preserve">Formanden for bestyrelseskonferencen for delstaternes mediemyndigheder (DLM) offentliggør på hjemmesiden under paraplyen "die </w:t>
      </w:r>
      <w:proofErr w:type="spellStart"/>
      <w:r>
        <w:rPr>
          <w:rFonts w:asciiTheme="minorHAnsi" w:hAnsiTheme="minorHAnsi"/>
          <w:sz w:val="22"/>
          <w:szCs w:val="22"/>
        </w:rPr>
        <w:t>medienanstalten</w:t>
      </w:r>
      <w:proofErr w:type="spellEnd"/>
      <w:r>
        <w:rPr>
          <w:rFonts w:asciiTheme="minorHAnsi" w:hAnsiTheme="minorHAnsi"/>
          <w:sz w:val="22"/>
          <w:szCs w:val="22"/>
        </w:rPr>
        <w:t xml:space="preserve">", om alle delstaternes mediemyndigheder har udstedt og offentliggjort tilsvarende vedtægter inden da. </w:t>
      </w:r>
      <w:r>
        <w:rPr>
          <w:rFonts w:asciiTheme="minorHAnsi" w:hAnsiTheme="minorHAnsi"/>
          <w:sz w:val="22"/>
          <w:szCs w:val="22"/>
          <w:vertAlign w:val="superscript"/>
        </w:rPr>
        <w:t>3</w:t>
      </w:r>
      <w:r>
        <w:rPr>
          <w:rFonts w:asciiTheme="minorHAnsi" w:hAnsiTheme="minorHAnsi"/>
          <w:sz w:val="22"/>
          <w:szCs w:val="22"/>
        </w:rPr>
        <w:t>I modsætning til det i 1. punktum anførte træder § 10, stk. 5 til 7, i denne vedtægt i kraft den 1. september 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Stk. 2. Samtidig vil vedtægten om fri adgang til digitale tjenester og om platformsregulering iht. § 53 i statsaftalen om radio og TV af 14. december 2016 udgå.</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1C18E3">
          <w:rPr>
            <w:rFonts w:asciiTheme="minorHAnsi" w:hAnsiTheme="minorHAnsi" w:cstheme="minorHAnsi"/>
            <w:noProof/>
            <w:sz w:val="22"/>
          </w:rPr>
          <w:t>10</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Notificeret i henhold til Europa-Parlamentets og Rådets direktiv (EU) 2015/1535 af 9. september 2015 om en informationsprocedure med hensyn til tekniske forskrifter samt forskrifter for informationssamfundets tjenester (EUT L 241 af 17.9.2015,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29" w:rsidRDefault="00FA085F">
    <w:pPr>
      <w:pStyle w:val="Header"/>
    </w:pPr>
    <w:r>
      <w:rPr>
        <w:noProof/>
        <w:lang w:val="en-US" w:eastAsia="zh-CN"/>
      </w:rP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 xml:space="preserve">die </w:t>
                          </w:r>
                          <w:proofErr w:type="spellStart"/>
                          <w:r>
                            <w:rPr>
                              <w:rFonts w:asciiTheme="minorHAnsi" w:hAnsiTheme="minorHAnsi"/>
                              <w:sz w:val="32"/>
                            </w:rPr>
                            <w:t>medienanstalten</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 xml:space="preserve">die </w:t>
                    </w:r>
                    <w:proofErr w:type="spellStart"/>
                    <w:r>
                      <w:rPr>
                        <w:rFonts w:asciiTheme="minorHAnsi" w:hAnsiTheme="minorHAnsi"/>
                        <w:sz w:val="32"/>
                      </w:rPr>
                      <w:t>medienanstalten</w:t>
                    </w:r>
                    <w:proofErr w:type="spellEnd"/>
                  </w:p>
                </w:txbxContent>
              </v:textbox>
            </v:shape>
          </w:pict>
        </mc:Fallback>
      </mc:AlternateContent>
    </w:r>
    <w:r>
      <w:rPr>
        <w:noProof/>
        <w:lang w:val="en-US" w:eastAsia="zh-CN"/>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47B"/>
    <w:multiLevelType w:val="hybridMultilevel"/>
    <w:tmpl w:val="D00E64E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FE8E2DC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768C3534"/>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834D74A"/>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0C5A4534"/>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CCB6DB5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500BFF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6868D5A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F594CCEE"/>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1046B40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69380A6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5664D5BC"/>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60202C2C"/>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C18E3"/>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da-DK"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F6378-F102-41CC-8FDF-5BC8FC33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3816</Words>
  <Characters>21873</Characters>
  <Application>Microsoft Office Word</Application>
  <DocSecurity>0</DocSecurity>
  <Lines>182</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Geschäfts- und Verfahrensordnung</vt:lpstr>
      <vt:lpstr>Geschäfts- und Verfahrensordnung</vt:lpstr>
    </vt:vector>
  </TitlesOfParts>
  <Company>Bayer. Sozialgerichtsbarkeit</Company>
  <LinksUpToDate>false</LinksUpToDate>
  <CharactersWithSpaces>25638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Nielsen, Tanja</cp:lastModifiedBy>
  <cp:revision>2</cp:revision>
  <cp:lastPrinted>2014-01-13T11:15:00Z</cp:lastPrinted>
  <dcterms:created xsi:type="dcterms:W3CDTF">2020-12-30T14:14:00Z</dcterms:created>
  <dcterms:modified xsi:type="dcterms:W3CDTF">2020-12-30T14:14:00Z</dcterms:modified>
</cp:coreProperties>
</file>