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4A440" w14:textId="77777777" w:rsidR="003574F8" w:rsidRPr="003574F8" w:rsidRDefault="003574F8" w:rsidP="003574F8">
      <w:pPr>
        <w:jc w:val="center"/>
        <w:rPr>
          <w:rFonts w:ascii="Courier New" w:hAnsi="Courier New"/>
          <w:sz w:val="20"/>
        </w:rPr>
      </w:pPr>
      <w:r>
        <w:rPr>
          <w:rFonts w:ascii="Courier New" w:hAnsi="Courier New"/>
          <w:sz w:val="20"/>
        </w:rPr>
        <w:t>1. ------IND- 2020 0813 D-- FI- ------ 20201231 --- --- PROJET</w:t>
      </w:r>
    </w:p>
    <w:p w14:paraId="303E37AB" w14:textId="77777777" w:rsidR="00A211F5" w:rsidRPr="003574F8" w:rsidRDefault="00A211F5" w:rsidP="00A211F5">
      <w:pPr>
        <w:spacing w:before="120" w:line="320" w:lineRule="exact"/>
        <w:rPr>
          <w:rFonts w:ascii="Verdana" w:hAnsi="Verdana"/>
          <w:sz w:val="16"/>
          <w:szCs w:val="16"/>
        </w:rPr>
      </w:pPr>
      <w:r>
        <w:rPr>
          <w:rFonts w:ascii="Verdana" w:hAnsi="Verdana"/>
          <w:sz w:val="16"/>
          <w:szCs w:val="16"/>
        </w:rPr>
        <w:t>Laadittu: 16.12.2020</w:t>
      </w:r>
    </w:p>
    <w:p w14:paraId="5DEA5DE1" w14:textId="77777777"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14:paraId="03207AE0" w14:textId="77777777" w:rsidR="009C24A4" w:rsidRPr="00077B73" w:rsidRDefault="009C24A4">
      <w:pPr>
        <w:autoSpaceDE w:val="0"/>
        <w:autoSpaceDN w:val="0"/>
        <w:adjustRightInd w:val="0"/>
        <w:jc w:val="center"/>
        <w:rPr>
          <w:rFonts w:ascii="Calibri" w:hAnsi="Calibri"/>
          <w:sz w:val="22"/>
          <w:szCs w:val="22"/>
        </w:rPr>
      </w:pPr>
    </w:p>
    <w:p w14:paraId="101699B4" w14:textId="77777777"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szCs w:val="22"/>
        </w:rPr>
        <w:t>Perussääntö</w:t>
      </w:r>
      <w:r>
        <w:rPr>
          <w:rFonts w:asciiTheme="minorHAnsi" w:hAnsiTheme="minorHAnsi"/>
          <w:b/>
          <w:bCs/>
          <w:sz w:val="22"/>
          <w:szCs w:val="22"/>
        </w:rPr>
        <w:t xml:space="preserve"> viestintäkanavia ja käyttöliittymiä koskevien mediavaltiosopimuksen määräysten täsmentämiseksi </w:t>
      </w:r>
    </w:p>
    <w:p w14:paraId="4E1335F4" w14:textId="77777777"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14:paraId="5209BEE3" w14:textId="77777777"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(MB-perussääntö)</w:t>
      </w:r>
    </w:p>
    <w:p w14:paraId="5AECDDDC" w14:textId="77777777"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14:paraId="4C082121" w14:textId="77777777"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annettu… [</w:t>
      </w:r>
      <w:proofErr w:type="gramStart"/>
      <w:r>
        <w:rPr>
          <w:rFonts w:ascii="Calibri" w:hAnsi="Calibri"/>
          <w:b/>
          <w:sz w:val="22"/>
          <w:szCs w:val="22"/>
        </w:rPr>
        <w:t>pvm</w:t>
      </w:r>
      <w:proofErr w:type="gramEnd"/>
      <w:r>
        <w:rPr>
          <w:rFonts w:ascii="Calibri" w:hAnsi="Calibri"/>
          <w:b/>
          <w:sz w:val="22"/>
          <w:szCs w:val="22"/>
        </w:rPr>
        <w:t>]</w:t>
      </w:r>
    </w:p>
    <w:p w14:paraId="6EEBD184" w14:textId="77777777"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14:paraId="67D1AFAF" w14:textId="264F8F67" w:rsidR="00F71879" w:rsidRPr="00077B73" w:rsidRDefault="00F57DE5" w:rsidP="00F71879">
      <w:pPr>
        <w:spacing w:line="276" w:lineRule="auto"/>
        <w:rPr>
          <w:rFonts w:ascii="Calibri" w:eastAsia="Calibri" w:hAnsi="Calibri"/>
          <w:bCs/>
          <w:sz w:val="22"/>
          <w:szCs w:val="22"/>
        </w:rPr>
      </w:pPr>
      <w:r>
        <w:rPr>
          <w:rFonts w:asciiTheme="minorHAnsi" w:hAnsiTheme="minorHAnsi"/>
          <w:bCs/>
          <w:sz w:val="22"/>
          <w:szCs w:val="22"/>
        </w:rPr>
        <w:t>[Osavaltion mediaviranomaisen nimi] antaa 14–28 päivänä huhtikuuta 2020 tehdyn mediavaltiosopimuksen (</w:t>
      </w:r>
      <w:proofErr w:type="spellStart"/>
      <w:r>
        <w:rPr>
          <w:rFonts w:asciiTheme="minorHAnsi" w:hAnsiTheme="minorHAnsi"/>
          <w:bCs/>
          <w:sz w:val="22"/>
          <w:szCs w:val="22"/>
        </w:rPr>
        <w:t>MStV</w:t>
      </w:r>
      <w:proofErr w:type="spellEnd"/>
      <w:r>
        <w:rPr>
          <w:rFonts w:asciiTheme="minorHAnsi" w:hAnsiTheme="minorHAnsi"/>
          <w:bCs/>
          <w:sz w:val="22"/>
          <w:szCs w:val="22"/>
        </w:rPr>
        <w:t xml:space="preserve">) (... viitetiedot) 84 §:n 8 momentin ja </w:t>
      </w:r>
      <w:r>
        <w:rPr>
          <w:rFonts w:ascii="Calibri" w:hAnsi="Calibri"/>
          <w:sz w:val="22"/>
          <w:szCs w:val="22"/>
        </w:rPr>
        <w:t>88 §:n</w:t>
      </w:r>
      <w:r>
        <w:rPr>
          <w:rFonts w:asciiTheme="minorHAnsi" w:hAnsiTheme="minorHAnsi"/>
          <w:bCs/>
          <w:sz w:val="22"/>
          <w:szCs w:val="22"/>
        </w:rPr>
        <w:t xml:space="preserve"> </w:t>
      </w:r>
      <w:r>
        <w:rPr>
          <w:rFonts w:ascii="Calibri" w:hAnsi="Calibri"/>
          <w:sz w:val="22"/>
          <w:szCs w:val="22"/>
        </w:rPr>
        <w:t xml:space="preserve">nojalla yhteisymmärryksessä </w:t>
      </w:r>
      <w:r>
        <w:rPr>
          <w:rFonts w:ascii="Calibri" w:hAnsi="Calibri"/>
          <w:bCs/>
          <w:sz w:val="22"/>
          <w:szCs w:val="22"/>
        </w:rPr>
        <w:t xml:space="preserve">muiden osavaltioiden mediaviranomaisten kanssa </w:t>
      </w:r>
      <w:r>
        <w:rPr>
          <w:rFonts w:ascii="Calibri" w:hAnsi="Calibri"/>
          <w:sz w:val="22"/>
          <w:szCs w:val="22"/>
        </w:rPr>
        <w:t xml:space="preserve">seuraavan </w:t>
      </w:r>
      <w:r>
        <w:rPr>
          <w:rFonts w:ascii="Calibri" w:hAnsi="Calibri"/>
          <w:bCs/>
          <w:sz w:val="22"/>
          <w:szCs w:val="22"/>
        </w:rPr>
        <w:t>perussäännön:</w:t>
      </w:r>
    </w:p>
    <w:p w14:paraId="724DBACA" w14:textId="77777777" w:rsidR="00DB7447" w:rsidRPr="00077B73" w:rsidRDefault="00DB7447" w:rsidP="00F71879">
      <w:pPr>
        <w:spacing w:line="276" w:lineRule="auto"/>
        <w:rPr>
          <w:rFonts w:ascii="Calibri" w:eastAsia="Calibri" w:hAnsi="Calibri"/>
          <w:bCs/>
          <w:sz w:val="22"/>
          <w:szCs w:val="22"/>
          <w:lang w:eastAsia="en-US"/>
        </w:rPr>
      </w:pPr>
    </w:p>
    <w:p w14:paraId="2B03DF01"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1 jakso: Yleiset määräykset</w:t>
      </w:r>
    </w:p>
    <w:p w14:paraId="4E8EFA83" w14:textId="77777777"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14:paraId="5E2D4290" w14:textId="77777777"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1 §</w:t>
      </w:r>
      <w:r>
        <w:rPr>
          <w:rFonts w:ascii="Calibri" w:hAnsi="Calibri"/>
          <w:b/>
          <w:sz w:val="22"/>
          <w:szCs w:val="22"/>
        </w:rPr>
        <w:br/>
        <w:t>Tarkoitus, soveltamisala</w:t>
      </w:r>
    </w:p>
    <w:p w14:paraId="095F7964" w14:textId="77777777" w:rsidR="00F33BCA" w:rsidRPr="00077B73" w:rsidRDefault="00F33BCA" w:rsidP="00077B73">
      <w:pPr>
        <w:keepNext/>
        <w:spacing w:line="276" w:lineRule="auto"/>
        <w:jc w:val="center"/>
        <w:rPr>
          <w:rFonts w:ascii="Calibri" w:eastAsia="Calibri" w:hAnsi="Calibri"/>
          <w:b/>
          <w:sz w:val="22"/>
          <w:szCs w:val="22"/>
          <w:lang w:eastAsia="en-US"/>
        </w:rPr>
      </w:pPr>
    </w:p>
    <w:p w14:paraId="2EC09419" w14:textId="77777777"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(1) </w:t>
      </w:r>
      <w:r>
        <w:rPr>
          <w:rFonts w:asciiTheme="minorHAnsi" w:hAnsiTheme="minorHAnsi"/>
          <w:bCs/>
          <w:sz w:val="22"/>
          <w:szCs w:val="22"/>
          <w:vertAlign w:val="superscript"/>
        </w:rPr>
        <w:t>1</w:t>
      </w:r>
      <w:r>
        <w:rPr>
          <w:rFonts w:asciiTheme="minorHAnsi" w:hAnsiTheme="minorHAnsi"/>
          <w:bCs/>
          <w:sz w:val="22"/>
          <w:szCs w:val="22"/>
        </w:rPr>
        <w:t xml:space="preserve">Perussäännöllä säännellään </w:t>
      </w:r>
      <w:r>
        <w:rPr>
          <w:rFonts w:ascii="Calibri" w:hAnsi="Calibri"/>
          <w:sz w:val="22"/>
          <w:szCs w:val="22"/>
        </w:rPr>
        <w:t>mediavaltiosopimuksen</w:t>
      </w:r>
      <w:r>
        <w:rPr>
          <w:rFonts w:asciiTheme="minorHAnsi" w:hAnsiTheme="minorHAnsi"/>
          <w:bCs/>
          <w:sz w:val="22"/>
          <w:szCs w:val="22"/>
        </w:rPr>
        <w:t xml:space="preserve"> 84 §:n 8 momentin ja 88 §:n mukaisesti mediavaltiosopimuksen V jakson 2 alajakson viestintäkanavia ja käyttöliittymiä koskevien säännösten (mediavaltiosopimuksen 78–88 §) sisällöllisen ja menettelyllisen täsmentämisen yksityiskohtia. </w:t>
      </w:r>
      <w:r>
        <w:rPr>
          <w:rFonts w:asciiTheme="minorHAnsi" w:hAnsiTheme="minorHAnsi"/>
          <w:bCs/>
          <w:sz w:val="22"/>
          <w:szCs w:val="22"/>
          <w:vertAlign w:val="superscript"/>
        </w:rPr>
        <w:t>2</w:t>
      </w:r>
      <w:r>
        <w:rPr>
          <w:rFonts w:asciiTheme="minorHAnsi" w:hAnsiTheme="minorHAnsi"/>
          <w:bCs/>
          <w:sz w:val="22"/>
          <w:szCs w:val="22"/>
        </w:rPr>
        <w:t xml:space="preserve">Sen tarkoituksena on turvata mielipiteiden moninaisuus (tarjonnan ja tarjoajien moninaisuus). </w:t>
      </w:r>
    </w:p>
    <w:p w14:paraId="2CFE4159" w14:textId="77777777"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14:paraId="311DCB00" w14:textId="77777777"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Perussäännön säännöksiä sovelletaan viestintäkanaviin ja käyttöliittymiin. </w:t>
      </w:r>
      <w:r>
        <w:rPr>
          <w:rFonts w:asciiTheme="minorHAnsi" w:hAnsiTheme="minorHAnsi"/>
          <w:sz w:val="22"/>
          <w:szCs w:val="22"/>
          <w:vertAlign w:val="superscript"/>
        </w:rPr>
        <w:t>2</w:t>
      </w:r>
      <w:r>
        <w:rPr>
          <w:rFonts w:asciiTheme="minorHAnsi" w:hAnsiTheme="minorHAnsi"/>
          <w:sz w:val="22"/>
          <w:szCs w:val="22"/>
        </w:rPr>
        <w:t xml:space="preserve">Perussäännön 1, 2, 3 ja 12 §:ää ja sitä seuraavia pykäliä lukuun ottamatta säännöksiä ei sovelleta viestintäkanaviin ja käyttöliittymiin, joilla on vähäinen merkitys tarjonnan ja mielipiteen moninaisuuden kannalta. </w:t>
      </w:r>
      <w:r>
        <w:rPr>
          <w:rFonts w:asciiTheme="minorHAnsi" w:hAnsiTheme="minorHAnsi"/>
          <w:sz w:val="22"/>
          <w:szCs w:val="22"/>
          <w:vertAlign w:val="superscript"/>
        </w:rPr>
        <w:t>3</w:t>
      </w:r>
      <w:r>
        <w:rPr>
          <w:rFonts w:asciiTheme="minorHAnsi" w:hAnsiTheme="minorHAnsi"/>
          <w:sz w:val="22"/>
          <w:szCs w:val="22"/>
        </w:rPr>
        <w:t>Tästä on kyse pääsääntöisesti silloin, kun viestintäkanava tai käyttöliittymä alittaa mediavaltiosopimuksen 78 §:n toisen virkkeen 1 ja 2 alamomentissa tarkoitetut kynnykset.</w:t>
      </w:r>
    </w:p>
    <w:p w14:paraId="5F018668" w14:textId="77777777"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14:paraId="588E2197" w14:textId="77777777"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Sellaiset viestintäkanavat ovat infrastruktuuriin sidottuja, joissa viestintäkanavan tarjoaja valvoo samalla siirtoinfrastruktuuria ottokohdasta verkon liityntäpisteeseen. </w:t>
      </w:r>
      <w:r>
        <w:rPr>
          <w:rFonts w:asciiTheme="minorHAnsi" w:hAnsiTheme="minorHAnsi"/>
          <w:sz w:val="22"/>
          <w:szCs w:val="22"/>
          <w:vertAlign w:val="superscript"/>
        </w:rPr>
        <w:t>2</w:t>
      </w:r>
      <w:r>
        <w:rPr>
          <w:rFonts w:asciiTheme="minorHAnsi" w:hAnsiTheme="minorHAnsi"/>
          <w:sz w:val="22"/>
          <w:szCs w:val="22"/>
        </w:rPr>
        <w:t>Valvonta voidaan myös toteuttaa tarjoajan ja siirtoinfrastruktuurin haltijan välisellä sopimuksella.</w:t>
      </w:r>
    </w:p>
    <w:p w14:paraId="5FAB8794"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527D1DEB" w14:textId="77777777" w:rsidR="00F57DE5" w:rsidRPr="00077B73" w:rsidRDefault="00F71879" w:rsidP="00077B73">
      <w:pPr>
        <w:keepNext/>
        <w:spacing w:line="276" w:lineRule="auto"/>
        <w:rPr>
          <w:rFonts w:asciiTheme="minorHAnsi" w:eastAsia="Calibri" w:hAnsiTheme="minorHAnsi" w:cstheme="minorHAnsi"/>
          <w:sz w:val="22"/>
          <w:szCs w:val="22"/>
        </w:rPr>
      </w:pPr>
      <w:bookmarkStart w:id="0" w:name="_Hlk46137526"/>
      <w:r>
        <w:rPr>
          <w:rFonts w:asciiTheme="minorHAnsi" w:hAnsiTheme="minorHAnsi"/>
          <w:sz w:val="22"/>
          <w:szCs w:val="22"/>
        </w:rPr>
        <w:t>(4) Mediavaltiosopimuksen 78 §:n toisen virkkeen 1 alamomentin mukaisiin kaapeliverkkoon sidottuihin viestintäkanaviin ja niiden käyttöliittymiin liitetyt asuinyksiköt määritetään seuraavien säännösten mukaisesti:</w:t>
      </w:r>
    </w:p>
    <w:p w14:paraId="24F1A274" w14:textId="77777777"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Kaikki kaapeliverkkoon sidotun </w:t>
      </w:r>
      <w:r>
        <w:rPr>
          <w:rFonts w:ascii="Calibri" w:hAnsi="Calibri"/>
          <w:sz w:val="22"/>
          <w:szCs w:val="22"/>
        </w:rPr>
        <w:t>viestintäkanavan tarjoajan asiaankuuluvat verkot</w:t>
      </w:r>
      <w:r>
        <w:rPr>
          <w:rFonts w:asciiTheme="minorHAnsi" w:hAnsiTheme="minorHAnsi"/>
          <w:sz w:val="22"/>
          <w:szCs w:val="22"/>
        </w:rPr>
        <w:t xml:space="preserve"> huomioidaan kootusti.</w:t>
      </w:r>
    </w:p>
    <w:p w14:paraId="64F20D10" w14:textId="77777777"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Kaapeliverkkoon sidottujen viestintäkanavien mediavaltiosopimuksen 78 §:n toisen virkkeen 1 alamomentissa tarkoitettuja liitettyjä asuinyksiköitä ovat asuinyksiköt, joissa on fyysinen verkon liityntäpiste, jolla loppukäyttäjälle tarjotaan pääsy kaapeliverkkoon, mikäli verkon liityntäpisteestä on tehty sopimus, jonka perusteella loppukäyttäjä on oikeutettu vastaanottamaan yleisradio-ohjelmia.</w:t>
      </w:r>
    </w:p>
    <w:p w14:paraId="34EBFF3F"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5CABE4F5" w14:textId="77777777"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lastRenderedPageBreak/>
        <w:t>(5) Mediavaltiosopimuksen 78 §:n toisen virkkeen 2 alamomentin mukaisten todellisten päivittäisten käyttäjien määritykseen sovelletaan seuraavia säännöksiä:</w:t>
      </w:r>
    </w:p>
    <w:p w14:paraId="497B795F"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Muun kuin infrastruktuuriin sidotun viestintäkanavan tai käyttöliittymän todellisia päivittäisiä käyttäjiä ovat käyttäjät, jotka käyttävät viestintäkanavaa tai käyttöliittymää päivän aikana. Saman käyttäjän useat käyttökerrat lasketaan vain kerran (</w:t>
      </w:r>
      <w:proofErr w:type="spellStart"/>
      <w:r>
        <w:rPr>
          <w:rFonts w:ascii="Calibri" w:hAnsi="Calibri"/>
          <w:sz w:val="22"/>
          <w:szCs w:val="22"/>
        </w:rPr>
        <w:t>unique</w:t>
      </w:r>
      <w:proofErr w:type="spellEnd"/>
      <w:r>
        <w:rPr>
          <w:rFonts w:ascii="Calibri" w:hAnsi="Calibri"/>
          <w:sz w:val="22"/>
          <w:szCs w:val="22"/>
        </w:rPr>
        <w:t xml:space="preserve"> </w:t>
      </w:r>
      <w:proofErr w:type="spellStart"/>
      <w:r>
        <w:rPr>
          <w:rFonts w:ascii="Calibri" w:hAnsi="Calibri"/>
          <w:sz w:val="22"/>
          <w:szCs w:val="22"/>
        </w:rPr>
        <w:t>user</w:t>
      </w:r>
      <w:proofErr w:type="spellEnd"/>
      <w:r>
        <w:rPr>
          <w:rFonts w:ascii="Calibri" w:hAnsi="Calibri"/>
          <w:sz w:val="22"/>
          <w:szCs w:val="22"/>
        </w:rPr>
        <w:t>).</w:t>
      </w:r>
    </w:p>
    <w:p w14:paraId="20EC20B5"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Viestintäkanavan tai käyttöliittymän ensimmäisen valintatason käyttö on merkitsevää. Jos viestintäkanava on sen sijaan monialaisen tarjonnan erotettavissa oleva osa, erotettavissa olevan toiminnon </w:t>
      </w:r>
      <w:proofErr w:type="spellStart"/>
      <w:r>
        <w:rPr>
          <w:rFonts w:ascii="Calibri" w:hAnsi="Calibri"/>
          <w:sz w:val="22"/>
          <w:szCs w:val="22"/>
        </w:rPr>
        <w:t>unique</w:t>
      </w:r>
      <w:proofErr w:type="spellEnd"/>
      <w:r>
        <w:rPr>
          <w:rFonts w:ascii="Calibri" w:hAnsi="Calibri"/>
          <w:sz w:val="22"/>
          <w:szCs w:val="22"/>
        </w:rPr>
        <w:t xml:space="preserve"> </w:t>
      </w:r>
      <w:proofErr w:type="spellStart"/>
      <w:r>
        <w:rPr>
          <w:rFonts w:ascii="Calibri" w:hAnsi="Calibri"/>
          <w:sz w:val="22"/>
          <w:szCs w:val="22"/>
        </w:rPr>
        <w:t>user</w:t>
      </w:r>
      <w:proofErr w:type="spellEnd"/>
      <w:r>
        <w:rPr>
          <w:rFonts w:ascii="Calibri" w:hAnsi="Calibri"/>
          <w:sz w:val="22"/>
          <w:szCs w:val="22"/>
        </w:rPr>
        <w:t xml:space="preserve"> ‑luvut ovat merkitseviä.</w:t>
      </w:r>
    </w:p>
    <w:p w14:paraId="1DAF8883"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Jos yleisradio-ohjelmien, yleisradion kaltaisten telemedioiden tai mediavaltiosopimuksen 19 §:n 1 momentissa tarkoitettujen telemedioiden käytön edellytyksenä on pelkkä rekisteröityminen tai sisäänkirjautuminen, </w:t>
      </w:r>
      <w:proofErr w:type="spellStart"/>
      <w:r>
        <w:rPr>
          <w:rFonts w:ascii="Calibri" w:hAnsi="Calibri"/>
          <w:sz w:val="22"/>
          <w:szCs w:val="22"/>
        </w:rPr>
        <w:t>unique</w:t>
      </w:r>
      <w:proofErr w:type="spellEnd"/>
      <w:r>
        <w:rPr>
          <w:rFonts w:ascii="Calibri" w:hAnsi="Calibri"/>
          <w:sz w:val="22"/>
          <w:szCs w:val="22"/>
        </w:rPr>
        <w:t xml:space="preserve"> </w:t>
      </w:r>
      <w:proofErr w:type="spellStart"/>
      <w:r>
        <w:rPr>
          <w:rFonts w:ascii="Calibri" w:hAnsi="Calibri"/>
          <w:sz w:val="22"/>
          <w:szCs w:val="22"/>
        </w:rPr>
        <w:t>user</w:t>
      </w:r>
      <w:proofErr w:type="spellEnd"/>
      <w:r>
        <w:rPr>
          <w:rFonts w:ascii="Calibri" w:hAnsi="Calibri"/>
          <w:sz w:val="22"/>
          <w:szCs w:val="22"/>
        </w:rPr>
        <w:t xml:space="preserve"> -lukujen mittaamisen kannalta merkitsevää on rekisteröitymisen tai sisäänkirjautumisen jälkeen saatavilla olevan ensimmäisen valintatason käyttö. </w:t>
      </w:r>
    </w:p>
    <w:p w14:paraId="7214CB60"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Jos todellisten päivittäisten käyttäjien määrää ei voida selvittää, käyttöliittymien osalta otetaan lähtökohdaksi myytyjen laitteiden lukumäärä.</w:t>
      </w:r>
    </w:p>
    <w:p w14:paraId="22CB0E26"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Edellä olevissa kuukausittaisen keskiarvon laskelmissa käytetään kuuden kuukauden ajanjaksoa. </w:t>
      </w:r>
    </w:p>
    <w:p w14:paraId="62EA8D69" w14:textId="77777777" w:rsidR="00F57DE5" w:rsidRPr="00077B73" w:rsidRDefault="00F57DE5" w:rsidP="00F57DE5">
      <w:pPr>
        <w:ind w:left="360"/>
        <w:contextualSpacing/>
        <w:jc w:val="both"/>
        <w:rPr>
          <w:rFonts w:asciiTheme="minorHAnsi" w:eastAsia="Calibri" w:hAnsiTheme="minorHAnsi" w:cstheme="minorHAnsi"/>
          <w:sz w:val="22"/>
          <w:szCs w:val="22"/>
          <w:lang w:eastAsia="en-US"/>
        </w:rPr>
      </w:pPr>
    </w:p>
    <w:p w14:paraId="5B3FEB88" w14:textId="77777777"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(6) Tarjoajan on osoitettava mediavaltiosopimuksen 78 §:n toisen virkkeen 1 ja 2 alamomentin edellytysten täyttyminen.</w:t>
      </w:r>
    </w:p>
    <w:p w14:paraId="3E3B99F2" w14:textId="77777777" w:rsidR="00F57DE5" w:rsidRPr="00077B73" w:rsidRDefault="00F57DE5" w:rsidP="00E22B72">
      <w:pPr>
        <w:spacing w:line="276" w:lineRule="auto"/>
        <w:jc w:val="center"/>
        <w:rPr>
          <w:rFonts w:ascii="Calibri" w:eastAsia="Calibri" w:hAnsi="Calibri"/>
          <w:b/>
          <w:sz w:val="22"/>
          <w:szCs w:val="22"/>
          <w:lang w:eastAsia="en-US"/>
        </w:rPr>
      </w:pPr>
    </w:p>
    <w:p w14:paraId="0F8DB514" w14:textId="77777777"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2 §</w:t>
      </w:r>
    </w:p>
    <w:p w14:paraId="4A6883C7"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Ilmoitus</w:t>
      </w:r>
    </w:p>
    <w:p w14:paraId="26943605" w14:textId="77777777" w:rsidR="00F33BCA" w:rsidRPr="00077B73" w:rsidRDefault="00F33BCA" w:rsidP="00077B73">
      <w:pPr>
        <w:keepNext/>
        <w:spacing w:line="276" w:lineRule="auto"/>
        <w:jc w:val="center"/>
        <w:rPr>
          <w:rFonts w:ascii="Calibri" w:eastAsia="Calibri" w:hAnsi="Calibri"/>
          <w:b/>
          <w:sz w:val="22"/>
          <w:szCs w:val="22"/>
          <w:lang w:eastAsia="en-US"/>
        </w:rPr>
      </w:pPr>
    </w:p>
    <w:p w14:paraId="1EE937A8" w14:textId="77777777"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Tarjoajat, jotka haluavat asettaa tarjolle viestintäkanavan tai käyttöliittymän, on ilmoitettava asiasta toimivaltaiselle osavaltion mediaviranomaiselle vähintään kuukautta ennen käyttöönottoa. </w:t>
      </w:r>
      <w:r>
        <w:rPr>
          <w:rFonts w:asciiTheme="minorHAnsi" w:hAnsiTheme="minorHAnsi"/>
          <w:sz w:val="22"/>
          <w:szCs w:val="22"/>
          <w:vertAlign w:val="superscript"/>
        </w:rPr>
        <w:t>2</w:t>
      </w:r>
      <w:r>
        <w:rPr>
          <w:rFonts w:asciiTheme="minorHAnsi" w:hAnsiTheme="minorHAnsi"/>
          <w:sz w:val="22"/>
          <w:szCs w:val="22"/>
        </w:rPr>
        <w:t xml:space="preserve">Jos tarjonnan käyttöönotto ei kuulu tarjoajan vastuualueeseen, ensimmäisessä virkkeessä tarkoitettu ilmoitusvelvollisuus perustuu markkinoille saattamisen ajankohtaan. </w:t>
      </w:r>
    </w:p>
    <w:p w14:paraId="7408F9B3" w14:textId="77777777" w:rsidR="00E22B72" w:rsidRPr="00077B73" w:rsidRDefault="00E22B72" w:rsidP="00E22B72">
      <w:pPr>
        <w:spacing w:line="276" w:lineRule="auto"/>
        <w:rPr>
          <w:rFonts w:asciiTheme="minorHAnsi" w:eastAsia="Calibri" w:hAnsiTheme="minorHAnsi" w:cstheme="minorHAnsi"/>
          <w:sz w:val="22"/>
          <w:szCs w:val="22"/>
          <w:lang w:eastAsia="en-US"/>
        </w:rPr>
      </w:pPr>
    </w:p>
    <w:p w14:paraId="176047C8" w14:textId="77777777"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Ilmoituksessa on annettava erityisesti seuraavat tiedot ja esitettävä seuraavat asiakirjat:</w:t>
      </w:r>
    </w:p>
    <w:p w14:paraId="63AE91F4" w14:textId="77777777"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tarjonnan kuvaus: tämä sisältää myös tiedon siitä, onko viestintäkanava infrastruktuuriin sidottu tai onko kyse infrastruktuuriin sidotun viestintäkanavan käyttöliittymästä,</w:t>
      </w:r>
    </w:p>
    <w:p w14:paraId="3B2236BA" w14:textId="77777777"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viestintäkanavan tai käyttöliittymän tarjoajana toimivan luonnollisen henkilön tai oikeushenkilön sekä kotipaikan tai toimipaikan nimeäminen,</w:t>
      </w:r>
    </w:p>
    <w:p w14:paraId="2A9A456E" w14:textId="77777777"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lakisääteisen rikosrekisteriotteen esittäminen viranomaiselle toimittamista varten tai vastaavan ulkomaisen asiakirjan esittäminen viestintäkanavan tai käyttöliittymän tarjoajana toimivan henkilön tai tätä lakisääteisesti tai sääntömääräisesti edustavan henkilön osalta; rikosrekisteriote ei saa olla laadittu yli puolta vuotta ennen sen esittämistä. Jos lakisääteisesti tai sääntömääräisesti edustavia henkilöitä on useita, ensimmäisessä virkkeessä tarkoitettu asiakirja on esitettävä vain niiden edustajien osalta, jotka vastaavat tarjontojen valinnasta tai yleiskatsauksen laadinnasta,</w:t>
      </w:r>
    </w:p>
    <w:p w14:paraId="7B6647DA" w14:textId="77777777"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tiedot teknisestä tai odotettavissa olevasta käytön laajuudesta. Tämä kattaa erityisesti tarkastusta varten mediavaltiosopimuksen 78 §:n toisen virkkeen ja tämän perussäännön 1 §:n 4–6 momentin mukaisesti tarvittavat tiedot.</w:t>
      </w:r>
    </w:p>
    <w:p w14:paraId="1DDF6D8F" w14:textId="77777777"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14:paraId="1F7AC810" w14:textId="77777777"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lastRenderedPageBreak/>
        <w:t xml:space="preserve">(3) Jos viestintäkanavan tai käyttöliittymän tarjoajan kotipaikka tai toimipaikka ei ole Saksassa, muussa Euroopan unionin jäsenvaltiossa tai muussa Euroopan talousalueesta tehdyn sopimuksen sopimusvaltiossa, tarjoajan on nimettävä ilmoituksen yhteydessä mediavaltiosopimuksen 79 §:n 1 momentin toisessa virkkeessä tarkoitettu valtuutettu edustaja ja esitettävä 2 momentin 3 alamomentissa tarkoitettu asiakirja. </w:t>
      </w:r>
    </w:p>
    <w:p w14:paraId="4459E1BB" w14:textId="77777777" w:rsidR="00F57DE5" w:rsidRPr="00077B73" w:rsidRDefault="00F57DE5" w:rsidP="00075A82">
      <w:pPr>
        <w:spacing w:line="276" w:lineRule="auto"/>
        <w:rPr>
          <w:rFonts w:asciiTheme="minorHAnsi" w:eastAsia="Calibri" w:hAnsiTheme="minorHAnsi" w:cstheme="minorHAnsi"/>
          <w:sz w:val="22"/>
          <w:szCs w:val="22"/>
          <w:lang w:eastAsia="en-US"/>
        </w:rPr>
      </w:pPr>
    </w:p>
    <w:p w14:paraId="4735AD8E" w14:textId="77777777"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Toimivaltainen mediaviranomainen voi lisäksi vaatia muiden, ilmoituksen arviointia varten tarvittavien asiakirjojen ja tietojen esittämistä.</w:t>
      </w:r>
    </w:p>
    <w:p w14:paraId="71500CA1" w14:textId="77777777" w:rsidR="00F57DE5" w:rsidRPr="00077B73" w:rsidRDefault="00F57DE5" w:rsidP="00075A82">
      <w:pPr>
        <w:spacing w:line="276" w:lineRule="auto"/>
        <w:jc w:val="center"/>
        <w:rPr>
          <w:rFonts w:ascii="Calibri" w:eastAsia="Calibri" w:hAnsi="Calibri"/>
          <w:b/>
          <w:sz w:val="22"/>
          <w:szCs w:val="22"/>
          <w:lang w:eastAsia="en-US"/>
        </w:rPr>
      </w:pPr>
    </w:p>
    <w:p w14:paraId="270179D8" w14:textId="77777777"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3 § </w:t>
      </w:r>
    </w:p>
    <w:p w14:paraId="7EAC28F5"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Signaalin koskemattomuus, päällekkäin asettelu ja skaalaus</w:t>
      </w:r>
    </w:p>
    <w:p w14:paraId="2DAC48E0" w14:textId="77777777" w:rsidR="00075A82" w:rsidRPr="00077B73" w:rsidRDefault="00075A82" w:rsidP="00077B73">
      <w:pPr>
        <w:keepNext/>
        <w:spacing w:line="276" w:lineRule="auto"/>
        <w:jc w:val="center"/>
        <w:rPr>
          <w:rFonts w:ascii="Calibri" w:eastAsia="Calibri" w:hAnsi="Calibri"/>
          <w:b/>
          <w:sz w:val="22"/>
          <w:szCs w:val="22"/>
          <w:lang w:eastAsia="en-US"/>
        </w:rPr>
      </w:pPr>
    </w:p>
    <w:p w14:paraId="4574753E" w14:textId="77777777"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(1) Mediavaltiosopimuksen 80 §:n 1 momentin 1 alamomentin mukaisesta teknisestä muutoksesta on kyse myös silloin, kun viestintäkanavan tarjoajat eivät lähetä eteenpäin teknisesti saataville asetettuja </w:t>
      </w:r>
      <w:proofErr w:type="spellStart"/>
      <w:r>
        <w:rPr>
          <w:rFonts w:asciiTheme="minorHAnsi" w:hAnsiTheme="minorHAnsi"/>
          <w:sz w:val="22"/>
          <w:szCs w:val="22"/>
        </w:rPr>
        <w:t>HbbTV</w:t>
      </w:r>
      <w:proofErr w:type="spellEnd"/>
      <w:r>
        <w:rPr>
          <w:rFonts w:asciiTheme="minorHAnsi" w:hAnsiTheme="minorHAnsi"/>
          <w:sz w:val="22"/>
          <w:szCs w:val="22"/>
        </w:rPr>
        <w:t>-signaaleja.</w:t>
      </w:r>
    </w:p>
    <w:p w14:paraId="1FC2AA63" w14:textId="77777777" w:rsidR="00F57DE5" w:rsidRPr="00077B73" w:rsidRDefault="00F57DE5" w:rsidP="00075A82">
      <w:pPr>
        <w:spacing w:line="276" w:lineRule="auto"/>
        <w:rPr>
          <w:rFonts w:asciiTheme="minorHAnsi" w:eastAsia="Calibri" w:hAnsiTheme="minorHAnsi" w:cstheme="minorHAnsi"/>
          <w:sz w:val="22"/>
          <w:szCs w:val="22"/>
          <w:lang w:eastAsia="en-US"/>
        </w:rPr>
      </w:pPr>
    </w:p>
    <w:p w14:paraId="0A0F49CC" w14:textId="77777777" w:rsidR="00F57DE5" w:rsidRPr="00077B73" w:rsidRDefault="00075A82" w:rsidP="00075A82">
      <w:pPr>
        <w:spacing w:line="276" w:lineRule="auto"/>
        <w:rPr>
          <w:rFonts w:asciiTheme="minorHAnsi" w:eastAsia="Calibri" w:hAnsiTheme="minorHAnsi" w:cstheme="minorHAnsi"/>
          <w:sz w:val="22"/>
          <w:szCs w:val="22"/>
        </w:rPr>
      </w:pPr>
      <w:bookmarkStart w:id="1" w:name="_Hlk49412973"/>
      <w:r>
        <w:rPr>
          <w:rFonts w:asciiTheme="minorHAnsi" w:hAnsiTheme="minorHAnsi"/>
          <w:sz w:val="22"/>
          <w:szCs w:val="22"/>
        </w:rPr>
        <w:t>(2) Mediavaltiosopimuksen 80 §:n 1 momentin 2 alamomentin mukaiseksi päällekkäin asetteluksi katsotaan akustiset tai visuaaliset sulautumat, jotka tapahtuvat ajallisesti välittömästi sen jälkeen, kun käyttäjä on tehnyt valinnan, ja ennen yleisradio-ohjelman alkua (</w:t>
      </w:r>
      <w:proofErr w:type="spellStart"/>
      <w:r>
        <w:rPr>
          <w:rFonts w:asciiTheme="minorHAnsi" w:hAnsiTheme="minorHAnsi"/>
          <w:sz w:val="22"/>
          <w:szCs w:val="22"/>
        </w:rPr>
        <w:t>pre</w:t>
      </w:r>
      <w:proofErr w:type="spellEnd"/>
      <w:r>
        <w:rPr>
          <w:rFonts w:asciiTheme="minorHAnsi" w:hAnsiTheme="minorHAnsi"/>
          <w:sz w:val="22"/>
          <w:szCs w:val="22"/>
        </w:rPr>
        <w:t xml:space="preserve">-roll) </w:t>
      </w:r>
    </w:p>
    <w:p w14:paraId="078EC292" w14:textId="77777777" w:rsidR="00F57DE5" w:rsidRPr="00077B73" w:rsidRDefault="00F57DE5" w:rsidP="00075A82">
      <w:pPr>
        <w:spacing w:line="276" w:lineRule="auto"/>
        <w:rPr>
          <w:rFonts w:asciiTheme="minorHAnsi" w:eastAsia="Calibri" w:hAnsiTheme="minorHAnsi" w:cstheme="minorHAnsi"/>
          <w:sz w:val="22"/>
          <w:szCs w:val="22"/>
          <w:lang w:eastAsia="en-US"/>
        </w:rPr>
      </w:pPr>
    </w:p>
    <w:p w14:paraId="0ACB1C01" w14:textId="77777777"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Mediavaltiosopimuksen 80 §:n 2 momentin toisen ja kolmannen virkkeen mukainen yksittäinen pyyntö perustuu käyttäjän yksiselitteiseen toimintaan, jolla käyttäjä ilmoittaa vapaaehtoisesti konkreettisen käyttötilanteen osalta yksiselitteisesti, että käyttäjä haluaa käynnistää päällekkäin asettelun tai skaalauksen. </w:t>
      </w:r>
      <w:r>
        <w:rPr>
          <w:rFonts w:asciiTheme="minorHAnsi" w:hAnsiTheme="minorHAnsi"/>
          <w:sz w:val="22"/>
          <w:szCs w:val="22"/>
          <w:vertAlign w:val="superscript"/>
        </w:rPr>
        <w:t>2</w:t>
      </w:r>
      <w:r>
        <w:rPr>
          <w:rFonts w:asciiTheme="minorHAnsi" w:hAnsiTheme="minorHAnsi"/>
          <w:sz w:val="22"/>
          <w:szCs w:val="22"/>
        </w:rPr>
        <w:t>Tästä on kyse erityisesti silloin, kun käyttäjä käyttää asianmukaisesti merkittyjä visuaalisia tai akustisia hallintalaitteita ristikuvan tai skaalauksen käynnistämiseksi.</w:t>
      </w:r>
    </w:p>
    <w:p w14:paraId="2CFE1859"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2AF8DAD6"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2 jakso: Varaussäännökset</w:t>
      </w:r>
    </w:p>
    <w:p w14:paraId="27F008AE" w14:textId="77777777" w:rsidR="00F57DE5" w:rsidRPr="00077B73" w:rsidRDefault="00F57DE5" w:rsidP="00077B73">
      <w:pPr>
        <w:keepNext/>
        <w:spacing w:line="276" w:lineRule="auto"/>
        <w:jc w:val="center"/>
        <w:rPr>
          <w:rFonts w:ascii="Calibri" w:eastAsia="Calibri" w:hAnsi="Calibri"/>
          <w:b/>
          <w:sz w:val="22"/>
          <w:szCs w:val="22"/>
          <w:lang w:eastAsia="en-US"/>
        </w:rPr>
      </w:pPr>
    </w:p>
    <w:p w14:paraId="3E89B2E2"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4 §</w:t>
      </w:r>
    </w:p>
    <w:p w14:paraId="43A0605E"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Infrastruktuuriin sidottuja viestintäkanavia koskevat varaussäännökset</w:t>
      </w:r>
    </w:p>
    <w:p w14:paraId="7A9DCEEF" w14:textId="77777777" w:rsidR="002C35D6" w:rsidRPr="00077B73" w:rsidRDefault="002C35D6" w:rsidP="00077B73">
      <w:pPr>
        <w:keepNext/>
        <w:spacing w:line="276" w:lineRule="auto"/>
        <w:jc w:val="center"/>
        <w:rPr>
          <w:rFonts w:ascii="Calibri" w:eastAsia="Calibri" w:hAnsi="Calibri"/>
          <w:b/>
          <w:sz w:val="22"/>
          <w:szCs w:val="22"/>
          <w:lang w:eastAsia="en-US"/>
        </w:rPr>
      </w:pPr>
    </w:p>
    <w:bookmarkEnd w:id="1"/>
    <w:p w14:paraId="1318B065" w14:textId="77777777"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Mediavaltiosopimuksen 81 §:n 2 momentin ensimmäisen virkkeen 1 alamomentin b ja c luetelmakohdan ja 81 §:n 3 momentin ensimmäisen virkkeen 1 alamomentin b luetelmakohdan mukaisen tarjonnan asianmukainen huomioiminen edellyttää, että</w:t>
      </w:r>
    </w:p>
    <w:p w14:paraId="3533D90D" w14:textId="77777777"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osoitetaan, että ensimmäisen virkkeen 1 alamomentin mukainen varauskapasiteetti ei riitä täyttämään kaikilta osin mediavaltiosopimuksen 81 §:n 2 momentin ensimmäisen virkkeen 1 alamomentin ja 81 §:n 3 momentin ensimmäisen virkkeen 1 alamomentin mukaisia levitysvelvollisuuksia;</w:t>
      </w:r>
    </w:p>
    <w:p w14:paraId="211A90B4" w14:textId="77777777"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eri standardeilla levitettävät ohjelmat lasketaan vain kerran;</w:t>
      </w:r>
    </w:p>
    <w:p w14:paraId="132E2016" w14:textId="77777777"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mediavaltiosopimuksen 81 §:n 2 momentin ensimmäisen virkkeen 1 alamomentin ja 81 §:n 3 momentin ensimmäisen virkkeen 1 alamomentin mukaiset ohjelmat, joita ei ole lakisääteisesti määritetty kyseiselle levitysalueelle, levitetään toissijaisesti mediavaltiosopimuksen 81 §:n 2 momentin ensimmäisen virkkeen 1 alamomentin b ja c luetelmakohdan ja 81 §:n 3 momentin ensimmäisen virkkeen 1 alamomentin mukaiseen tarjontaan nähden; </w:t>
      </w:r>
    </w:p>
    <w:p w14:paraId="6B91A589" w14:textId="77777777"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lastRenderedPageBreak/>
        <w:t>mediavaltiosopimuksen 81 §:n 2 momentin ensimmäisen virkkeen 1 alamomentin b ja c luetelmakohdan ja 81 §:n 3 momentin ensimmäisen virkkeen 1 alamomentin b luetelmakohdan mukaista tarjontaa ei poisteta kokonaan.</w:t>
      </w:r>
      <w:bookmarkEnd w:id="0"/>
    </w:p>
    <w:p w14:paraId="4D8865CA" w14:textId="77777777" w:rsidR="00590EAA" w:rsidRPr="00077B73" w:rsidRDefault="00590EAA" w:rsidP="00590EAA">
      <w:pPr>
        <w:spacing w:after="200" w:line="276" w:lineRule="auto"/>
        <w:ind w:left="720"/>
        <w:contextualSpacing/>
        <w:rPr>
          <w:rFonts w:ascii="Calibri" w:eastAsia="Calibri" w:hAnsi="Calibri"/>
          <w:sz w:val="22"/>
          <w:szCs w:val="22"/>
          <w:lang w:eastAsia="en-US"/>
        </w:rPr>
      </w:pPr>
    </w:p>
    <w:p w14:paraId="04B5DB51" w14:textId="77777777"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3 jakso:</w:t>
      </w:r>
      <w:r>
        <w:rPr>
          <w:rFonts w:asciiTheme="minorHAnsi" w:hAnsiTheme="minorHAnsi"/>
          <w:b/>
          <w:sz w:val="22"/>
          <w:szCs w:val="22"/>
        </w:rPr>
        <w:t xml:space="preserve"> Viestintäkanavia koskevat pääsyehdot</w:t>
      </w:r>
    </w:p>
    <w:p w14:paraId="4FAB593D"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7B8B5671"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5 § </w:t>
      </w:r>
    </w:p>
    <w:p w14:paraId="2B8032B9"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Yhtäläiset mahdollisuudet</w:t>
      </w:r>
    </w:p>
    <w:p w14:paraId="7026BED7"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197443EE"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Viestintäkanavien tarjoajien on järjestettävä pääsy viestintäkanavilleen siten, että tarjontaa ei heikennetä perusteettomasti mediavaltiosopimuksen 82 §:n 2 momentin mukaisesti välittömästi tai välillisesti leivityksen tai markkinoinnin yhteydessä.</w:t>
      </w:r>
    </w:p>
    <w:p w14:paraId="1C5EC4D3" w14:textId="77777777" w:rsidR="00F57DE5" w:rsidRPr="00077B73" w:rsidRDefault="00F57DE5" w:rsidP="002C35D6">
      <w:pPr>
        <w:spacing w:line="276" w:lineRule="auto"/>
        <w:rPr>
          <w:rFonts w:asciiTheme="minorHAnsi" w:eastAsia="Calibri" w:hAnsiTheme="minorHAnsi" w:cstheme="minorHAnsi"/>
          <w:sz w:val="22"/>
          <w:szCs w:val="22"/>
          <w:lang w:eastAsia="en-US"/>
        </w:rPr>
      </w:pPr>
    </w:p>
    <w:p w14:paraId="7AB19170"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Heikentämisen perusteettomuus on osoitettava punnitsemalla huolellisesti asianosaisten edut ja huomioimalla mielipiteen ja tarjonnan monimuotoisuuden takaamista koskevat mediavaltiosopimuksen ja tämän perussäännön tavoitteet.</w:t>
      </w:r>
    </w:p>
    <w:p w14:paraId="09257E23" w14:textId="77777777" w:rsidR="00F57DE5" w:rsidRPr="00077B73" w:rsidRDefault="00F57DE5" w:rsidP="002C35D6">
      <w:pPr>
        <w:spacing w:line="276" w:lineRule="auto"/>
        <w:rPr>
          <w:rFonts w:asciiTheme="minorHAnsi" w:eastAsia="Calibri" w:hAnsiTheme="minorHAnsi" w:cstheme="minorHAnsi"/>
          <w:sz w:val="22"/>
          <w:szCs w:val="22"/>
          <w:lang w:eastAsia="en-US"/>
        </w:rPr>
      </w:pPr>
    </w:p>
    <w:p w14:paraId="7E64AF58"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(3) Perusteettomasta heikentämisestä on kyse erityisesti silloin, kun viestintäkanavalle ei tarjota realistista pääsymahdollisuutta, vaikka se olisi teknisesti mahdollista ja sitä voisi taloudellisesti tarkastellen edellyttää, tai pääsyehdot johtavat mediavaltiosopimuksen 82 §:n 2 momentin mukaiseen tarjontojen rakenteelliseen eriarvoisuuteen.</w:t>
      </w:r>
    </w:p>
    <w:p w14:paraId="77A7D0BB" w14:textId="77777777" w:rsidR="00F57DE5" w:rsidRPr="00077B73" w:rsidRDefault="00F57DE5" w:rsidP="002C35D6">
      <w:pPr>
        <w:spacing w:line="276" w:lineRule="auto"/>
        <w:jc w:val="center"/>
        <w:rPr>
          <w:rFonts w:ascii="Calibri" w:eastAsia="Calibri" w:hAnsi="Calibri"/>
          <w:b/>
          <w:sz w:val="22"/>
          <w:szCs w:val="22"/>
          <w:lang w:eastAsia="en-US"/>
        </w:rPr>
      </w:pPr>
    </w:p>
    <w:p w14:paraId="7BFF893F"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6 § </w:t>
      </w:r>
    </w:p>
    <w:p w14:paraId="154124B5"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Syrjimättömyys</w:t>
      </w:r>
    </w:p>
    <w:p w14:paraId="7F2A001A"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0952E92C"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Viestintäkanavien tarjoajat eivät saa käsitellä mediavaltiosopimuksen 82 §:n 2 momentin mukaisesti tarjontoja eri tavoin kuin samankaltaisia tarjontoja ilman objektiivisesti pätevää syytä. </w:t>
      </w:r>
      <w:r>
        <w:rPr>
          <w:rFonts w:asciiTheme="minorHAnsi" w:hAnsiTheme="minorHAnsi"/>
          <w:sz w:val="22"/>
          <w:szCs w:val="22"/>
          <w:vertAlign w:val="superscript"/>
        </w:rPr>
        <w:t>2</w:t>
      </w:r>
      <w:r>
        <w:rPr>
          <w:rFonts w:asciiTheme="minorHAnsi" w:hAnsiTheme="minorHAnsi"/>
          <w:sz w:val="22"/>
          <w:szCs w:val="22"/>
        </w:rPr>
        <w:t xml:space="preserve">Tästä on kyse erityisesti silloin, kun viestintäkanavan tarjoaja tarjoaa pääsyn viestintäkanaville mediavaltiosopimuksen 82 §:n 2 momentin mukaiseen tarjontaan eri pääsyehdoin kuin yritykselle, joka kuuluu viestintäkanavan tarjoajaan, ellei tälle ole objektiivisesti pätevää syytä. </w:t>
      </w:r>
      <w:r>
        <w:rPr>
          <w:rFonts w:asciiTheme="minorHAnsi" w:hAnsiTheme="minorHAnsi"/>
          <w:sz w:val="22"/>
          <w:szCs w:val="22"/>
          <w:vertAlign w:val="superscript"/>
        </w:rPr>
        <w:t>3</w:t>
      </w:r>
      <w:r>
        <w:rPr>
          <w:rFonts w:asciiTheme="minorHAnsi" w:hAnsiTheme="minorHAnsi"/>
          <w:sz w:val="22"/>
          <w:szCs w:val="22"/>
        </w:rPr>
        <w:t>Sellaiset yritykset katsotaan yhteenkuuluviksi, joihin viestintäkanavan tarjoaja on suoraan tai välillisesti yhteydessä osakkuuden muodossa tai muulla tavalla. Mediavaltiosopimuksen 62 §:ää on sovellettava vastaavasti.</w:t>
      </w:r>
    </w:p>
    <w:p w14:paraId="4CC7FD0C" w14:textId="77777777" w:rsidR="00F57DE5" w:rsidRPr="00077B73" w:rsidRDefault="00F57DE5" w:rsidP="002C35D6">
      <w:pPr>
        <w:spacing w:line="276" w:lineRule="auto"/>
        <w:rPr>
          <w:rFonts w:asciiTheme="minorHAnsi" w:eastAsia="Calibri" w:hAnsiTheme="minorHAnsi" w:cstheme="minorHAnsi"/>
          <w:sz w:val="22"/>
          <w:szCs w:val="22"/>
          <w:lang w:eastAsia="en-US"/>
        </w:rPr>
      </w:pPr>
    </w:p>
    <w:p w14:paraId="2F439AD0"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Epätasa-arvoisen kohtelun objektiivisesti perustellun syyn on oltava mielipiteen moninaisuutta koskevan yleistavoitteen mukainen.</w:t>
      </w:r>
    </w:p>
    <w:p w14:paraId="4F96F527" w14:textId="77777777" w:rsidR="00C5646E" w:rsidRPr="00077B73" w:rsidRDefault="00C5646E" w:rsidP="002C35D6">
      <w:pPr>
        <w:spacing w:line="276" w:lineRule="auto"/>
        <w:jc w:val="center"/>
        <w:rPr>
          <w:rFonts w:ascii="Calibri" w:eastAsia="Calibri" w:hAnsi="Calibri"/>
          <w:b/>
          <w:sz w:val="22"/>
          <w:szCs w:val="22"/>
          <w:lang w:eastAsia="en-US"/>
        </w:rPr>
      </w:pPr>
    </w:p>
    <w:p w14:paraId="6D47BFF8"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7 § </w:t>
      </w:r>
    </w:p>
    <w:p w14:paraId="749C6F06"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Ehdollisen pääsyn järjestelmät</w:t>
      </w:r>
    </w:p>
    <w:p w14:paraId="305C229B"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59A85DAA" w14:textId="77777777"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Ehdollisen pääsyn järjestelmiä ovat </w:t>
      </w:r>
    </w:p>
    <w:p w14:paraId="2B1E15EE" w14:textId="77777777"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kaikki tekniset toimenpiteet, </w:t>
      </w:r>
    </w:p>
    <w:p w14:paraId="3C3C16C4" w14:textId="77777777"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kaikki todentamismenetelmät ja/tai </w:t>
      </w:r>
    </w:p>
    <w:p w14:paraId="684225BB" w14:textId="77777777"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kaikki laitteet, </w:t>
      </w:r>
    </w:p>
    <w:p w14:paraId="4CAE708B" w14:textId="77777777"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joiden perusteella suojattuun radio- tai televisiopalveluun pääsy salaamattomassa muodossa on riippuvainen tilauksesta tai muunlaisesta etukäteen annetusta yksilöllisestä luvasta.</w:t>
      </w:r>
    </w:p>
    <w:p w14:paraId="5B2056C4" w14:textId="77777777"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14:paraId="02AD87FB"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Mediavaltiosopimuksen 82 §:n 2 momentin 1 alamomentin mukaisiin ehdollisen pääsyn järjestelmiin sovelletaan säännöstä, jonka mukaan kaikille oikeutetutille on taattava tarvittavien teknisten palvelujen käyttömahdollisuus kyseisten järjestelmien käyttämiseksi ja tätä varten tarvittavat tiedot on annettava yhtäläisillä, kohtuullisilla ja syrjimättömillä ehdoilla.</w:t>
      </w:r>
    </w:p>
    <w:p w14:paraId="56465570" w14:textId="77777777" w:rsidR="00F57DE5" w:rsidRPr="00077B73" w:rsidRDefault="00F57DE5" w:rsidP="002C35D6">
      <w:pPr>
        <w:spacing w:line="276" w:lineRule="auto"/>
        <w:jc w:val="center"/>
        <w:rPr>
          <w:rFonts w:ascii="Calibri" w:eastAsia="Calibri" w:hAnsi="Calibri"/>
          <w:b/>
          <w:sz w:val="22"/>
          <w:szCs w:val="22"/>
          <w:lang w:eastAsia="en-US"/>
        </w:rPr>
      </w:pPr>
    </w:p>
    <w:p w14:paraId="63489ECD"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8 §</w:t>
      </w:r>
    </w:p>
    <w:p w14:paraId="74010BA4"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Pääsyehdot</w:t>
      </w:r>
    </w:p>
    <w:p w14:paraId="6728855E"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18914B7B"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Mediavaltiosopimuksen 82 §:n 2 momentin 4 alamomentin ja 83 §:n 2 momentin mukaisten pääsyehtojen toteutus käsittää tavan, jolla viestintäkanavien tarjoaja määrittää taloudellisilla ja teknisillä vaatimuksilla pääsyn viestintäkanavan mediavaltiosopimuksen 82 §:n 2 momentin mukaiseen tarjontaan.</w:t>
      </w:r>
    </w:p>
    <w:p w14:paraId="1909697B" w14:textId="77777777" w:rsidR="00F57DE5" w:rsidRPr="00077B73" w:rsidRDefault="00F57DE5" w:rsidP="002C35D6">
      <w:pPr>
        <w:spacing w:line="276" w:lineRule="auto"/>
        <w:rPr>
          <w:rFonts w:asciiTheme="minorHAnsi" w:eastAsia="Calibri" w:hAnsiTheme="minorHAnsi" w:cstheme="minorHAnsi"/>
          <w:sz w:val="22"/>
          <w:szCs w:val="22"/>
          <w:lang w:eastAsia="en-US"/>
        </w:rPr>
      </w:pPr>
    </w:p>
    <w:p w14:paraId="19204537" w14:textId="77777777"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Jos yleisradioyhtiö haluaa pääsyn viestintäkanavaan, syrjimättömyyden ja yhtäläisten mahdollisuuksien tarkastelussa on huomioitava kaikki rahanarvoiset suoritukset, jotka vaihdetaan tai on tarkoitus vaihtaa pääsyyn välillisesti tai välittömästi liittyvässä asiayhteydessä. Niihin kuuluvat erityisesti</w:t>
      </w:r>
    </w:p>
    <w:p w14:paraId="060C04EF" w14:textId="77777777"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maksut ja tariffit, jotka viestintäkanavan tarjoaja perii tai aikoo periä pääsyä anovalta yleisradioyhtiöltä,</w:t>
      </w:r>
    </w:p>
    <w:p w14:paraId="1625EFE9" w14:textId="77777777"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korvaukset, jotka viestintäkanavan tarjoaja perii tai aikoo periä sopimusperusteisesti yleisradioyhtiöltä signaalin luovuttamisesta, mukaan luettuina HD-CPS-mallien takaisinmaksut.</w:t>
      </w:r>
    </w:p>
    <w:p w14:paraId="48718221" w14:textId="77777777"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14:paraId="459A0694" w14:textId="77777777" w:rsidR="00F57DE5" w:rsidRPr="00077B73" w:rsidRDefault="001B0E42" w:rsidP="002C35D6">
      <w:pPr>
        <w:spacing w:line="276" w:lineRule="auto"/>
        <w:rPr>
          <w:rFonts w:asciiTheme="minorHAnsi" w:eastAsia="Calibri" w:hAnsiTheme="minorHAnsi" w:cstheme="minorHAnsi"/>
          <w:sz w:val="22"/>
          <w:szCs w:val="22"/>
        </w:rPr>
      </w:pPr>
      <w:bookmarkStart w:id="2" w:name="_Hlk46133246"/>
      <w:r>
        <w:rPr>
          <w:rFonts w:asciiTheme="minorHAnsi" w:hAnsiTheme="minorHAnsi"/>
          <w:sz w:val="22"/>
          <w:szCs w:val="22"/>
        </w:rPr>
        <w:t>(3) Tarvittavassa kokonaistarkastelussa voidaan, sikäli se tarpeellista pääsytilanteen arvioimiseksi, huomioida myös sellaisten oikeuksien myöntämistä ja korvaamista koskevat sopimukset, joita viestintäkanavan tarjoaja tekee tai aikoo tehdä yleisradioyhtiön kanssa tekijänoikeuksien tai tavaramerkkioikeuksien nojalla. Tämä ei vaikuta tekijänoikeuslain (</w:t>
      </w:r>
      <w:proofErr w:type="spellStart"/>
      <w:r>
        <w:rPr>
          <w:rFonts w:asciiTheme="minorHAnsi" w:hAnsiTheme="minorHAnsi"/>
          <w:sz w:val="22"/>
          <w:szCs w:val="22"/>
        </w:rPr>
        <w:t>UrhG</w:t>
      </w:r>
      <w:proofErr w:type="spellEnd"/>
      <w:r>
        <w:rPr>
          <w:rFonts w:asciiTheme="minorHAnsi" w:hAnsiTheme="minorHAnsi"/>
          <w:sz w:val="22"/>
          <w:szCs w:val="22"/>
        </w:rPr>
        <w:t>), tekijänoikeuksien käyttöä koskevan lain (</w:t>
      </w:r>
      <w:proofErr w:type="spellStart"/>
      <w:r>
        <w:rPr>
          <w:rFonts w:asciiTheme="minorHAnsi" w:hAnsiTheme="minorHAnsi"/>
          <w:sz w:val="22"/>
          <w:szCs w:val="22"/>
        </w:rPr>
        <w:t>UrhWahrG</w:t>
      </w:r>
      <w:proofErr w:type="spellEnd"/>
      <w:r>
        <w:rPr>
          <w:rFonts w:asciiTheme="minorHAnsi" w:hAnsiTheme="minorHAnsi"/>
          <w:sz w:val="22"/>
          <w:szCs w:val="22"/>
        </w:rPr>
        <w:t>) ja kilpailunrajoitusten vastaisen lain (GWB) säännösten ja niihin liittyvien valtuuksien soveltamiseen.</w:t>
      </w:r>
      <w:bookmarkEnd w:id="2"/>
    </w:p>
    <w:p w14:paraId="40FB2665" w14:textId="77777777" w:rsidR="00F57DE5" w:rsidRPr="00077B73" w:rsidRDefault="00F57DE5" w:rsidP="002C35D6">
      <w:pPr>
        <w:spacing w:line="276" w:lineRule="auto"/>
        <w:jc w:val="center"/>
        <w:rPr>
          <w:rFonts w:ascii="Calibri" w:eastAsia="Calibri" w:hAnsi="Calibri"/>
          <w:b/>
          <w:sz w:val="22"/>
          <w:szCs w:val="22"/>
          <w:lang w:eastAsia="en-US"/>
        </w:rPr>
      </w:pPr>
    </w:p>
    <w:p w14:paraId="7DFCC73B" w14:textId="77777777"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9 §</w:t>
      </w:r>
    </w:p>
    <w:p w14:paraId="65741AC4"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Tietojen ilmoittaminen</w:t>
      </w:r>
    </w:p>
    <w:p w14:paraId="3233C69E"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07576714" w14:textId="77777777"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Viestintäkanavien tarjoajat ovat velvollisia ilmoittamaan </w:t>
      </w:r>
    </w:p>
    <w:p w14:paraId="3F1A2F46" w14:textId="77777777"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mediavaltiosopimuksen 78 §:ssä tarkoitettujen sääntelykynnysten ylittyessä mediavaltiosopimuksen 82 §:n 2 momentissa ja 8 §:ssä tarkoitetut pääsyehdot </w:t>
      </w:r>
    </w:p>
    <w:p w14:paraId="6A94756E" w14:textId="77777777"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mediavaltiosopimuksen 81 §:n 2 momentin toisen virkkeen tapauksessa tiedot televisio-ohjelmien tai radio-ohjelmien digitaaliseen leivitykseen käytössä olevasta kokonaiskapasiteetista</w:t>
      </w:r>
    </w:p>
    <w:p w14:paraId="5C69F778" w14:textId="77777777"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pyynnöstä toimivalaisille osavaltion mediaviranomaiselle.</w:t>
      </w:r>
    </w:p>
    <w:p w14:paraId="68478FC2" w14:textId="77777777"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14:paraId="1C62E52A" w14:textId="77777777"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Tietojen ilmoittaminen tapahtuu esittämällä asianmukaiset asiakirjat.</w:t>
      </w:r>
    </w:p>
    <w:p w14:paraId="18FE2E03" w14:textId="77777777"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14:paraId="6A37F3F1" w14:textId="77777777"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lastRenderedPageBreak/>
        <w:t>(3) Ilmoituksen on sisällettävä erityisesti seuraavia kohtia koskevat tiedot:</w:t>
      </w:r>
    </w:p>
    <w:p w14:paraId="7F964FFF" w14:textId="77777777"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1 momentin 1 alamomentin tapauksessa</w:t>
      </w:r>
    </w:p>
    <w:p w14:paraId="4487D59C" w14:textId="77777777"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kaikki tekniset parametrit ja tekniset edellytykset, joiden tunteminen on tarpeen mediavaltiosopimuksen 82 §:n 2 momentin 1 ja 2 alamomentissa tarkoitetun pääsyn arvioimiseksi,</w:t>
      </w:r>
    </w:p>
    <w:p w14:paraId="2A1A91C6" w14:textId="77777777"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viestintäkanavien tarjoajien vaatimat maksut ja tariffit ja niiden laskennassa käytettävät tiedot ja yritystaloudelliset olettamukset,</w:t>
      </w:r>
    </w:p>
    <w:p w14:paraId="58571313" w14:textId="77777777"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kuvaus sovellettavasta korvausmenetelmästä.</w:t>
      </w:r>
    </w:p>
    <w:p w14:paraId="1F8397F2" w14:textId="77777777"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momentin 2 alamomentin tapauksessa </w:t>
      </w:r>
    </w:p>
    <w:p w14:paraId="1668E2CD" w14:textId="77777777"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tiedot siitä, mitä mahdollisuuksia on käytetty kapasiteetin tehokasta käyttöä varten,</w:t>
      </w:r>
    </w:p>
    <w:p w14:paraId="50D19BAD" w14:textId="77777777"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levitetäänkö ohjelmaa erilaisella levitysstandardilla ja jos niin millä.</w:t>
      </w:r>
    </w:p>
    <w:p w14:paraId="144E2773" w14:textId="77777777" w:rsidR="00CC7F6D" w:rsidRPr="00077B73" w:rsidRDefault="00CC7F6D" w:rsidP="00CC7F6D">
      <w:pPr>
        <w:spacing w:after="200" w:line="276" w:lineRule="auto"/>
        <w:contextualSpacing/>
        <w:rPr>
          <w:rFonts w:ascii="Calibri" w:eastAsia="Calibri" w:hAnsi="Calibri"/>
          <w:sz w:val="22"/>
          <w:szCs w:val="22"/>
          <w:lang w:eastAsia="en-US"/>
        </w:rPr>
      </w:pPr>
    </w:p>
    <w:p w14:paraId="154C13F6" w14:textId="77777777"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4 jakso:</w:t>
      </w:r>
      <w:r>
        <w:rPr>
          <w:rFonts w:asciiTheme="minorHAnsi" w:hAnsiTheme="minorHAnsi"/>
          <w:b/>
          <w:sz w:val="22"/>
          <w:szCs w:val="22"/>
        </w:rPr>
        <w:t xml:space="preserve"> Käyttöliittymiä koskevat säännökset</w:t>
      </w:r>
    </w:p>
    <w:p w14:paraId="22A68C27" w14:textId="77777777"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14:paraId="6A5B6817" w14:textId="77777777" w:rsidR="00074EC8" w:rsidRPr="00077B73" w:rsidRDefault="00F57DE5" w:rsidP="00077B73">
      <w:pPr>
        <w:keepNext/>
        <w:spacing w:line="276" w:lineRule="auto"/>
        <w:jc w:val="center"/>
        <w:rPr>
          <w:rFonts w:ascii="Calibri" w:eastAsia="Calibri" w:hAnsi="Calibri"/>
          <w:b/>
          <w:sz w:val="22"/>
          <w:szCs w:val="22"/>
        </w:rPr>
      </w:pPr>
      <w:bookmarkStart w:id="3" w:name="_Hlk46133330"/>
      <w:r>
        <w:rPr>
          <w:rFonts w:ascii="Calibri" w:hAnsi="Calibri"/>
          <w:b/>
          <w:sz w:val="22"/>
          <w:szCs w:val="22"/>
        </w:rPr>
        <w:t xml:space="preserve">10 § </w:t>
      </w:r>
    </w:p>
    <w:p w14:paraId="4FB535D6"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Haettavuus käyttöliittymissä</w:t>
      </w:r>
      <w:bookmarkEnd w:id="3"/>
    </w:p>
    <w:p w14:paraId="75DF39C4" w14:textId="77777777" w:rsidR="00074EC8" w:rsidRPr="00077B73" w:rsidRDefault="00074EC8" w:rsidP="00077B73">
      <w:pPr>
        <w:keepNext/>
        <w:spacing w:line="276" w:lineRule="auto"/>
        <w:jc w:val="center"/>
        <w:rPr>
          <w:rFonts w:ascii="Calibri" w:eastAsia="Calibri" w:hAnsi="Calibri"/>
          <w:b/>
          <w:sz w:val="22"/>
          <w:szCs w:val="22"/>
          <w:lang w:eastAsia="en-US"/>
        </w:rPr>
      </w:pPr>
    </w:p>
    <w:p w14:paraId="0FB80B0B" w14:textId="77777777" w:rsidR="00F57DE5" w:rsidRPr="00077B73" w:rsidRDefault="00F55623" w:rsidP="00F55623">
      <w:pPr>
        <w:spacing w:line="276" w:lineRule="auto"/>
        <w:rPr>
          <w:rFonts w:asciiTheme="minorHAnsi" w:eastAsia="Calibri" w:hAnsiTheme="minorHAnsi" w:cstheme="minorHAnsi"/>
          <w:sz w:val="22"/>
          <w:szCs w:val="22"/>
        </w:rPr>
      </w:pPr>
      <w:bookmarkStart w:id="4"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Merkitseviä tarjontojen ja sisältöjen haettavuudelle käyttöliittymissä ovat ennen kaikkea tarjontojen ja sisältöjen lajittelu, järjestys ja esittäminen sekä muut haettavuutta parantavat teksti-, kuva- ja äänimuodossa olevat esitysmuodot. </w:t>
      </w:r>
      <w:r>
        <w:rPr>
          <w:rFonts w:asciiTheme="minorHAnsi" w:hAnsiTheme="minorHAnsi"/>
          <w:sz w:val="22"/>
          <w:szCs w:val="22"/>
          <w:vertAlign w:val="superscript"/>
        </w:rPr>
        <w:t>2</w:t>
      </w:r>
      <w:r>
        <w:rPr>
          <w:rFonts w:asciiTheme="minorHAnsi" w:hAnsiTheme="minorHAnsi"/>
          <w:sz w:val="22"/>
          <w:szCs w:val="22"/>
        </w:rPr>
        <w:t xml:space="preserve">Tarjontoja ovat yksittäiset yleisradio-ohjelmat, yleisradion kaltaiset telemediat, mediavaltiosopimuksen 19 §:n 1 momentissa tarkoitetut telemediat sekä pääasiassa edellä mainittujen tarjontojen välittömään hallintaan tarkoitetut ohjelmistopohjaiset sovellukset kokonaisuudessaan. </w:t>
      </w:r>
      <w:r>
        <w:rPr>
          <w:rFonts w:asciiTheme="minorHAnsi" w:hAnsiTheme="minorHAnsi"/>
          <w:sz w:val="22"/>
          <w:szCs w:val="22"/>
          <w:vertAlign w:val="superscript"/>
        </w:rPr>
        <w:t>3</w:t>
      </w:r>
      <w:r>
        <w:rPr>
          <w:rFonts w:asciiTheme="minorHAnsi" w:hAnsiTheme="minorHAnsi"/>
          <w:sz w:val="22"/>
          <w:szCs w:val="22"/>
        </w:rPr>
        <w:t>Sisältöjä ovat erotettavissa olevat, erityisesti erikseen nimetyt tai seurattavat tarjonnan osat, kuten lähetykset.</w:t>
      </w:r>
    </w:p>
    <w:p w14:paraId="228C5BC5" w14:textId="77777777" w:rsidR="00F57DE5" w:rsidRPr="00077B73" w:rsidRDefault="00F57DE5" w:rsidP="00F55623">
      <w:pPr>
        <w:spacing w:line="276" w:lineRule="auto"/>
        <w:rPr>
          <w:rFonts w:asciiTheme="minorHAnsi" w:eastAsia="Calibri" w:hAnsiTheme="minorHAnsi" w:cstheme="minorHAnsi"/>
          <w:sz w:val="22"/>
          <w:szCs w:val="22"/>
          <w:lang w:eastAsia="en-US"/>
        </w:rPr>
      </w:pPr>
    </w:p>
    <w:p w14:paraId="7DA965EF" w14:textId="77777777"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Käyttöliittymien haettavuutta ja käyttöä koskevien vaatimusten osalta jäljempänä esitetyissä säännöksissä ratkaisevana pidetään sellaisen keskivertokäyttäjän ymmärrystä, jolla ei ole erityistä teknistä osaamista.</w:t>
      </w:r>
      <w:bookmarkEnd w:id="4"/>
    </w:p>
    <w:p w14:paraId="66B88C11" w14:textId="77777777" w:rsidR="00F57DE5" w:rsidRPr="00077B73" w:rsidRDefault="00F57DE5" w:rsidP="00F55623">
      <w:pPr>
        <w:spacing w:line="276" w:lineRule="auto"/>
        <w:rPr>
          <w:rFonts w:asciiTheme="minorHAnsi" w:eastAsia="Calibri" w:hAnsiTheme="minorHAnsi" w:cstheme="minorHAnsi"/>
          <w:sz w:val="22"/>
          <w:szCs w:val="22"/>
          <w:lang w:eastAsia="en-US"/>
        </w:rPr>
      </w:pPr>
    </w:p>
    <w:p w14:paraId="50E246F6" w14:textId="77777777"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Samankaltaisten tarjontojen tai sisältöjen on oltava yhtäläisesti ja syrjimättömästi haettavissa. </w:t>
      </w:r>
      <w:r>
        <w:rPr>
          <w:rFonts w:asciiTheme="minorHAnsi" w:hAnsiTheme="minorHAnsi"/>
          <w:sz w:val="22"/>
          <w:szCs w:val="22"/>
          <w:vertAlign w:val="superscript"/>
        </w:rPr>
        <w:t>2</w:t>
      </w:r>
      <w:r>
        <w:rPr>
          <w:rFonts w:asciiTheme="minorHAnsi" w:hAnsiTheme="minorHAnsi"/>
          <w:sz w:val="22"/>
          <w:szCs w:val="22"/>
        </w:rPr>
        <w:t xml:space="preserve">Epätasa-arvoinen kohtelu on sallittu vain silloin, kun sille on tarkastettavissa oleva objektiivinen syy, joka ei ole ristiriidassa monimuotoisuuden takaamista koskevan tavoitteen kanssa. </w:t>
      </w:r>
      <w:r>
        <w:rPr>
          <w:rFonts w:asciiTheme="minorHAnsi" w:hAnsiTheme="minorHAnsi"/>
          <w:sz w:val="22"/>
          <w:szCs w:val="22"/>
          <w:vertAlign w:val="superscript"/>
        </w:rPr>
        <w:t>3</w:t>
      </w:r>
      <w:r>
        <w:rPr>
          <w:rFonts w:asciiTheme="minorHAnsi" w:hAnsiTheme="minorHAnsi"/>
          <w:sz w:val="22"/>
          <w:szCs w:val="22"/>
        </w:rPr>
        <w:t>Tarjontojen ja sisältöjen lajittelun tai järjestyksen sallittuja kriteerejä ovat erityisesti</w:t>
      </w:r>
    </w:p>
    <w:p w14:paraId="13C91C98" w14:textId="77777777"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aakkosjärjestys,</w:t>
      </w:r>
    </w:p>
    <w:p w14:paraId="255AA2CD" w14:textId="77777777"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lajityypit, esimerkiksi tiedotus, opetus, kulttuuri, paikallisohjelmat tai viihde tai</w:t>
      </w:r>
    </w:p>
    <w:p w14:paraId="21245310" w14:textId="77777777"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käytön laajuus.</w:t>
      </w:r>
    </w:p>
    <w:p w14:paraId="09935652" w14:textId="77777777"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Tällä ei rajoiteta mahdollisuutta kehittää kriteerejä edelleen. </w:t>
      </w:r>
      <w:r>
        <w:rPr>
          <w:rFonts w:asciiTheme="minorHAnsi" w:hAnsiTheme="minorHAnsi"/>
          <w:sz w:val="22"/>
          <w:szCs w:val="22"/>
          <w:vertAlign w:val="superscript"/>
        </w:rPr>
        <w:t>5</w:t>
      </w:r>
      <w:r>
        <w:rPr>
          <w:rFonts w:asciiTheme="minorHAnsi" w:hAnsiTheme="minorHAnsi"/>
          <w:sz w:val="22"/>
          <w:szCs w:val="22"/>
        </w:rPr>
        <w:t xml:space="preserve">Syrjinnästä on kyse erityisesti silloin, kun käyttöliittymän tarjoaja poikkeaa omista sallituista kriteereistään. </w:t>
      </w:r>
      <w:r>
        <w:rPr>
          <w:rFonts w:asciiTheme="minorHAnsi" w:hAnsiTheme="minorHAnsi"/>
          <w:sz w:val="22"/>
          <w:szCs w:val="22"/>
          <w:vertAlign w:val="superscript"/>
        </w:rPr>
        <w:t>6</w:t>
      </w:r>
      <w:r>
        <w:rPr>
          <w:rFonts w:asciiTheme="minorHAnsi" w:hAnsiTheme="minorHAnsi"/>
          <w:sz w:val="22"/>
          <w:szCs w:val="22"/>
        </w:rPr>
        <w:t xml:space="preserve">Tarjoajan on taattava osavaltioiden mediaviranomaisille kriteerien tarkastettavuus ja niiden noudattaminen ja esitettävä erityisesti yksittäin, mitä kriteerejä käytetään ja mihin tietoihin ne perustuvat. </w:t>
      </w:r>
      <w:r>
        <w:rPr>
          <w:rFonts w:asciiTheme="minorHAnsi" w:hAnsiTheme="minorHAnsi"/>
          <w:sz w:val="22"/>
          <w:szCs w:val="22"/>
          <w:vertAlign w:val="superscript"/>
        </w:rPr>
        <w:t>7</w:t>
      </w:r>
      <w:r>
        <w:rPr>
          <w:rFonts w:asciiTheme="minorHAnsi" w:hAnsiTheme="minorHAnsi"/>
          <w:sz w:val="22"/>
          <w:szCs w:val="22"/>
        </w:rPr>
        <w:t xml:space="preserve">Kiellettyä on pääsääntöisesti </w:t>
      </w:r>
    </w:p>
    <w:p w14:paraId="74634288" w14:textId="77777777"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lajittelu tai järjestys, johon vaikutetaan maksulla tai vastaavalla vastikkeella, tai</w:t>
      </w:r>
    </w:p>
    <w:p w14:paraId="1EFC44D5" w14:textId="77777777"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omien tarjontojen ja käyttöliittymän tarjoajan sisältöjen suosiminen, ellei käytöstä peritä maksua. </w:t>
      </w:r>
      <w:bookmarkStart w:id="5" w:name="_Hlk46133683"/>
    </w:p>
    <w:p w14:paraId="4EE968BC"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6B63C777" w14:textId="77777777"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lastRenderedPageBreak/>
        <w:t xml:space="preserve">(4) </w:t>
      </w:r>
      <w:r>
        <w:rPr>
          <w:rFonts w:asciiTheme="minorHAnsi" w:hAnsiTheme="minorHAnsi"/>
          <w:sz w:val="22"/>
          <w:szCs w:val="22"/>
          <w:vertAlign w:val="superscript"/>
        </w:rPr>
        <w:t>1</w:t>
      </w:r>
      <w:r>
        <w:rPr>
          <w:rFonts w:asciiTheme="minorHAnsi" w:hAnsiTheme="minorHAnsi"/>
          <w:sz w:val="22"/>
          <w:szCs w:val="22"/>
        </w:rPr>
        <w:t xml:space="preserve">Käyttöliittymissä on oltava mahdollista hakea tiettyjä tarjontoja koko tarjontakokonaisuudesta (hakutoiminto). </w:t>
      </w:r>
      <w:r>
        <w:rPr>
          <w:rFonts w:asciiTheme="minorHAnsi" w:hAnsiTheme="minorHAnsi"/>
          <w:sz w:val="22"/>
          <w:szCs w:val="22"/>
          <w:vertAlign w:val="superscript"/>
        </w:rPr>
        <w:t>2</w:t>
      </w:r>
      <w:r>
        <w:rPr>
          <w:rFonts w:asciiTheme="minorHAnsi" w:hAnsiTheme="minorHAnsi"/>
          <w:sz w:val="22"/>
          <w:szCs w:val="22"/>
        </w:rPr>
        <w:t xml:space="preserve">Hakutuloksen ja haun aikana tehtävien hakuehdotusten (esimerkiksi automaattinen täydennys -toiminnolla) on oltava syrjimättömiä. </w:t>
      </w:r>
      <w:r>
        <w:rPr>
          <w:rFonts w:asciiTheme="minorHAnsi" w:hAnsiTheme="minorHAnsi"/>
          <w:sz w:val="22"/>
          <w:szCs w:val="22"/>
          <w:vertAlign w:val="superscript"/>
        </w:rPr>
        <w:t>3</w:t>
      </w:r>
      <w:r>
        <w:rPr>
          <w:rFonts w:asciiTheme="minorHAnsi" w:hAnsiTheme="minorHAnsi"/>
          <w:sz w:val="22"/>
          <w:szCs w:val="22"/>
        </w:rPr>
        <w:t>Lisäksi käyttöliittymässä voidaan tarjota myös mahdollisuus hakea sisältöjä; 3 momentin ensimmäistä virkettä sovelletaan vastaavasti.</w:t>
      </w:r>
      <w:bookmarkStart w:id="6" w:name="_Hlk46133701"/>
      <w:bookmarkEnd w:id="5"/>
    </w:p>
    <w:p w14:paraId="6DE811E5" w14:textId="77777777" w:rsidR="00F57DE5" w:rsidRPr="00077B73" w:rsidRDefault="00F57DE5" w:rsidP="00C74DCA">
      <w:pPr>
        <w:spacing w:line="276" w:lineRule="auto"/>
        <w:rPr>
          <w:rFonts w:asciiTheme="minorHAnsi" w:eastAsia="Calibri" w:hAnsiTheme="minorHAnsi" w:cstheme="minorHAnsi"/>
          <w:sz w:val="22"/>
          <w:szCs w:val="22"/>
          <w:lang w:eastAsia="en-US"/>
        </w:rPr>
      </w:pPr>
    </w:p>
    <w:p w14:paraId="7B036D28" w14:textId="77777777"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Käyttöliittymien tarjonnat ovat helposti haettavia, jos niiden löytäminen on yksinkertaista ja nopeaa, koska ne esimerkiksi esitetään muun tekstin edellä tai korostetusti esimerkiksi omalla painikkeellaan. </w:t>
      </w:r>
      <w:r>
        <w:rPr>
          <w:rFonts w:asciiTheme="minorHAnsi" w:hAnsiTheme="minorHAnsi"/>
          <w:sz w:val="22"/>
          <w:szCs w:val="22"/>
          <w:vertAlign w:val="superscript"/>
        </w:rPr>
        <w:t>2</w:t>
      </w:r>
      <w:r>
        <w:rPr>
          <w:rFonts w:asciiTheme="minorHAnsi" w:hAnsiTheme="minorHAnsi"/>
          <w:sz w:val="22"/>
          <w:szCs w:val="22"/>
        </w:rPr>
        <w:t xml:space="preserve">Käyttöliittymän tyyppi, laajuus ja toteutus sekä tarjontojen ja sisältöjen konkreettinen kuva tai muu esitystapa määrittävät sen, miten helppo haettavuus voidaan taata yksittäistapauksessa. </w:t>
      </w:r>
      <w:r>
        <w:rPr>
          <w:rFonts w:asciiTheme="minorHAnsi" w:hAnsiTheme="minorHAnsi"/>
          <w:sz w:val="22"/>
          <w:szCs w:val="22"/>
          <w:vertAlign w:val="superscript"/>
        </w:rPr>
        <w:t>3</w:t>
      </w:r>
      <w:r>
        <w:rPr>
          <w:rFonts w:asciiTheme="minorHAnsi" w:hAnsiTheme="minorHAnsi"/>
          <w:sz w:val="22"/>
          <w:szCs w:val="22"/>
        </w:rPr>
        <w:t>Pääsääntöisesti tarjontojen helppoa haettavuutta varten on välttämätöntä mutta ei riittävää, että ne on yhtä yksinkertaista ja nopeaa löytää kuin muut tarjonnat.</w:t>
      </w:r>
      <w:bookmarkEnd w:id="6"/>
    </w:p>
    <w:p w14:paraId="4D7F982F" w14:textId="77777777"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14:paraId="32FE1845" w14:textId="77777777" w:rsidR="00F57DE5" w:rsidRPr="00077B73" w:rsidRDefault="00C74DCA" w:rsidP="00077B73">
      <w:pPr>
        <w:keepNext/>
        <w:spacing w:line="276" w:lineRule="auto"/>
        <w:rPr>
          <w:rFonts w:asciiTheme="minorHAnsi" w:eastAsia="Calibri" w:hAnsiTheme="minorHAnsi" w:cstheme="minorHAnsi"/>
          <w:sz w:val="22"/>
          <w:szCs w:val="22"/>
        </w:rPr>
      </w:pPr>
      <w:bookmarkStart w:id="7"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Seuraavien on oltava helposti haettavia käyttöliittymissä:</w:t>
      </w:r>
    </w:p>
    <w:p w14:paraId="58F5D6B2" w14:textId="77777777"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ensimmäisellä valintatasolla yleisradio kokonaisuudessaan, ellei kyseisellä tasolla voida valita ainoastaan yleisradio-ohjelmia,</w:t>
      </w:r>
    </w:p>
    <w:p w14:paraId="6A3A5D61" w14:textId="77777777"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yleisradion sisällä lakisääteisesti määritetyt maksuperusteiset ohjelmat, yleisradio-ohjelmat, joiden on sisällettävä alaohjelmia (mediavaltiosopimuksen 59 §:n 4 momentti), ja yksityiset ohjelmat, jotka edistävät erityisellä tavalla mielipiteen ja tarjonnan moninaisuutta, ja</w:t>
      </w:r>
    </w:p>
    <w:p w14:paraId="5C1D2F99" w14:textId="77777777"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valintatasoilla, joilla on vain tai pääsääntöisesti yleisradion kaltaisia telemedioita tai niiden välittömään hallintaan tarkoitettuja ohjelmistopohjaisia sovelluksia, mediavaltiosopimuksen 84 §:n 4 momentissa tarkoitetut telemediatarjonnat ja ohjelmistopohjaiset sovellukset.</w:t>
      </w:r>
      <w:bookmarkEnd w:id="7"/>
    </w:p>
    <w:p w14:paraId="66B7E6DB" w14:textId="77777777"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Yleisradion on oltava kokonaisuudessaan saatavilla ensimmäisellä valintatasolla ilman merkittäviä välivaiheita, pääsääntöisesti yhdellä toimenpiteellä. </w:t>
      </w:r>
      <w:r>
        <w:rPr>
          <w:rFonts w:asciiTheme="minorHAnsi" w:hAnsiTheme="minorHAnsi"/>
          <w:sz w:val="22"/>
          <w:szCs w:val="22"/>
          <w:vertAlign w:val="superscript"/>
        </w:rPr>
        <w:t>3</w:t>
      </w:r>
      <w:r>
        <w:rPr>
          <w:rFonts w:asciiTheme="minorHAnsi" w:hAnsiTheme="minorHAnsi"/>
          <w:sz w:val="22"/>
          <w:szCs w:val="22"/>
        </w:rPr>
        <w:t>Jos esitetään tai välitetään akustisesti yleisradio-ohjelmia, joiden on sisällettävä alaohjelmia (mediavaltiosopimuksen 59 §:n 4 momentti), alueella, jolla alaohjelmat on hyväksytty tai määrätty lakisääteisesti, alaohjelman sisältävät pääohjelmat on esitettävä ensisijaisesti ilman alaohjelmaa esitettävään pääohjelmaan ja sellaisiin alaohjelmiin nähden, jotka on sallittu tai lakisääteisesti määrätty muilla alueilla.</w:t>
      </w:r>
    </w:p>
    <w:p w14:paraId="38205D70" w14:textId="77777777" w:rsidR="0060422A" w:rsidRPr="00077B73" w:rsidRDefault="0060422A" w:rsidP="0060422A">
      <w:pPr>
        <w:spacing w:line="276" w:lineRule="auto"/>
        <w:rPr>
          <w:rFonts w:asciiTheme="minorHAnsi" w:eastAsia="Calibri" w:hAnsiTheme="minorHAnsi" w:cstheme="minorHAnsi"/>
          <w:sz w:val="22"/>
          <w:szCs w:val="22"/>
          <w:lang w:eastAsia="en-US"/>
        </w:rPr>
      </w:pPr>
    </w:p>
    <w:p w14:paraId="4CAD7185" w14:textId="77777777" w:rsidR="00F57DE5" w:rsidRPr="00077B73" w:rsidRDefault="00483146" w:rsidP="00483146">
      <w:pPr>
        <w:spacing w:line="276" w:lineRule="auto"/>
        <w:rPr>
          <w:rFonts w:asciiTheme="minorHAnsi" w:eastAsia="Calibri" w:hAnsiTheme="minorHAnsi" w:cstheme="minorHAnsi"/>
          <w:sz w:val="22"/>
          <w:szCs w:val="22"/>
        </w:rPr>
      </w:pPr>
      <w:bookmarkStart w:id="8"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 xml:space="preserve">Esiasetuksista riippumatta käyttäjän on voitava itse helposti ja nopeasti lajitella ja järjestää tarjonnat ja sisällöt (esimerkiksi suosikkiluettelolla). </w:t>
      </w:r>
      <w:r>
        <w:rPr>
          <w:rFonts w:asciiTheme="minorHAnsi" w:hAnsiTheme="minorHAnsi"/>
          <w:sz w:val="22"/>
          <w:szCs w:val="22"/>
          <w:vertAlign w:val="superscript"/>
        </w:rPr>
        <w:t>2</w:t>
      </w:r>
      <w:r>
        <w:rPr>
          <w:rFonts w:asciiTheme="minorHAnsi" w:hAnsiTheme="minorHAnsi"/>
          <w:sz w:val="22"/>
          <w:szCs w:val="22"/>
        </w:rPr>
        <w:t xml:space="preserve">Pääsääntöisesti tarjontojen tai sisältöjen lajittelu tai järjestäminen on helppoa ja nopeaa silloin, kun se on yksiselitteistä tai selitetty ymmärrettävästi. </w:t>
      </w:r>
      <w:r>
        <w:rPr>
          <w:rFonts w:asciiTheme="minorHAnsi" w:hAnsiTheme="minorHAnsi"/>
          <w:sz w:val="22"/>
          <w:szCs w:val="22"/>
          <w:vertAlign w:val="superscript"/>
        </w:rPr>
        <w:t>3</w:t>
      </w:r>
      <w:r>
        <w:rPr>
          <w:rFonts w:asciiTheme="minorHAnsi" w:hAnsiTheme="minorHAnsi"/>
          <w:sz w:val="22"/>
          <w:szCs w:val="22"/>
        </w:rPr>
        <w:t>Käyttäjän tekemän lajittelun tai järjestyksen muuttaminen saa olla mahdollista vain käyttäjälle itselleen, ja erityisesti se ei saa tapahtua päivityksen yhteydessä.</w:t>
      </w:r>
    </w:p>
    <w:p w14:paraId="34E8E15F"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651ABC1F" w14:textId="77777777"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Pykälän 4–7 momenttia ei sovelleta, jos käyttöliittymän tarjoaja todistaa, että toteutus on teknisesti mahdotonta tai siitä aiheutuu kohtuutonta vaivaa. </w:t>
      </w:r>
      <w:r>
        <w:rPr>
          <w:rFonts w:asciiTheme="minorHAnsi" w:hAnsiTheme="minorHAnsi"/>
          <w:sz w:val="22"/>
          <w:szCs w:val="22"/>
          <w:vertAlign w:val="superscript"/>
        </w:rPr>
        <w:t>2</w:t>
      </w:r>
      <w:r>
        <w:rPr>
          <w:rFonts w:asciiTheme="minorHAnsi" w:hAnsiTheme="minorHAnsi"/>
          <w:sz w:val="22"/>
          <w:szCs w:val="22"/>
        </w:rPr>
        <w:t>Ratkaisevaa kohtuuttoman vaivan määrittämisen kannalta on kokonaisarvio, jossa huomioidaan erityisesti tarjoajan taloudelliset valmiudet, käyttöliittymän muihin haettavuuteen liittyviin toimintoihin kohdistuva vaiva ja laiminlyönnistä johtuvan rikkomuksen tyyppi ja laajuus. Vaiva on kohtuuton vain silloin, kun epäsuhta on merkittävä.</w:t>
      </w:r>
    </w:p>
    <w:bookmarkEnd w:id="8"/>
    <w:p w14:paraId="4DAFDD75" w14:textId="77777777" w:rsidR="00165009" w:rsidRPr="00077B73" w:rsidRDefault="00165009">
      <w:pPr>
        <w:rPr>
          <w:rFonts w:asciiTheme="minorHAnsi" w:eastAsia="Calibri" w:hAnsiTheme="minorHAnsi" w:cstheme="minorHAnsi"/>
          <w:sz w:val="22"/>
          <w:szCs w:val="22"/>
          <w:lang w:eastAsia="en-US"/>
        </w:rPr>
      </w:pPr>
    </w:p>
    <w:p w14:paraId="6ECFB66E"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lastRenderedPageBreak/>
        <w:t>5 jakso: Avoimuusvaatimukset</w:t>
      </w:r>
    </w:p>
    <w:p w14:paraId="31968D80" w14:textId="77777777"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14:paraId="77BF44EF" w14:textId="77777777"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11 §</w:t>
      </w:r>
    </w:p>
    <w:p w14:paraId="7FC47211"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Avoimuus</w:t>
      </w:r>
    </w:p>
    <w:p w14:paraId="2E58F016" w14:textId="77777777" w:rsidR="00483146" w:rsidRPr="00077B73" w:rsidRDefault="00483146" w:rsidP="00077B73">
      <w:pPr>
        <w:keepNext/>
        <w:spacing w:line="276" w:lineRule="auto"/>
        <w:jc w:val="center"/>
        <w:rPr>
          <w:rFonts w:ascii="Calibri" w:eastAsia="Calibri" w:hAnsi="Calibri"/>
          <w:b/>
          <w:sz w:val="22"/>
          <w:szCs w:val="22"/>
          <w:lang w:eastAsia="en-US"/>
        </w:rPr>
      </w:pPr>
    </w:p>
    <w:p w14:paraId="24FF43DA" w14:textId="77777777"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Viestintäkanavien ja käyttöliittymien tarjoajien on esitettävä mediavaltiosopimuksen 85 §:ssä tarkoitetut tiedot avoimesti. </w:t>
      </w:r>
      <w:r>
        <w:rPr>
          <w:rFonts w:asciiTheme="minorHAnsi" w:hAnsiTheme="minorHAnsi"/>
          <w:sz w:val="22"/>
          <w:szCs w:val="22"/>
          <w:vertAlign w:val="superscript"/>
        </w:rPr>
        <w:t>2</w:t>
      </w:r>
      <w:r>
        <w:rPr>
          <w:rFonts w:asciiTheme="minorHAnsi" w:hAnsiTheme="minorHAnsi"/>
          <w:sz w:val="22"/>
          <w:szCs w:val="22"/>
        </w:rPr>
        <w:t>Tiedot on esitettävä saksan kielellä siten, että ne ovat käyttäjälle helposti havaittavissa, välittömästi saavutettavissa ja pysyvästi saatavilla.</w:t>
      </w:r>
    </w:p>
    <w:p w14:paraId="6FDABD16" w14:textId="77777777" w:rsidR="00F57DE5" w:rsidRPr="00077B73" w:rsidRDefault="00F57DE5" w:rsidP="00490C3B">
      <w:pPr>
        <w:spacing w:line="276" w:lineRule="auto"/>
        <w:rPr>
          <w:rFonts w:asciiTheme="minorHAnsi" w:eastAsia="Calibri" w:hAnsiTheme="minorHAnsi" w:cstheme="minorHAnsi"/>
          <w:sz w:val="22"/>
          <w:szCs w:val="22"/>
          <w:lang w:eastAsia="en-US"/>
        </w:rPr>
      </w:pPr>
    </w:p>
    <w:p w14:paraId="3594EC5B" w14:textId="77777777"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Avoimuusmääräysten toimeenpanoa koskevien vaatimusten osalta ratkaisevana pidetään sellaisen keskivertokäyttäjän ymmärrystä, jolla ei ole erityistä teknistä osaamista.</w:t>
      </w:r>
    </w:p>
    <w:p w14:paraId="2D3C202C" w14:textId="77777777" w:rsidR="00F57DE5" w:rsidRPr="00077B73" w:rsidRDefault="00F57DE5" w:rsidP="00490C3B">
      <w:pPr>
        <w:spacing w:line="276" w:lineRule="auto"/>
        <w:rPr>
          <w:rFonts w:asciiTheme="minorHAnsi" w:eastAsia="Calibri" w:hAnsiTheme="minorHAnsi" w:cstheme="minorHAnsi"/>
          <w:sz w:val="22"/>
          <w:szCs w:val="22"/>
          <w:lang w:eastAsia="en-US"/>
        </w:rPr>
      </w:pPr>
    </w:p>
    <w:p w14:paraId="76AB0BE7" w14:textId="77777777" w:rsidR="00F57DE5" w:rsidRPr="00077B73" w:rsidRDefault="00CE1C3D" w:rsidP="00490C3B">
      <w:pPr>
        <w:spacing w:line="276" w:lineRule="auto"/>
        <w:rPr>
          <w:rFonts w:asciiTheme="minorHAnsi" w:eastAsia="Calibri" w:hAnsiTheme="minorHAnsi" w:cstheme="minorHAnsi"/>
          <w:sz w:val="22"/>
          <w:szCs w:val="22"/>
        </w:rPr>
      </w:pPr>
      <w:bookmarkStart w:id="9"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Tiedot ovat helposti havaittavia, jos ne on helppo ja nopea löytää viestintäkanavan tai käyttöliittymän käytön aikana, koska ne on esimerkiksi korostettu ja merkitty yksiselitteisellä ilmaisulla. </w:t>
      </w:r>
      <w:r>
        <w:rPr>
          <w:rFonts w:asciiTheme="minorHAnsi" w:hAnsiTheme="minorHAnsi"/>
          <w:sz w:val="22"/>
          <w:szCs w:val="22"/>
          <w:vertAlign w:val="superscript"/>
        </w:rPr>
        <w:t>2</w:t>
      </w:r>
      <w:r>
        <w:rPr>
          <w:rFonts w:asciiTheme="minorHAnsi" w:hAnsiTheme="minorHAnsi"/>
          <w:sz w:val="22"/>
          <w:szCs w:val="22"/>
        </w:rPr>
        <w:t xml:space="preserve">Konkreettinen toteutus helpon havaittavuuden takaamiseksi riippuu palvelun tyypistä, laajuudesta ja muusta suunnittelusta. </w:t>
      </w:r>
      <w:r>
        <w:rPr>
          <w:rFonts w:asciiTheme="minorHAnsi" w:hAnsiTheme="minorHAnsi"/>
          <w:sz w:val="22"/>
          <w:szCs w:val="22"/>
          <w:vertAlign w:val="superscript"/>
        </w:rPr>
        <w:t>3</w:t>
      </w:r>
      <w:r>
        <w:rPr>
          <w:rFonts w:asciiTheme="minorHAnsi" w:hAnsiTheme="minorHAnsi"/>
          <w:sz w:val="22"/>
          <w:szCs w:val="22"/>
        </w:rPr>
        <w:t>Jos palvelun käyttö on pääsääntöiseesti ääniohjattua, tiedot on annettava käyttäjän käskystä myös akustisesti; tähän riittää ääniohje siitä, missä tietoja säilytetään.</w:t>
      </w:r>
    </w:p>
    <w:p w14:paraId="1AF4878B" w14:textId="77777777" w:rsidR="00F57DE5" w:rsidRPr="00077B73" w:rsidRDefault="00F57DE5" w:rsidP="00490C3B">
      <w:pPr>
        <w:spacing w:line="276" w:lineRule="auto"/>
        <w:rPr>
          <w:rFonts w:asciiTheme="minorHAnsi" w:eastAsia="Calibri" w:hAnsiTheme="minorHAnsi" w:cstheme="minorHAnsi"/>
          <w:sz w:val="22"/>
          <w:szCs w:val="22"/>
          <w:lang w:eastAsia="en-US"/>
        </w:rPr>
      </w:pPr>
    </w:p>
    <w:p w14:paraId="3200A541" w14:textId="77777777" w:rsidR="00F57DE5" w:rsidRPr="00077B73" w:rsidRDefault="00CE1C3D" w:rsidP="00490C3B">
      <w:pPr>
        <w:spacing w:line="276" w:lineRule="auto"/>
        <w:rPr>
          <w:rFonts w:asciiTheme="minorHAnsi" w:eastAsia="Calibri" w:hAnsiTheme="minorHAnsi" w:cstheme="minorHAnsi"/>
          <w:sz w:val="22"/>
          <w:szCs w:val="22"/>
        </w:rPr>
      </w:pPr>
      <w:bookmarkStart w:id="10" w:name="_Hlk46134475"/>
      <w:bookmarkEnd w:id="9"/>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Tiedot ovat välittömästi saavutettavissa, jos ne asetetaan saataville siten, että ne voidaan hakea viestintäkanavalla tai käyttöliittymässä ilman merkittäviä välivaiheita. </w:t>
      </w:r>
      <w:r>
        <w:rPr>
          <w:rFonts w:asciiTheme="minorHAnsi" w:hAnsiTheme="minorHAnsi"/>
          <w:sz w:val="22"/>
          <w:szCs w:val="22"/>
          <w:vertAlign w:val="superscript"/>
        </w:rPr>
        <w:t>2</w:t>
      </w:r>
      <w:r>
        <w:rPr>
          <w:rFonts w:asciiTheme="minorHAnsi" w:hAnsiTheme="minorHAnsi"/>
          <w:sz w:val="22"/>
          <w:szCs w:val="22"/>
        </w:rPr>
        <w:t>Jos palvelua käytetään internetin välityksellä, asia voidaan myös toteuttaa linkeillä.</w:t>
      </w:r>
    </w:p>
    <w:p w14:paraId="5DD08C92" w14:textId="77777777" w:rsidR="00F57DE5" w:rsidRPr="00077B73" w:rsidRDefault="00F57DE5" w:rsidP="00490C3B">
      <w:pPr>
        <w:spacing w:line="276" w:lineRule="auto"/>
        <w:rPr>
          <w:rFonts w:asciiTheme="minorHAnsi" w:eastAsia="Calibri" w:hAnsiTheme="minorHAnsi" w:cstheme="minorHAnsi"/>
          <w:sz w:val="22"/>
          <w:szCs w:val="22"/>
          <w:lang w:eastAsia="en-US"/>
        </w:rPr>
      </w:pPr>
    </w:p>
    <w:p w14:paraId="24ADB4B4" w14:textId="77777777"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(5) Tiedot ovat pysyvästi saatavilla, kun niitä pidetään saatavilla jatkuvasti ja ilman ajallista rajoitusta.</w:t>
      </w:r>
    </w:p>
    <w:p w14:paraId="36FA13F0" w14:textId="77777777" w:rsidR="00F33BCA" w:rsidRPr="00077B73" w:rsidRDefault="00F33BCA" w:rsidP="00490C3B">
      <w:pPr>
        <w:spacing w:line="276" w:lineRule="auto"/>
        <w:rPr>
          <w:rFonts w:asciiTheme="minorHAnsi" w:eastAsia="Calibri" w:hAnsiTheme="minorHAnsi" w:cstheme="minorHAnsi"/>
          <w:sz w:val="22"/>
          <w:szCs w:val="22"/>
          <w:lang w:eastAsia="en-US"/>
        </w:rPr>
      </w:pPr>
    </w:p>
    <w:p w14:paraId="32DBC105"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6 jakso: Menettelysäännökset</w:t>
      </w:r>
    </w:p>
    <w:p w14:paraId="3388A6B2" w14:textId="77777777"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0"/>
    <w:p w14:paraId="1C6FD841" w14:textId="77777777"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12 §</w:t>
      </w:r>
    </w:p>
    <w:p w14:paraId="09C7E413"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Lupa- ja valvontakomitea</w:t>
      </w:r>
    </w:p>
    <w:p w14:paraId="548551B1" w14:textId="77777777" w:rsidR="00BF13E2" w:rsidRPr="00077B73" w:rsidRDefault="00BF13E2" w:rsidP="00077B73">
      <w:pPr>
        <w:keepNext/>
        <w:spacing w:line="276" w:lineRule="auto"/>
        <w:jc w:val="center"/>
        <w:rPr>
          <w:rFonts w:ascii="Calibri" w:eastAsia="Calibri" w:hAnsi="Calibri"/>
          <w:b/>
          <w:sz w:val="22"/>
          <w:szCs w:val="22"/>
          <w:lang w:eastAsia="en-US"/>
        </w:rPr>
      </w:pPr>
    </w:p>
    <w:p w14:paraId="199BD443" w14:textId="77777777"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Tämän ohjesäännön nojalla toteutettavien tehtävien osalta vastaavana elimenä toimii toimivaltaisen osavaltion mediaviranomaisen lupa- ja valvontakomitea (</w:t>
      </w:r>
      <w:proofErr w:type="spellStart"/>
      <w:r>
        <w:rPr>
          <w:rFonts w:asciiTheme="minorHAnsi" w:hAnsiTheme="minorHAnsi"/>
          <w:sz w:val="22"/>
          <w:szCs w:val="22"/>
        </w:rPr>
        <w:t>Kommission</w:t>
      </w:r>
      <w:proofErr w:type="spellEnd"/>
      <w:r>
        <w:rPr>
          <w:rFonts w:asciiTheme="minorHAnsi" w:hAnsiTheme="minorHAnsi"/>
          <w:sz w:val="22"/>
          <w:szCs w:val="22"/>
        </w:rPr>
        <w:t xml:space="preserve"> </w:t>
      </w:r>
      <w:proofErr w:type="spellStart"/>
      <w:r>
        <w:rPr>
          <w:rFonts w:asciiTheme="minorHAnsi" w:hAnsiTheme="minorHAnsi"/>
          <w:sz w:val="22"/>
          <w:szCs w:val="22"/>
        </w:rPr>
        <w:t>für</w:t>
      </w:r>
      <w:proofErr w:type="spellEnd"/>
      <w:r>
        <w:rPr>
          <w:rFonts w:asciiTheme="minorHAnsi" w:hAnsiTheme="minorHAnsi"/>
          <w:sz w:val="22"/>
          <w:szCs w:val="22"/>
        </w:rPr>
        <w:t xml:space="preserve"> </w:t>
      </w:r>
      <w:proofErr w:type="spellStart"/>
      <w:r>
        <w:rPr>
          <w:rFonts w:asciiTheme="minorHAnsi" w:hAnsiTheme="minorHAnsi"/>
          <w:sz w:val="22"/>
          <w:szCs w:val="22"/>
        </w:rPr>
        <w:t>Zulassung</w:t>
      </w:r>
      <w:proofErr w:type="spellEnd"/>
      <w:r>
        <w:rPr>
          <w:rFonts w:asciiTheme="minorHAnsi" w:hAnsiTheme="minorHAnsi"/>
          <w:sz w:val="22"/>
          <w:szCs w:val="22"/>
        </w:rPr>
        <w:t xml:space="preserve"> </w:t>
      </w:r>
      <w:proofErr w:type="spellStart"/>
      <w:r>
        <w:rPr>
          <w:rFonts w:asciiTheme="minorHAnsi" w:hAnsiTheme="minorHAnsi"/>
          <w:sz w:val="22"/>
          <w:szCs w:val="22"/>
        </w:rPr>
        <w:t>und</w:t>
      </w:r>
      <w:proofErr w:type="spellEnd"/>
      <w:r>
        <w:rPr>
          <w:rFonts w:asciiTheme="minorHAnsi" w:hAnsiTheme="minorHAnsi"/>
          <w:sz w:val="22"/>
          <w:szCs w:val="22"/>
        </w:rPr>
        <w:t xml:space="preserve"> </w:t>
      </w:r>
      <w:proofErr w:type="spellStart"/>
      <w:r>
        <w:rPr>
          <w:rFonts w:asciiTheme="minorHAnsi" w:hAnsiTheme="minorHAnsi"/>
          <w:sz w:val="22"/>
          <w:szCs w:val="22"/>
        </w:rPr>
        <w:t>Aufsicht</w:t>
      </w:r>
      <w:proofErr w:type="spellEnd"/>
      <w:r>
        <w:rPr>
          <w:rFonts w:asciiTheme="minorHAnsi" w:hAnsiTheme="minorHAnsi"/>
          <w:sz w:val="22"/>
          <w:szCs w:val="22"/>
        </w:rPr>
        <w:t xml:space="preserve">, ZAK) (mediavaltiosopimuksen 104 §:n 2 momentin ensimmäisen virkkeen 1 alamomentti, 105 §:n 1 momentin ensimmäisen virkkeen 8 ja 9 alamomentti luettuna yhdessä lupa- ja valvontakomitean toiminta- ja menettelysääntöjen (GVO ZAK) kanssa).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Tämä ei vaikuta mediavaltiosopimuksen 81 §:n 5 momentin kolmannen virkkeen, luettuna yhdessä 105 §:n 2 momentin ensimmäisen tai toisen virkkeen kanssa, soveltamiseen.</w:t>
      </w:r>
    </w:p>
    <w:p w14:paraId="0A2AC378" w14:textId="77777777" w:rsidR="00F57DE5" w:rsidRPr="00077B73" w:rsidRDefault="00F57DE5" w:rsidP="00BF13E2">
      <w:pPr>
        <w:spacing w:line="276" w:lineRule="auto"/>
        <w:rPr>
          <w:rFonts w:asciiTheme="minorHAnsi" w:eastAsia="Calibri" w:hAnsiTheme="minorHAnsi" w:cstheme="minorHAnsi"/>
          <w:sz w:val="22"/>
          <w:szCs w:val="22"/>
          <w:lang w:eastAsia="en-US"/>
        </w:rPr>
      </w:pPr>
    </w:p>
    <w:p w14:paraId="25997DC1" w14:textId="77777777"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Toimivaltainen osavaltion mediaviranomainen välittää 2 §:ssä tarkoitetut ilmoitukset ja 14 §:ssä tarkoitetut valitukset viipymättä yhteisen kanslian välityksellä lupa- ja valvontakomitealle ja ilmoittaa tälle tarkastuksista viran puolesta. </w:t>
      </w:r>
      <w:r>
        <w:rPr>
          <w:rFonts w:asciiTheme="minorHAnsi" w:hAnsiTheme="minorHAnsi"/>
          <w:sz w:val="22"/>
          <w:szCs w:val="22"/>
          <w:vertAlign w:val="superscript"/>
        </w:rPr>
        <w:t>2</w:t>
      </w:r>
      <w:r>
        <w:rPr>
          <w:rFonts w:asciiTheme="minorHAnsi" w:hAnsiTheme="minorHAnsi"/>
          <w:sz w:val="22"/>
          <w:szCs w:val="22"/>
        </w:rPr>
        <w:t xml:space="preserve">Toimivaltainen osavaltion mediaviranomainen jatkaa menettelyä, kunnes asia on valmis päätettäväksi. </w:t>
      </w:r>
    </w:p>
    <w:p w14:paraId="0C7A2092" w14:textId="77777777" w:rsidR="00F702A0" w:rsidRPr="00077B73" w:rsidRDefault="00F702A0" w:rsidP="009F46B5">
      <w:pPr>
        <w:spacing w:line="276" w:lineRule="auto"/>
        <w:jc w:val="center"/>
        <w:rPr>
          <w:rFonts w:ascii="Calibri" w:eastAsia="Calibri" w:hAnsi="Calibri"/>
          <w:b/>
          <w:sz w:val="22"/>
          <w:szCs w:val="22"/>
          <w:lang w:eastAsia="en-US"/>
        </w:rPr>
      </w:pPr>
    </w:p>
    <w:p w14:paraId="44403125" w14:textId="77777777"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 xml:space="preserve">13 § </w:t>
      </w:r>
    </w:p>
    <w:p w14:paraId="6DAA2371"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Menettely</w:t>
      </w:r>
    </w:p>
    <w:p w14:paraId="331E9F70" w14:textId="77777777" w:rsidR="009F46B5" w:rsidRPr="00077B73" w:rsidRDefault="009F46B5" w:rsidP="00077B73">
      <w:pPr>
        <w:keepNext/>
        <w:spacing w:line="276" w:lineRule="auto"/>
        <w:jc w:val="center"/>
        <w:rPr>
          <w:rFonts w:ascii="Calibri" w:eastAsia="Calibri" w:hAnsi="Calibri"/>
          <w:b/>
          <w:sz w:val="22"/>
          <w:szCs w:val="22"/>
          <w:lang w:eastAsia="en-US"/>
        </w:rPr>
      </w:pPr>
    </w:p>
    <w:p w14:paraId="38D7490E"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(1) Toimivaltainen osavaltion mediaviranomainen tarkastaa lupa- ja valvontakomitean välityksellä 14 §:n mukaisen oikeutetun tahon valituksen perusteella tai viran puolesta, rikkooko viestintäkanavan tai käyttöliittymän tarjoaja mediavaltiosopimuksen 79–85 §:n tai tämän ohjesäännön 2–6, 10 ja 11 §:n säännöksiä.</w:t>
      </w:r>
    </w:p>
    <w:p w14:paraId="361A6EDC"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2F1BC06B"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Jos rikkomuksesta esiintyy konkreettisia todisteita, viestintäkanavan tai käyttöliittymän tarjoaja on velvollinen esittämään toimivaltaiselle osavaltion mediaviranomaiselle viipymättä tarkastusta varten tarvittavat tiedot ja asiakirjat.</w:t>
      </w:r>
    </w:p>
    <w:p w14:paraId="56B1A22F"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77A7D2B1"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Jos toimivaltainen osavaltion mediaviranomainen toteaa lupa- ja valvontakomitean välityksellä rikkomuksen 1 momentin mukaisesti, se voi antaa viestintäkanavan tai käyttöliittymän tarjoajalle mahdollisuuden rikkomuksen oikaisemiseen kohtuullisen määräajan kuluessa. </w:t>
      </w:r>
      <w:r>
        <w:rPr>
          <w:rFonts w:asciiTheme="minorHAnsi" w:hAnsiTheme="minorHAnsi"/>
          <w:sz w:val="22"/>
          <w:szCs w:val="22"/>
          <w:vertAlign w:val="superscript"/>
        </w:rPr>
        <w:t>2</w:t>
      </w:r>
      <w:r>
        <w:rPr>
          <w:rFonts w:asciiTheme="minorHAnsi" w:hAnsiTheme="minorHAnsi"/>
          <w:sz w:val="22"/>
          <w:szCs w:val="22"/>
        </w:rPr>
        <w:t>Jos lakisääteisiä vaatimuksia ei tällöin edelleenkään täytetä, toimivaltainen osavaltion mediaviranomainen toteuttaa lupa- ja valvontakomitean päätöksellä ja mediavaltiosopimuksen 81 §:n 5 momentin kolmannen virkkeen tapauksessa elinten puheenjohtajakonferenssin (GVK) päätöksellä mediavaltiosopimuksen 109 §:n 1 momentin mukaisesti tarvittavat toimenpiteet.</w:t>
      </w:r>
    </w:p>
    <w:p w14:paraId="7C4AC689" w14:textId="77777777" w:rsidR="00F57DE5" w:rsidRPr="00077B73" w:rsidRDefault="00F57DE5" w:rsidP="00A16C12">
      <w:pPr>
        <w:spacing w:line="276" w:lineRule="auto"/>
        <w:jc w:val="center"/>
        <w:rPr>
          <w:rFonts w:ascii="Calibri" w:eastAsia="Calibri" w:hAnsi="Calibri"/>
          <w:b/>
          <w:sz w:val="22"/>
          <w:szCs w:val="22"/>
          <w:lang w:eastAsia="en-US"/>
        </w:rPr>
      </w:pPr>
    </w:p>
    <w:p w14:paraId="5BAF67E2" w14:textId="77777777"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14 §</w:t>
      </w:r>
    </w:p>
    <w:p w14:paraId="73313B84" w14:textId="77777777"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szCs w:val="22"/>
        </w:rPr>
        <w:t>Valvonnan yhteydessä</w:t>
      </w:r>
      <w:r>
        <w:rPr>
          <w:rFonts w:asciiTheme="minorHAnsi" w:hAnsiTheme="minorHAnsi"/>
          <w:b/>
          <w:bCs/>
          <w:sz w:val="22"/>
          <w:szCs w:val="22"/>
        </w:rPr>
        <w:t xml:space="preserve"> tehdyt valitukset</w:t>
      </w:r>
    </w:p>
    <w:p w14:paraId="42C51ECE" w14:textId="77777777"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14:paraId="1F3B9563" w14:textId="77777777"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Valitushakuoikeus on yleisradion, yleisradion kaltaisten telemedioiden tai mediavaltiosopimuksen 19 §:n 1 momentissa tarkoitettujen telemedioiden tarjoajilla,</w:t>
      </w:r>
    </w:p>
    <w:p w14:paraId="4BDEB48E" w14:textId="77777777"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joiden levitys tapahtuu viestintäkanavalla, tai </w:t>
      </w:r>
    </w:p>
    <w:p w14:paraId="39C19144" w14:textId="77777777"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jotka pyytävät pääsyä viestintäkanavalle yleisradion, yleisradion kaltaisten telemedioiden tai yleisradiovaltiosopimuksen 19 §:n 1 momentissa tarkoitettujen telemedioiden tarjoamiseksi tai markkinoimiseksi, tai</w:t>
      </w:r>
    </w:p>
    <w:p w14:paraId="51EEA3D6" w14:textId="77777777"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joihin esitys mediavaltiosopimuksen 2 §:n 2 momentin 15 alamomentissa tarkoitetuissa käyttöliittymissä vaikuttaa.</w:t>
      </w:r>
    </w:p>
    <w:p w14:paraId="4B10232E" w14:textId="77777777"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Vastaajia voivat olla mediavaltiosopimuksen 2 §:n 2 momentin 19 alamomentissa tarkoitetut viestintäkanavien tarjoajat ja mediavaltiosopimuksen 2 §:n 2 momentin 20 alamomentissa tarkoitetut käyttöliittymien tarjoajat.</w:t>
      </w:r>
    </w:p>
    <w:p w14:paraId="45227EC4" w14:textId="77777777"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14:paraId="576603FC"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Edellä 1 momentissa tarkoitetut valitusoikeudelliset voivat valittaa toimivaltaiselle osavaltion mediaviranomaiselle kirjallisesti ilmoittamalla konkreettiset todisteet mediavaltiosopimuksen 80–84 §:n tai tämän perussäännön 3–6 ja 10 §:n säännösten rikkomisesta ja esittämällä asiaan liittyvät tosiseikat.</w:t>
      </w:r>
    </w:p>
    <w:p w14:paraId="7FB3D221"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3091384C"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Oikeutettujen tahojen on valituksen esittämisen yhteydessä kuvattava ja osoitettava, että ne ovat yrittäneet selvittää kiistanalaisen asian viestintäkanavan tai käyttöliittymän tarjoajan kanssa.</w:t>
      </w:r>
    </w:p>
    <w:p w14:paraId="4E297C46"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289159E8"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Toimivaltainen osavaltion mediaviranomainen voi ensin yrittää saada aikaan asianmukaisen ratkaisun osapuolten välille. </w:t>
      </w:r>
      <w:r>
        <w:rPr>
          <w:rFonts w:asciiTheme="minorHAnsi" w:hAnsiTheme="minorHAnsi"/>
          <w:sz w:val="22"/>
          <w:szCs w:val="22"/>
          <w:vertAlign w:val="superscript"/>
        </w:rPr>
        <w:t>2</w:t>
      </w:r>
      <w:r>
        <w:rPr>
          <w:rFonts w:asciiTheme="minorHAnsi" w:hAnsiTheme="minorHAnsi"/>
          <w:sz w:val="22"/>
          <w:szCs w:val="22"/>
        </w:rPr>
        <w:t>Mediavaltiosopimuksen 83 §:n 3 momentin tapauksissa toimivaltaisen osavaltion mediaviranomaisen on suoritettava sovittelu ennen valitusmenettelyä.</w:t>
      </w:r>
    </w:p>
    <w:p w14:paraId="6B32CFE7"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175EBAB8"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Jos asia koskee ehdollisen pääsyn järjestelmiä ja sovellusohjelmien rajapintoja, toimivaltainen osavaltion mediaviranomainen välittää valituksen Saksan liittotasavallan verkkoviraston (</w:t>
      </w:r>
      <w:proofErr w:type="spellStart"/>
      <w:r>
        <w:rPr>
          <w:rFonts w:asciiTheme="minorHAnsi" w:hAnsiTheme="minorHAnsi"/>
          <w:sz w:val="22"/>
          <w:szCs w:val="22"/>
        </w:rPr>
        <w:t>BNetzA</w:t>
      </w:r>
      <w:proofErr w:type="spellEnd"/>
      <w:r>
        <w:rPr>
          <w:rFonts w:asciiTheme="minorHAnsi" w:hAnsiTheme="minorHAnsi"/>
          <w:sz w:val="22"/>
          <w:szCs w:val="22"/>
        </w:rPr>
        <w:t>) kanssa sovitun menettelyn mukaisesti (20 päivänä huhtikuuta 2010 annettu menettelykuvaus) Saksan liittotasavallan verkkovirastolle, joka käynnistää menettelyn.</w:t>
      </w:r>
    </w:p>
    <w:p w14:paraId="282DEA9B"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048DF3E9"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Valitus on osoitettava sille toimivaltaiselle osavaltion mediaviranomaiselle, jolle viestintäkanavan tai käyttöliittymän tarjoaja on ilmoitettu. </w:t>
      </w:r>
      <w:r>
        <w:rPr>
          <w:rFonts w:asciiTheme="minorHAnsi" w:hAnsiTheme="minorHAnsi"/>
          <w:sz w:val="22"/>
          <w:szCs w:val="22"/>
          <w:vertAlign w:val="superscript"/>
        </w:rPr>
        <w:t>2</w:t>
      </w:r>
      <w:r>
        <w:rPr>
          <w:rFonts w:asciiTheme="minorHAnsi" w:hAnsiTheme="minorHAnsi"/>
          <w:sz w:val="22"/>
          <w:szCs w:val="22"/>
        </w:rPr>
        <w:t>Jos ilmoitusta ei ole annettu valituksen tekohetkellä, mediavaltiosopimuksen 106 §:n 1 momenttia sovelletaan vastaavasti liittotasavallan alueelle kohdistettuun tarjontaan.</w:t>
      </w:r>
    </w:p>
    <w:p w14:paraId="54D2DC94"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3864F6AD" w14:textId="77777777"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15 § </w:t>
      </w:r>
    </w:p>
    <w:p w14:paraId="14582DAE"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Mediavaltiosopimuksen 87 §:n mukaisen turvallisuusselvityksen myöntäminen</w:t>
      </w:r>
    </w:p>
    <w:p w14:paraId="15DD3618" w14:textId="77777777"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14:paraId="6270EDF0" w14:textId="77777777"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Jos tehdään mediavaltiosopimuksen 87 §:n ensimmäisen virkkeen mukainen hakemus turvallisuusselvityksestä, toimivaltainen osavaltion mediaviranomainen ilmoittaa mediavaltiosopimuksen 84 §:n 3 momentin toisen virkkeen ja 4 momentin mukaisesti etuoikeutetun tarjonnan tarjoajalle menettelyn aloittamisesta. </w:t>
      </w:r>
      <w:r>
        <w:rPr>
          <w:rFonts w:asciiTheme="minorHAnsi" w:hAnsiTheme="minorHAnsi"/>
          <w:sz w:val="22"/>
          <w:szCs w:val="22"/>
          <w:vertAlign w:val="superscript"/>
        </w:rPr>
        <w:t>2</w:t>
      </w:r>
      <w:r>
        <w:rPr>
          <w:rFonts w:asciiTheme="minorHAnsi" w:hAnsiTheme="minorHAnsi"/>
          <w:sz w:val="22"/>
          <w:szCs w:val="22"/>
        </w:rPr>
        <w:t>Tieto voidaan antaa sähköisesti.</w:t>
      </w:r>
    </w:p>
    <w:p w14:paraId="21650B5F" w14:textId="77777777" w:rsidR="00F57DE5" w:rsidRPr="00077B73" w:rsidRDefault="00F57DE5" w:rsidP="007C685D">
      <w:pPr>
        <w:spacing w:line="276" w:lineRule="auto"/>
        <w:rPr>
          <w:rFonts w:asciiTheme="minorHAnsi" w:eastAsia="Calibri" w:hAnsiTheme="minorHAnsi" w:cstheme="minorHAnsi"/>
          <w:sz w:val="22"/>
          <w:szCs w:val="22"/>
          <w:lang w:eastAsia="en-US"/>
        </w:rPr>
      </w:pPr>
    </w:p>
    <w:p w14:paraId="3C7206AA" w14:textId="77777777"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(2) Toimivaltainen osavaltion mediaviranomainen välittää hakemuksen yhteisen kanslian välityksellä lupa- ja valvontakomitealle. Toimivaltainen osavaltion mediaviranomainen jatkaa menettelyä, kunnes asia on valmis päätettäväksi. </w:t>
      </w:r>
    </w:p>
    <w:p w14:paraId="7D7688B6" w14:textId="77777777" w:rsidR="00F57DE5" w:rsidRPr="00077B73" w:rsidRDefault="00F57DE5" w:rsidP="007C685D">
      <w:pPr>
        <w:spacing w:line="276" w:lineRule="auto"/>
        <w:rPr>
          <w:rFonts w:asciiTheme="minorHAnsi" w:eastAsia="Calibri" w:hAnsiTheme="minorHAnsi" w:cstheme="minorHAnsi"/>
          <w:sz w:val="22"/>
          <w:szCs w:val="22"/>
          <w:lang w:eastAsia="en-US"/>
        </w:rPr>
      </w:pPr>
    </w:p>
    <w:p w14:paraId="4767AFF8" w14:textId="77777777"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Turvallisuusselvityksen keston aikana viestintäkanavan tai käyttöliittymän tarjoajan on ilmoitettava toimivaltaiselle osavaltion mediaviranomaiselle kaikista olennaisista viestintäkanavaan tai käyttöliittymään tehtävistä muutoksista. </w:t>
      </w:r>
      <w:r>
        <w:rPr>
          <w:rFonts w:asciiTheme="minorHAnsi" w:hAnsiTheme="minorHAnsi"/>
          <w:sz w:val="22"/>
          <w:szCs w:val="22"/>
          <w:vertAlign w:val="superscript"/>
        </w:rPr>
        <w:t>2</w:t>
      </w:r>
      <w:r>
        <w:rPr>
          <w:rFonts w:asciiTheme="minorHAnsi" w:hAnsiTheme="minorHAnsi"/>
          <w:sz w:val="22"/>
          <w:szCs w:val="22"/>
        </w:rPr>
        <w:t>Toimivaltainen osavaltion mediaviranomainen tarkastaa viran puolesta, täyttyvätkö turvallisuusselvityksen edellytykset edelleen.</w:t>
      </w:r>
    </w:p>
    <w:p w14:paraId="6FD68EB0" w14:textId="77777777"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14:paraId="152CEEBA"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7 jakso: Loppusäännökset</w:t>
      </w:r>
    </w:p>
    <w:p w14:paraId="77CF018D" w14:textId="77777777"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14:paraId="5B7B6FF6" w14:textId="77777777"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16 § </w:t>
      </w:r>
    </w:p>
    <w:p w14:paraId="29832662"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Esteettömyys</w:t>
      </w:r>
    </w:p>
    <w:p w14:paraId="2764344D" w14:textId="77777777" w:rsidR="00FC7696" w:rsidRPr="00077B73" w:rsidRDefault="00FC7696" w:rsidP="00077B73">
      <w:pPr>
        <w:keepNext/>
        <w:spacing w:line="276" w:lineRule="auto"/>
        <w:jc w:val="center"/>
        <w:rPr>
          <w:rFonts w:ascii="Calibri" w:eastAsia="Calibri" w:hAnsi="Calibri"/>
          <w:b/>
          <w:sz w:val="22"/>
          <w:szCs w:val="22"/>
          <w:lang w:eastAsia="en-US"/>
        </w:rPr>
      </w:pPr>
    </w:p>
    <w:p w14:paraId="4A373860" w14:textId="77777777"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Käyttöliittymien tarjoajien </w:t>
      </w:r>
      <w:r>
        <w:rPr>
          <w:rFonts w:asciiTheme="minorHAnsi" w:hAnsiTheme="minorHAnsi"/>
          <w:sz w:val="22"/>
          <w:szCs w:val="22"/>
        </w:rPr>
        <w:t>ja viestintäkanavien</w:t>
      </w:r>
      <w:r>
        <w:rPr>
          <w:rFonts w:asciiTheme="minorHAnsi" w:hAnsiTheme="minorHAnsi"/>
          <w:bCs/>
          <w:sz w:val="22"/>
          <w:szCs w:val="22"/>
        </w:rPr>
        <w:t xml:space="preserve"> tarjoajien on teknisten ja taloudellisten valmiuksiensa puitteissa tuettava esteetöntä pääsyä televisio-ohjelmiin ja television kaltaisiin telemedioihin (mediavaltiosopimuksen 21 §).</w:t>
      </w:r>
    </w:p>
    <w:p w14:paraId="437AA2E0" w14:textId="77777777"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14:paraId="52C749B5" w14:textId="77777777"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17 §</w:t>
      </w:r>
    </w:p>
    <w:p w14:paraId="426398E5" w14:textId="77777777"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Voimaantulo, voimassaolon päättyminen</w:t>
      </w:r>
    </w:p>
    <w:p w14:paraId="01ED5180" w14:textId="77777777"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14:paraId="085C59D8" w14:textId="684B70BB"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Tämä perussääntö tulee voimaan 15 päivänä huhtikuuta 2021. </w:t>
      </w:r>
      <w:r>
        <w:rPr>
          <w:rFonts w:asciiTheme="minorHAnsi" w:hAnsiTheme="minorHAnsi"/>
          <w:sz w:val="22"/>
          <w:szCs w:val="22"/>
          <w:vertAlign w:val="superscript"/>
        </w:rPr>
        <w:t>2</w:t>
      </w:r>
      <w:r>
        <w:rPr>
          <w:rFonts w:asciiTheme="minorHAnsi" w:hAnsiTheme="minorHAnsi"/>
          <w:sz w:val="22"/>
          <w:szCs w:val="22"/>
        </w:rPr>
        <w:t>Osavaltioiden mediaviranomaisten johtajakonferenssin (DLM) puheenjohtaja ilmoittaa verkkosivustollaan kattomerkillä ”</w:t>
      </w:r>
      <w:proofErr w:type="spellStart"/>
      <w:r>
        <w:rPr>
          <w:rFonts w:asciiTheme="minorHAnsi" w:hAnsiTheme="minorHAnsi"/>
          <w:sz w:val="22"/>
          <w:szCs w:val="22"/>
        </w:rPr>
        <w:t>die</w:t>
      </w:r>
      <w:proofErr w:type="spellEnd"/>
      <w:r>
        <w:rPr>
          <w:rFonts w:asciiTheme="minorHAnsi" w:hAnsiTheme="minorHAnsi"/>
          <w:sz w:val="22"/>
          <w:szCs w:val="22"/>
        </w:rPr>
        <w:t xml:space="preserve"> </w:t>
      </w:r>
      <w:proofErr w:type="spellStart"/>
      <w:r>
        <w:rPr>
          <w:rFonts w:asciiTheme="minorHAnsi" w:hAnsiTheme="minorHAnsi"/>
          <w:sz w:val="22"/>
          <w:szCs w:val="22"/>
        </w:rPr>
        <w:t>medienanstalten</w:t>
      </w:r>
      <w:proofErr w:type="spellEnd"/>
      <w:r>
        <w:rPr>
          <w:rFonts w:asciiTheme="minorHAnsi" w:hAnsiTheme="minorHAnsi"/>
          <w:sz w:val="22"/>
          <w:szCs w:val="22"/>
        </w:rPr>
        <w:t>”</w:t>
      </w:r>
      <w:r w:rsidR="00D45C1F">
        <w:rPr>
          <w:rFonts w:asciiTheme="minorHAnsi" w:hAnsiTheme="minorHAnsi"/>
          <w:sz w:val="22"/>
          <w:szCs w:val="22"/>
        </w:rPr>
        <w:t xml:space="preserve"> (mediaviranomaiset)</w:t>
      </w:r>
      <w:r>
        <w:rPr>
          <w:rFonts w:asciiTheme="minorHAnsi" w:hAnsiTheme="minorHAnsi"/>
          <w:sz w:val="22"/>
          <w:szCs w:val="22"/>
        </w:rPr>
        <w:t xml:space="preserve">, ovatko kaikki osavaltioiden mediaviranomaiset siihen mennessä antaneet ja julkaisseet vastaavat perussäännöt. </w:t>
      </w:r>
      <w:r>
        <w:rPr>
          <w:rFonts w:asciiTheme="minorHAnsi" w:hAnsiTheme="minorHAnsi"/>
          <w:sz w:val="22"/>
          <w:szCs w:val="22"/>
          <w:vertAlign w:val="superscript"/>
        </w:rPr>
        <w:t>3</w:t>
      </w:r>
      <w:r>
        <w:rPr>
          <w:rFonts w:asciiTheme="minorHAnsi" w:hAnsiTheme="minorHAnsi"/>
          <w:sz w:val="22"/>
          <w:szCs w:val="22"/>
        </w:rPr>
        <w:t>Ensimmäisestä virkkeestä poiketen tämän perusäännön 10 §:n 5–7 momentti tulevat voimaan 1 päivänä syyskuuta 2021.</w:t>
      </w:r>
    </w:p>
    <w:p w14:paraId="59EF6BBE" w14:textId="77777777" w:rsidR="00F57DE5" w:rsidRPr="00077B73" w:rsidRDefault="00F57DE5" w:rsidP="00FC7696">
      <w:pPr>
        <w:spacing w:line="276" w:lineRule="auto"/>
        <w:rPr>
          <w:rFonts w:asciiTheme="minorHAnsi" w:eastAsia="Calibri" w:hAnsiTheme="minorHAnsi" w:cstheme="minorHAnsi"/>
          <w:sz w:val="22"/>
          <w:szCs w:val="22"/>
          <w:lang w:eastAsia="en-US"/>
        </w:rPr>
      </w:pPr>
    </w:p>
    <w:p w14:paraId="5105324D" w14:textId="77777777"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Samanaikaisesti digitaalisten palvelujen vapaasta käytöstä ja yleisradiovaltiosopimuksen 53 §:n mukaisesta kanavien sääntelystä 14 päivänä joulukuuta 2016 annetun perussäännön voimassaolo päättyy.</w:t>
      </w:r>
      <w:r w:rsidR="00AF2F17" w:rsidRPr="00077B73">
        <w:rPr>
          <w:rStyle w:val="Alaviitteenviit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C6A7C" w14:textId="77777777" w:rsidR="009E009E" w:rsidRDefault="009E009E" w:rsidP="00986629">
      <w:r>
        <w:separator/>
      </w:r>
    </w:p>
  </w:endnote>
  <w:endnote w:type="continuationSeparator" w:id="0">
    <w:p w14:paraId="0264B554" w14:textId="77777777" w:rsidR="009E009E" w:rsidRDefault="009E009E"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113784"/>
      <w:docPartObj>
        <w:docPartGallery w:val="Page Numbers (Bottom of Page)"/>
        <w:docPartUnique/>
      </w:docPartObj>
    </w:sdtPr>
    <w:sdtEndPr>
      <w:rPr>
        <w:rFonts w:asciiTheme="minorHAnsi" w:hAnsiTheme="minorHAnsi" w:cstheme="minorHAnsi"/>
        <w:sz w:val="22"/>
      </w:rPr>
    </w:sdtEndPr>
    <w:sdtContent>
      <w:p w14:paraId="215D13A8" w14:textId="77777777" w:rsidR="00A1291E" w:rsidRPr="00A1291E" w:rsidRDefault="00A1291E">
        <w:pPr>
          <w:pStyle w:val="Alatunniste"/>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62698F">
          <w:rPr>
            <w:rFonts w:asciiTheme="minorHAnsi" w:hAnsiTheme="minorHAnsi" w:cstheme="minorHAnsi"/>
            <w:noProof/>
            <w:sz w:val="22"/>
          </w:rPr>
          <w:t>11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17618" w14:textId="77777777" w:rsidR="009E009E" w:rsidRDefault="009E009E" w:rsidP="00986629">
      <w:r>
        <w:separator/>
      </w:r>
    </w:p>
  </w:footnote>
  <w:footnote w:type="continuationSeparator" w:id="0">
    <w:p w14:paraId="48600B5D" w14:textId="77777777" w:rsidR="009E009E" w:rsidRDefault="009E009E" w:rsidP="00986629">
      <w:r>
        <w:continuationSeparator/>
      </w:r>
    </w:p>
  </w:footnote>
  <w:footnote w:id="1">
    <w:p w14:paraId="4AB9CE70" w14:textId="77777777" w:rsidR="00AF2F17" w:rsidRPr="00F33BCA" w:rsidRDefault="00AF2F17">
      <w:pPr>
        <w:pStyle w:val="Alaviitteenteksti"/>
        <w:rPr>
          <w:rFonts w:asciiTheme="minorHAnsi" w:hAnsiTheme="minorHAnsi" w:cstheme="minorHAnsi"/>
        </w:rPr>
      </w:pPr>
      <w:r>
        <w:rPr>
          <w:rStyle w:val="Alaviitteenviite"/>
          <w:rFonts w:asciiTheme="minorHAnsi" w:hAnsiTheme="minorHAnsi" w:cstheme="minorHAnsi"/>
        </w:rPr>
        <w:footnoteRef/>
      </w:r>
      <w:r>
        <w:rPr>
          <w:rFonts w:asciiTheme="minorHAnsi" w:hAnsiTheme="minorHAnsi"/>
        </w:rPr>
        <w:t xml:space="preserve"> Tästä säädöksestä on ilmoitettu teknisiä määräyksiä ja tietoyhteiskunnan palveluja koskevia määräyksiä koskevien tietojen toimittamisessa noudatettavasta menettelystä 9 päivänä syyskuuta 2015 annetun Euroopan parlamentin ja neuvoston direktiivin (EU) 2015/1535 (EUVL L 241, 17.9.2015, s. 1) mukaisesti.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A60B5" w14:textId="77777777" w:rsidR="00986629" w:rsidRDefault="00FA085F">
    <w:pPr>
      <w:pStyle w:val="Yltunniste"/>
    </w:pPr>
    <w:r>
      <w:rPr>
        <w:noProof/>
        <w:lang w:val="en-US" w:eastAsia="en-US"/>
      </w:rPr>
      <mc:AlternateContent>
        <mc:Choice Requires="wps">
          <w:drawing>
            <wp:anchor distT="45720" distB="45720" distL="114300" distR="114300" simplePos="0" relativeHeight="251660288" behindDoc="0" locked="0" layoutInCell="1" allowOverlap="1" wp14:anchorId="1508740C" wp14:editId="0058B60C">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14:paraId="6711B764" w14:textId="77777777" w:rsidR="00FA085F" w:rsidRPr="00FA085F" w:rsidRDefault="00FA085F" w:rsidP="00FA085F">
                          <w:pPr>
                            <w:jc w:val="right"/>
                            <w:rPr>
                              <w:rFonts w:asciiTheme="minorHAnsi" w:hAnsiTheme="minorHAnsi" w:cstheme="minorHAnsi"/>
                              <w:sz w:val="32"/>
                            </w:rPr>
                          </w:pPr>
                          <w:proofErr w:type="spellStart"/>
                          <w:r>
                            <w:rPr>
                              <w:rFonts w:asciiTheme="minorHAnsi" w:hAnsiTheme="minorHAnsi"/>
                              <w:sz w:val="32"/>
                            </w:rPr>
                            <w:t>die</w:t>
                          </w:r>
                          <w:proofErr w:type="spellEnd"/>
                          <w:r>
                            <w:rPr>
                              <w:rFonts w:asciiTheme="minorHAnsi" w:hAnsiTheme="minorHAnsi"/>
                              <w:sz w:val="32"/>
                            </w:rPr>
                            <w:t xml:space="preserve"> </w:t>
                          </w:r>
                          <w:proofErr w:type="spellStart"/>
                          <w:r>
                            <w:rPr>
                              <w:rFonts w:asciiTheme="minorHAnsi" w:hAnsiTheme="minorHAnsi"/>
                              <w:sz w:val="32"/>
                            </w:rPr>
                            <w:t>medienanstalten</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sz w:val="32"/>
                        <w:rFonts w:asciiTheme="minorHAnsi" w:hAnsiTheme="minorHAnsi" w:cstheme="minorHAnsi"/>
                      </w:rPr>
                    </w:pPr>
                    <w:r>
                      <w:rPr>
                        <w:sz w:val="32"/>
                        <w:rFonts w:asciiTheme="minorHAnsi" w:hAnsiTheme="minorHAnsi"/>
                      </w:rPr>
                      <w:t xml:space="preserve">die medienanstalten</w:t>
                    </w:r>
                  </w:p>
                </w:txbxContent>
              </v:textbox>
            </v:shape>
          </w:pict>
        </mc:Fallback>
      </mc:AlternateContent>
    </w:r>
    <w:r>
      <w:rPr>
        <w:noProof/>
        <w:lang w:val="en-US" w:eastAsia="en-US"/>
      </w:rPr>
      <w:drawing>
        <wp:anchor distT="0" distB="0" distL="114300" distR="114300" simplePos="0" relativeHeight="251658240" behindDoc="0" locked="1" layoutInCell="1" allowOverlap="1" wp14:anchorId="664C9AFC" wp14:editId="23E2B155">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494CE8"/>
    <w:rsid w:val="00506FCB"/>
    <w:rsid w:val="00511D74"/>
    <w:rsid w:val="00517E15"/>
    <w:rsid w:val="00521970"/>
    <w:rsid w:val="00543B52"/>
    <w:rsid w:val="0058421F"/>
    <w:rsid w:val="00590EAA"/>
    <w:rsid w:val="005D5943"/>
    <w:rsid w:val="005F244D"/>
    <w:rsid w:val="0060422A"/>
    <w:rsid w:val="0062698F"/>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E009E"/>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45C1F"/>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29959"/>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pPr>
      <w:keepNext/>
      <w:autoSpaceDE w:val="0"/>
      <w:autoSpaceDN w:val="0"/>
      <w:adjustRightInd w:val="0"/>
      <w:jc w:val="center"/>
      <w:outlineLvl w:val="0"/>
    </w:pPr>
    <w:rPr>
      <w:rFonts w:ascii="Arial" w:hAnsi="Arial"/>
      <w:b/>
      <w:sz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semiHidden/>
    <w:rPr>
      <w:sz w:val="16"/>
      <w:szCs w:val="16"/>
    </w:rPr>
  </w:style>
  <w:style w:type="paragraph" w:styleId="Kommentinteksti">
    <w:name w:val="annotation text"/>
    <w:basedOn w:val="Normaali"/>
    <w:link w:val="KommentintekstiChar"/>
    <w:semiHidden/>
    <w:rPr>
      <w:sz w:val="20"/>
      <w:szCs w:val="20"/>
    </w:rPr>
  </w:style>
  <w:style w:type="paragraph" w:styleId="Kommentinotsikko">
    <w:name w:val="annotation subject"/>
    <w:basedOn w:val="Kommentinteksti"/>
    <w:next w:val="Kommentinteksti"/>
    <w:semiHidden/>
    <w:rPr>
      <w:b/>
      <w:bCs/>
    </w:rPr>
  </w:style>
  <w:style w:type="paragraph" w:styleId="Seliteteksti">
    <w:name w:val="Balloon Text"/>
    <w:basedOn w:val="Normaali"/>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Leipteksti">
    <w:name w:val="Body Text"/>
    <w:basedOn w:val="Normaali"/>
    <w:rPr>
      <w:rFonts w:ascii="Arial" w:hAnsi="Arial"/>
      <w:sz w:val="21"/>
    </w:rPr>
  </w:style>
  <w:style w:type="character" w:customStyle="1" w:styleId="KommentintekstiChar">
    <w:name w:val="Kommentin teksti Char"/>
    <w:link w:val="Kommentinteksti"/>
    <w:locked/>
    <w:rPr>
      <w:lang w:val="fi-FI" w:eastAsia="de-DE" w:bidi="ar-SA"/>
    </w:rPr>
  </w:style>
  <w:style w:type="paragraph" w:styleId="Yltunniste">
    <w:name w:val="header"/>
    <w:basedOn w:val="Normaali"/>
    <w:link w:val="YltunnisteChar"/>
    <w:rsid w:val="00986629"/>
    <w:pPr>
      <w:tabs>
        <w:tab w:val="center" w:pos="4536"/>
        <w:tab w:val="right" w:pos="9072"/>
      </w:tabs>
    </w:pPr>
  </w:style>
  <w:style w:type="character" w:customStyle="1" w:styleId="YltunnisteChar">
    <w:name w:val="Ylätunniste Char"/>
    <w:link w:val="Yltunniste"/>
    <w:uiPriority w:val="99"/>
    <w:rsid w:val="00986629"/>
    <w:rPr>
      <w:sz w:val="24"/>
      <w:szCs w:val="24"/>
    </w:rPr>
  </w:style>
  <w:style w:type="paragraph" w:styleId="Alatunniste">
    <w:name w:val="footer"/>
    <w:basedOn w:val="Normaali"/>
    <w:link w:val="AlatunnisteChar"/>
    <w:uiPriority w:val="99"/>
    <w:rsid w:val="00986629"/>
    <w:pPr>
      <w:tabs>
        <w:tab w:val="center" w:pos="4536"/>
        <w:tab w:val="right" w:pos="9072"/>
      </w:tabs>
    </w:pPr>
  </w:style>
  <w:style w:type="character" w:customStyle="1" w:styleId="AlatunnisteChar">
    <w:name w:val="Alatunniste Char"/>
    <w:link w:val="Alatunniste"/>
    <w:uiPriority w:val="99"/>
    <w:rsid w:val="00986629"/>
    <w:rPr>
      <w:sz w:val="24"/>
      <w:szCs w:val="24"/>
    </w:rPr>
  </w:style>
  <w:style w:type="paragraph" w:customStyle="1" w:styleId="GGSZ">
    <w:name w:val="GGS ZÜ"/>
    <w:basedOn w:val="Normaali"/>
    <w:link w:val="GGSZZchn"/>
    <w:uiPriority w:val="4"/>
    <w:qFormat/>
    <w:rsid w:val="005D5943"/>
    <w:pPr>
      <w:spacing w:before="120"/>
    </w:pPr>
    <w:rPr>
      <w:rFonts w:asciiTheme="minorHAnsi" w:hAnsiTheme="minorHAnsi"/>
      <w:b/>
      <w:sz w:val="22"/>
    </w:rPr>
  </w:style>
  <w:style w:type="character" w:customStyle="1" w:styleId="GGSZZchn">
    <w:name w:val="GGS ZÜ Zchn"/>
    <w:basedOn w:val="Kappaleenoletusfontti"/>
    <w:link w:val="GGSZ"/>
    <w:uiPriority w:val="4"/>
    <w:rsid w:val="005D5943"/>
    <w:rPr>
      <w:rFonts w:asciiTheme="minorHAnsi" w:hAnsiTheme="minorHAnsi"/>
      <w:b/>
      <w:sz w:val="22"/>
      <w:szCs w:val="24"/>
    </w:rPr>
  </w:style>
  <w:style w:type="paragraph" w:styleId="Luettelokappale">
    <w:name w:val="List Paragraph"/>
    <w:basedOn w:val="Normaali"/>
    <w:uiPriority w:val="34"/>
    <w:qFormat/>
    <w:rsid w:val="00650B4F"/>
    <w:pPr>
      <w:ind w:left="720"/>
      <w:contextualSpacing/>
    </w:pPr>
  </w:style>
  <w:style w:type="paragraph" w:styleId="Alaviitteenteksti">
    <w:name w:val="footnote text"/>
    <w:basedOn w:val="Normaali"/>
    <w:link w:val="AlaviitteentekstiChar"/>
    <w:rsid w:val="00AF2F17"/>
    <w:rPr>
      <w:sz w:val="20"/>
      <w:szCs w:val="20"/>
    </w:rPr>
  </w:style>
  <w:style w:type="character" w:customStyle="1" w:styleId="AlaviitteentekstiChar">
    <w:name w:val="Alaviitteen teksti Char"/>
    <w:basedOn w:val="Kappaleenoletusfontti"/>
    <w:link w:val="Alaviitteenteksti"/>
    <w:rsid w:val="00AF2F17"/>
  </w:style>
  <w:style w:type="character" w:styleId="Alaviitteenviite">
    <w:name w:val="footnote reference"/>
    <w:basedOn w:val="Kappaleenoletusfontti"/>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16A1-AEF9-49F7-87D1-304B00EB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2933</Words>
  <Characters>23761</Characters>
  <Application>Microsoft Office Word</Application>
  <DocSecurity>0</DocSecurity>
  <Lines>198</Lines>
  <Paragraphs>53</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Meri Korhonen</cp:lastModifiedBy>
  <cp:revision>3</cp:revision>
  <cp:lastPrinted>2014-01-13T11:15:00Z</cp:lastPrinted>
  <dcterms:created xsi:type="dcterms:W3CDTF">2020-12-30T11:20:00Z</dcterms:created>
  <dcterms:modified xsi:type="dcterms:W3CDTF">2020-12-30T11:23:00Z</dcterms:modified>
</cp:coreProperties>
</file>