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 xml:space="preserve">Lov […] af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om ændring af lov XLII af 1999 </w:t>
      </w:r>
      <w:r>
        <w:rPr>
          <w:b/>
          <w:rStyle w:val="Emphasis"/>
          <w:i w:val="0"/>
        </w:rPr>
        <w:t xml:space="preserve">om beskyttelse af ikkerygere</w:t>
      </w:r>
      <w:r>
        <w:rPr>
          <w:b/>
        </w:rPr>
        <w:t xml:space="preserve"> og visse regler om forbrug og distribution af tobaksvarer og af lov CXXXIV af 2012 om bekæmpelse af ungdomsrygning og detailsalg af tobaksvarer</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b/>
          <w:kern w:val="2"/>
          <w:rFonts w:eastAsia="Noto Sans CJK SC"/>
        </w:rPr>
      </w:pPr>
      <w:r>
        <w:rPr>
          <w:b/>
        </w:rPr>
        <w:t xml:space="preserve">1.</w:t>
      </w:r>
      <w:r>
        <w:rPr>
          <w:b/>
        </w:rPr>
        <w:t xml:space="preserve"> </w:t>
      </w:r>
      <w:r>
        <w:rPr>
          <w:b/>
        </w:rPr>
        <w:t xml:space="preserve">Ændring af lov XLII af 1999 </w:t>
      </w:r>
      <w:r>
        <w:rPr>
          <w:b/>
          <w:rStyle w:val="Emphasis"/>
          <w:i w:val="0"/>
        </w:rPr>
        <w:t xml:space="preserve">om beskyttelse af ikkerygere</w:t>
      </w:r>
      <w:r>
        <w:rPr>
          <w:b/>
        </w:rPr>
        <w:t xml:space="preserve"> og visse regler om forbrug og distribution af tobaksvarer</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b/>
          <w:kern w:val="2"/>
          <w:rFonts w:eastAsia="Noto Sans CJK SC"/>
        </w:rPr>
      </w:pPr>
      <w:r>
        <w:rPr>
          <w:b/>
        </w:rPr>
        <w:t xml:space="preserve">§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w:t>
      </w:r>
      <w:r>
        <w:t xml:space="preserve"> </w:t>
      </w:r>
      <w:r>
        <w:t xml:space="preserve">I lov XLII af 1999 om beskyttelse af ikkerygere og visse regler om forbrug og distribution af tobaksvarer (i det følgende benævnt "loven om beskyttelse af ikkerygere") affattes § 1, litra </w:t>
      </w:r>
      <w:r>
        <w:rPr>
          <w:i/>
        </w:rPr>
        <w:t xml:space="preserve">s) </w:t>
      </w:r>
      <w:r>
        <w:t xml:space="preserve">og </w:t>
      </w:r>
      <w:r>
        <w:rPr>
          <w:i/>
        </w:rPr>
        <w:t xml:space="preserve">t)</w:t>
      </w:r>
      <w:r>
        <w:t xml:space="preserve">, således:</w:t>
      </w:r>
      <w:r>
        <w:t xml:space="preserv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i/>
          <w:iCs/>
          <w:kern w:val="2"/>
          <w:rFonts w:eastAsia="Noto Sans CJK SC"/>
        </w:rPr>
      </w:pPr>
      <w:r>
        <w:rPr>
          <w:i/>
        </w:rPr>
        <w:t xml:space="preserve">(I denne lov forstås ved)</w:t>
      </w:r>
    </w:p>
    <w:p w14:paraId="08370725" w14:textId="77777777" w:rsidR="00DB125E" w:rsidRPr="005A143B" w:rsidRDefault="00DB125E" w:rsidP="00DB125E">
      <w:pPr>
        <w:jc w:val="both"/>
      </w:pPr>
    </w:p>
    <w:p w14:paraId="4219C306" w14:textId="77777777" w:rsidR="00DB125E" w:rsidRPr="00164E2E" w:rsidRDefault="00DB125E" w:rsidP="00DB125E">
      <w:pPr>
        <w:jc w:val="both"/>
      </w:pPr>
      <w:r>
        <w:t xml:space="preserve">"</w:t>
      </w:r>
      <w:r>
        <w:rPr>
          <w:i/>
        </w:rPr>
        <w:t xml:space="preserve">s) </w:t>
      </w:r>
      <w:r>
        <w:rPr>
          <w:i/>
        </w:rPr>
        <w:t xml:space="preserve">elektronisk udstyr, der imiterer rygning</w:t>
      </w:r>
      <w:r>
        <w:t xml:space="preserve">: et elektronisk produkt til engangsbrug eller et produkt, der skal genopfyldes med en nikotinfri genopfyldningsbeholder eller betjenes med en nikotinfri patron (til flergangsbrug), og som kan bruges til at forbruge nikotinfri damp via et mundstykke,</w:t>
      </w:r>
      <w:r>
        <w:t xml:space="preserve"> </w:t>
      </w:r>
      <w:r>
        <w:t xml:space="preserve">eller enhver komponent i dette produkt, herunder tanke, eller enhver anordning uden patron eller tank</w:t>
      </w:r>
    </w:p>
    <w:p w14:paraId="715B99F0" w14:textId="77777777" w:rsidR="00DB125E" w:rsidRPr="00164E2E" w:rsidRDefault="00DB125E" w:rsidP="00DB125E">
      <w:pPr>
        <w:jc w:val="both"/>
      </w:pPr>
      <w:r>
        <w:rPr>
          <w:i/>
          <w:iCs/>
        </w:rPr>
        <w:t xml:space="preserve">t) nikotinfri genopfyldningsbeholder</w:t>
      </w:r>
      <w:r>
        <w:t xml:space="preserve">: en tank, der indeholder nikotinfri væske til genopfyldning af elektronisk udstyr, der imiterer rygning".</w:t>
      </w:r>
    </w:p>
    <w:p w14:paraId="622D8771" w14:textId="77777777" w:rsidR="00DB125E" w:rsidRDefault="00DB125E" w:rsidP="00DB125E">
      <w:pPr>
        <w:jc w:val="both"/>
      </w:pPr>
    </w:p>
    <w:p w14:paraId="07B1F29D" w14:textId="747BAB26" w:rsidR="00DB125E" w:rsidRDefault="00DB125E" w:rsidP="00DB125E">
      <w:pPr>
        <w:jc w:val="both"/>
      </w:pPr>
      <w:r>
        <w:t xml:space="preserve">(2)</w:t>
      </w:r>
      <w:r>
        <w:t xml:space="preserve"> </w:t>
      </w:r>
      <w:r>
        <w:t xml:space="preserve">I loven om beskyttelse af ikkerygere tilføjes følgende litra </w:t>
      </w:r>
      <w:r>
        <w:rPr>
          <w:i/>
        </w:rPr>
        <w:t xml:space="preserve">z)</w:t>
      </w:r>
      <w:r>
        <w:t xml:space="preserve"> til § 1:</w:t>
      </w:r>
      <w:r>
        <w:t xml:space="preserve">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i/>
          <w:iCs/>
          <w:kern w:val="2"/>
          <w:rFonts w:eastAsia="Noto Sans CJK SC"/>
        </w:rPr>
      </w:pPr>
      <w:r>
        <w:rPr>
          <w:i/>
        </w:rPr>
        <w:t xml:space="preserve">(I denne lov forstås ved)</w:t>
      </w:r>
    </w:p>
    <w:p w14:paraId="51C4D610" w14:textId="77777777" w:rsidR="00DB125E" w:rsidRPr="00164E2E" w:rsidRDefault="00DB125E" w:rsidP="00DB125E">
      <w:pPr>
        <w:jc w:val="both"/>
      </w:pPr>
    </w:p>
    <w:p w14:paraId="0754F231" w14:textId="77777777" w:rsidR="00DB125E" w:rsidRPr="00164E2E" w:rsidRDefault="00DB125E" w:rsidP="00DB125E">
      <w:pPr>
        <w:jc w:val="both"/>
      </w:pPr>
      <w:r>
        <w:t xml:space="preserve">"</w:t>
      </w:r>
      <w:r>
        <w:rPr>
          <w:i/>
        </w:rPr>
        <w:t xml:space="preserve">z) nikotinfri patron</w:t>
      </w:r>
      <w:r>
        <w:t xml:space="preserve">: en type nikotinfri genopfyldningsbeholder, som er nødvendig for brug af visse typer elektronisk udstyr, der imiterer rygning, og som er en tank, der indeholder nikotinfri væske i enhver form, typisk til engangsbrug (kan ikke genopfyldes)."</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b/>
          <w:bCs/>
          <w:kern w:val="2"/>
          <w:rFonts w:eastAsia="Noto Sans CJK SC"/>
        </w:rPr>
      </w:pPr>
      <w:r>
        <w:rPr>
          <w:b/>
        </w:rPr>
        <w:t xml:space="preserve">§ 2</w:t>
      </w:r>
      <w:r>
        <w:rPr>
          <w:b/>
        </w:rPr>
        <w:t xml:space="preserve">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kern w:val="2"/>
          <w:rFonts w:eastAsia="Noto Sans CJK SC"/>
        </w:rPr>
      </w:pPr>
      <w:r>
        <w:t xml:space="preserve">(1)</w:t>
      </w:r>
      <w:r>
        <w:t xml:space="preserve"> </w:t>
      </w:r>
      <w:r>
        <w:t xml:space="preserve">§ 7/D, stk. 1, i loven om beskyttelse af ikkerygere affattes således:</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kern w:val="2"/>
          <w:rFonts w:eastAsia="Noto Sans CJK SC"/>
        </w:rPr>
      </w:pPr>
      <w:r>
        <w:t xml:space="preserve">"(1)</w:t>
      </w:r>
      <w:r>
        <w:t xml:space="preserve"> </w:t>
      </w:r>
      <w:r>
        <w:t xml:space="preserve">Fabrikanter og importører af elektroniske cigaretter, genopfyldningsbeholdere og -patroner, elektronisk udstyr, der imiterer rygning, nikotinfri genopfyldningsbeholdere, nikotinfri patroner og nikotinholdige rygeerstatninger og distributørerne heraf i Ungarn underretter folkesundhedsmyndigheden om ethvert produkt, som de agter at bringe i omsætning, seks måneder før deres markedsføring."</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kern w:val="2"/>
          <w:rFonts w:eastAsia="Noto Sans CJK SC"/>
        </w:rPr>
      </w:pPr>
      <w:r>
        <w:t xml:space="preserve">(2)</w:t>
      </w:r>
      <w:r>
        <w:t xml:space="preserve"> </w:t>
      </w:r>
      <w:r>
        <w:t xml:space="preserve">§ 7/D, stk. 3, i loven om beskyttelse af ikkerygere affattes således:</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kern w:val="2"/>
          <w:rFonts w:eastAsia="Noto Sans CJK SC"/>
        </w:rPr>
      </w:pPr>
      <w:r>
        <w:t xml:space="preserve">"(3)</w:t>
      </w:r>
      <w:r>
        <w:t xml:space="preserve"> </w:t>
      </w:r>
      <w:r>
        <w:t xml:space="preserve">Følgende indberettes til folkesundhedsmyndigheden i overensstemmelse med stk. 1:</w:t>
      </w:r>
    </w:p>
    <w:p w14:paraId="407E44DE" w14:textId="77777777" w:rsidR="00DB125E" w:rsidRPr="00E5303B" w:rsidRDefault="00DB125E" w:rsidP="00DB125E">
      <w:pPr>
        <w:suppressAutoHyphens/>
        <w:jc w:val="both"/>
        <w:rPr>
          <w:kern w:val="2"/>
          <w:rFonts w:eastAsia="Noto Sans CJK SC"/>
        </w:rPr>
      </w:pPr>
      <w:r>
        <w:t xml:space="preserve">a) enhver ændring af elektroniske cigaretter, genopfyldningsbeholdere og -patroner, elektronisk udstyr, der imiterer rygning, nikotinfri genopfyldningsbeholdere, nikotinfri patroner og nikotinholdige rygeerstatninger, som påvirker produktets tekniske egenskaber som defineret i denne lov eller i et regeringsdekret udstedt i henhold til tilladelsen i denne lov</w:t>
      </w:r>
    </w:p>
    <w:p w14:paraId="4724DEC7" w14:textId="77777777" w:rsidR="00DB125E" w:rsidRPr="00E5303B" w:rsidRDefault="00DB125E" w:rsidP="00DB125E">
      <w:pPr>
        <w:suppressAutoHyphens/>
        <w:jc w:val="both"/>
        <w:rPr>
          <w:kern w:val="2"/>
          <w:rFonts w:eastAsia="Noto Sans CJK SC"/>
        </w:rPr>
      </w:pPr>
      <w:r>
        <w:t xml:space="preserve">b) ændringer i identiteten og tilgængeligheden af producenten, importøren eller den ungarske distributør af elektroniske cigaretter, genopfyldningsbeholdere og -patroner, elektronisk udstyr, der imiterer rygning, nikotinfri genopfyldningsbeholdere, nikotinfri patroner og nikotinholdige rygeerstatninger."</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kern w:val="2"/>
          <w:rFonts w:eastAsia="Noto Sans CJK SC"/>
        </w:rPr>
      </w:pPr>
      <w:r>
        <w:t xml:space="preserve">(3)</w:t>
      </w:r>
      <w:r>
        <w:t xml:space="preserve"> </w:t>
      </w:r>
      <w:r>
        <w:t xml:space="preserve">I loven om beskyttelse af ikkerygere tilføjes følgende stk. 5 og 6 til § 7/D:</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kern w:val="2"/>
          <w:rFonts w:eastAsia="Noto Sans CJK SC"/>
        </w:rPr>
      </w:pPr>
      <w:r>
        <w:t xml:space="preserve">"(5)</w:t>
      </w:r>
      <w:r>
        <w:t xml:space="preserve"> </w:t>
      </w:r>
      <w:r>
        <w:t xml:space="preserve">Folkesundhedsmyndigheden fører fortegnelse over de produkter, der er anmeldt i henhold til stk. 1, hvilken fortegnelse skal indeholde:</w:t>
      </w:r>
    </w:p>
    <w:p w14:paraId="62C5FC5A" w14:textId="77777777" w:rsidR="00DB125E" w:rsidRPr="00E5303B" w:rsidRDefault="00DB125E" w:rsidP="00DB125E">
      <w:pPr>
        <w:suppressAutoHyphens/>
        <w:ind w:left="426" w:hanging="426"/>
        <w:jc w:val="both"/>
        <w:rPr>
          <w:kern w:val="2"/>
          <w:rFonts w:eastAsia="Noto Sans CJK SC"/>
        </w:rPr>
      </w:pPr>
      <w:r>
        <w:t xml:space="preserve">a) navnet på anmelderen, producenten eller importøren eller distributøren i Ungarn</w:t>
      </w:r>
    </w:p>
    <w:p w14:paraId="606EE827" w14:textId="77777777" w:rsidR="00DB125E" w:rsidRPr="00E5303B" w:rsidRDefault="00DB125E" w:rsidP="00DB125E">
      <w:pPr>
        <w:suppressAutoHyphens/>
        <w:ind w:left="426" w:hanging="426"/>
        <w:jc w:val="both"/>
        <w:rPr>
          <w:kern w:val="2"/>
          <w:rFonts w:eastAsia="Noto Sans CJK SC"/>
        </w:rPr>
      </w:pPr>
      <w:r>
        <w:t xml:space="preserve">b) det elektroniske cigaretidentifikationsnummer</w:t>
      </w:r>
    </w:p>
    <w:p w14:paraId="19CD09BF" w14:textId="77777777" w:rsidR="00DB125E" w:rsidRPr="00E5303B" w:rsidRDefault="00DB125E" w:rsidP="00DB125E">
      <w:pPr>
        <w:suppressAutoHyphens/>
        <w:ind w:left="426" w:hanging="426"/>
        <w:jc w:val="both"/>
        <w:rPr>
          <w:kern w:val="2"/>
          <w:rFonts w:eastAsia="Noto Sans CJK SC"/>
        </w:rPr>
      </w:pPr>
      <w:r>
        <w:t xml:space="preserve">c) varemærkets og undermærkets betegnelse</w:t>
      </w:r>
    </w:p>
    <w:p w14:paraId="69FB953D" w14:textId="77777777" w:rsidR="00DB125E" w:rsidRPr="00E5303B" w:rsidRDefault="00DB125E" w:rsidP="00DB125E">
      <w:pPr>
        <w:suppressAutoHyphens/>
        <w:ind w:left="426" w:hanging="426"/>
        <w:jc w:val="both"/>
        <w:rPr>
          <w:kern w:val="2"/>
          <w:rFonts w:eastAsia="Noto Sans CJK SC"/>
        </w:rPr>
      </w:pPr>
      <w:r>
        <w:t xml:space="preserve">d) produkttypen</w:t>
      </w:r>
    </w:p>
    <w:p w14:paraId="73992F7B" w14:textId="77777777" w:rsidR="00DB125E" w:rsidRPr="00E5303B" w:rsidRDefault="00DB125E" w:rsidP="00DB125E">
      <w:pPr>
        <w:suppressAutoHyphens/>
        <w:ind w:left="426" w:hanging="426"/>
        <w:jc w:val="both"/>
        <w:rPr>
          <w:kern w:val="2"/>
          <w:rFonts w:eastAsia="Noto Sans CJK SC"/>
        </w:rPr>
      </w:pPr>
      <w:r>
        <w:t xml:space="preserve">e) serienummeret på det certifikat, der er udstedt i forbindelse med anmeldelsen</w:t>
      </w:r>
    </w:p>
    <w:p w14:paraId="56BF7838" w14:textId="77777777" w:rsidR="00DB125E" w:rsidRPr="00E5303B" w:rsidRDefault="00DB125E" w:rsidP="00DB125E">
      <w:pPr>
        <w:suppressAutoHyphens/>
        <w:ind w:left="426" w:hanging="426"/>
        <w:jc w:val="both"/>
        <w:rPr>
          <w:kern w:val="2"/>
          <w:rFonts w:eastAsia="Noto Sans CJK SC"/>
        </w:rPr>
      </w:pPr>
      <w:r>
        <w:t xml:space="preserve">f) den første mulige markedsføringsdag som beregnet i henhold til stk.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kern w:val="2"/>
          <w:rFonts w:eastAsia="Noto Sans CJK SC"/>
        </w:rPr>
      </w:pPr>
      <w:r>
        <w:t xml:space="preserve">(6)</w:t>
      </w:r>
      <w:r>
        <w:t xml:space="preserve"> </w:t>
      </w:r>
      <w:r>
        <w:t xml:space="preserve">Den ungarske producent, importør og distributør skal sørge for tilbagetrækning fra markedet og tilbagekøb af ethvert produkt, der er omfattet af markedsføringsforbuddet, og som opbevares på lager af tobaksvareforhandleren."</w:t>
      </w:r>
    </w:p>
    <w:p w14:paraId="0A9586A9" w14:textId="422B59D3" w:rsidR="00333428" w:rsidRDefault="00333428"/>
    <w:p w14:paraId="1421BAD6" w14:textId="29A4BA46" w:rsidR="002D6BBD" w:rsidRDefault="002D6BBD" w:rsidP="00153F89">
      <w:pPr>
        <w:jc w:val="center"/>
        <w:rPr>
          <w:b/>
        </w:rPr>
      </w:pPr>
      <w:r>
        <w:rPr>
          <w:b/>
        </w:rPr>
        <w:t xml:space="preserve">§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kern w:val="2"/>
          <w:rFonts w:eastAsia="Noto Sans CJK SC"/>
        </w:rPr>
      </w:pPr>
      <w:r>
        <w:t xml:space="preserve">  </w:t>
      </w:r>
      <w:r>
        <w:t xml:space="preserve">§ 8, stk. 5, litra a), i loven om beskyttelse af ikkerygere affattes således:</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i/>
          <w:iCs/>
          <w:kern w:val="2"/>
          <w:rFonts w:eastAsia="Noto Sans CJK SC"/>
        </w:rPr>
      </w:pPr>
      <w:r>
        <w:rPr>
          <w:i/>
        </w:rPr>
        <w:t xml:space="preserve">(Regeringen bemyndiges herved til at definere og fastlægge følgende ved forordning:)</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 xml:space="preserve">"a) kombinerede advarsler, sundhedsadvarsler og detaljerede regler for anvendelsen heraf samt detaljerede regler for tobaksvarers emballageenheder til forbrugere og emballageenheder til elektroniske cigaretter, genopfyldningsbeholdere, elektronisk udstyr, der imiterer rygning, nikotinfri genopfyldningsbeholdere, nikotinfri patroner og nikotinholdige rygeerstatninger, indholdet og udformningen af tegn og mærkninger til rygebegrænsning og udpegede rygeområder samt for brugen af elektroniske cigaretter og elektronisk udstyr, der imiterer rygning, ud over andre betingelser for fremstilling, distribution og kontrol af tobaksvarer, elektroniske cigaretter, genopfyldningsbeholdere, elektronisk udstyr, der imiterer rygning, nikotinfri genopfyldningsbeholdere og nikotinholdige rygeerstatninger, idet sådanne betingelser ikke falder ind under punktafgiftslovens anvendelsesområde."</w:t>
      </w:r>
    </w:p>
    <w:p w14:paraId="0D5D932B" w14:textId="77777777" w:rsidR="002D6BBD" w:rsidRDefault="002D6BBD"/>
    <w:p w14:paraId="255BC7D4" w14:textId="48DF91E1" w:rsidR="00DB125E" w:rsidRPr="00D55D42" w:rsidRDefault="00827692" w:rsidP="00DB125E">
      <w:pPr>
        <w:suppressAutoHyphens/>
        <w:jc w:val="center"/>
        <w:rPr>
          <w:b/>
          <w:kern w:val="2"/>
          <w:rFonts w:eastAsia="Noto Sans CJK SC"/>
        </w:rPr>
      </w:pPr>
      <w:r>
        <w:rPr>
          <w:b/>
        </w:rPr>
        <w:t xml:space="preserve">§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 xml:space="preserve">I loven om beskyttelse af ikkerygere tilføjes følgende stk. 4a til § 10:</w:t>
      </w:r>
    </w:p>
    <w:p w14:paraId="007E3F42" w14:textId="77777777" w:rsidR="00DB125E" w:rsidRPr="00D55D42" w:rsidRDefault="00DB125E" w:rsidP="00DB125E">
      <w:pPr>
        <w:jc w:val="center"/>
      </w:pPr>
    </w:p>
    <w:p w14:paraId="37B8ADF9" w14:textId="59AF2AF0" w:rsidR="005777D3" w:rsidRDefault="00DB125E" w:rsidP="005777D3">
      <w:pPr>
        <w:jc w:val="both"/>
      </w:pPr>
      <w:r>
        <w:t xml:space="preserve">"(4a) For så vidt angår nikotinfri genopfyldningsbeholdere, nikotinfri patroner og nikotinholdige rygeerstatninger, der allerede var på markedet den 1. september 2023, skal anmeldelsen som defineret i § 7/D, stk. 1, i henhold til § 2 i lov ... af 2023 om ændring af lov XLII af 1999 om beskyttelse af ikkerygere og visse regler for forbrug og distribution af tobaksvarer og af lov CXXXIV af 2012 om bekæmpelse af ungdomsrygning og detailsalg af tobaksvarer</w:t>
      </w:r>
    </w:p>
    <w:p w14:paraId="064D8A1E" w14:textId="4F3F8F5C" w:rsidR="00DB125E" w:rsidRDefault="005777D3" w:rsidP="005777D3">
      <w:pPr>
        <w:jc w:val="both"/>
      </w:pPr>
      <w:r>
        <w:t xml:space="preserve">  </w:t>
      </w:r>
      <w:r>
        <w:t xml:space="preserve">ske inden den 31. januar 2024."</w:t>
      </w:r>
    </w:p>
    <w:p w14:paraId="717F87AE" w14:textId="77777777" w:rsidR="00E91F8B" w:rsidRDefault="00E91F8B" w:rsidP="005777D3">
      <w:pPr>
        <w:jc w:val="both"/>
      </w:pPr>
    </w:p>
    <w:p w14:paraId="44851160" w14:textId="00604E87" w:rsidR="00E91F8B" w:rsidRDefault="00DC56BA" w:rsidP="00E91F8B">
      <w:pPr>
        <w:jc w:val="center"/>
        <w:rPr>
          <w:b/>
        </w:rPr>
      </w:pPr>
      <w:r>
        <w:rPr>
          <w:b/>
        </w:rPr>
        <w:t xml:space="preserve">§ 5</w:t>
      </w:r>
    </w:p>
    <w:p w14:paraId="664F8A47" w14:textId="77777777" w:rsidR="00E91F8B" w:rsidRDefault="00E91F8B" w:rsidP="00E91F8B">
      <w:pPr>
        <w:jc w:val="center"/>
        <w:rPr>
          <w:b/>
        </w:rPr>
      </w:pPr>
    </w:p>
    <w:p w14:paraId="1478B73D" w14:textId="09EACD72" w:rsidR="00E91F8B" w:rsidRPr="00E91F8B" w:rsidRDefault="00E91F8B" w:rsidP="00E91F8B">
      <w:pPr>
        <w:jc w:val="both"/>
      </w:pPr>
      <w:r>
        <w:t xml:space="preserve">I loven om beskyttelse af ikkerygere indsættes følgende § 8/B:</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 xml:space="preserve">"§ 8/B Følgende afsnit fastsat ved lov ... af 2023 om ændring af lov XLII af 1999 om beskyttelse af ikkerygere og visse regler for forbrug og distribution af tobaksvarer og af lov CXXXIV af 2012 om bekæmpelse af ungdomsrygning og detailsalg af tobaksvarer, som anført nedenfor, dvs. § 1, litra s), t) og z), § 7/C, § 7/D, stk. 1, 3, 5 og 6,</w:t>
      </w:r>
      <w:r>
        <w:t xml:space="preserve"> </w:t>
      </w:r>
      <w:r>
        <w:t xml:space="preserve">§ 7/E, stk. 1-6, § 7/F, § 7/G, stk. 1 og 2, § 7/H, § 8, stk. 5, litra a), og § 10, stk. 4a, i dette lovforslag, har været genstand for forhåndsmeddelelse i henhold til artikel 5-7 i Europa-Parlamentets og Rådets direktiv (EU) 2015/1535 af 9. september 2015 om en informationsprocedure med hensyn til tekniske forskrifter samt forskrifter for informationssamfundets tjenester."</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b/>
          <w:bCs/>
          <w:kern w:val="2"/>
          <w:rFonts w:eastAsia="Noto Sans CJK SC"/>
        </w:rPr>
      </w:pPr>
      <w:r>
        <w:rPr>
          <w:b/>
        </w:rPr>
        <w:t xml:space="preserve">§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kern w:val="2"/>
          <w:rFonts w:eastAsia="Noto Sans CJK SC"/>
        </w:rPr>
      </w:pPr>
      <w:r>
        <w:t xml:space="preserve">I loven om beskyttelse af ikkerygere foretages følgende ændringer:</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a) i § 7/C ændres "elektroniske cigaretter" til "elektroniske cigaretter, genopfyldningsbeholdere, patroner, elektronisk udstyr, der imiterer rygning, nikotinfri genopfyldningsbeholdere, nikotinfri patroner og nikotinholdige rygeerstatninger"</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b) i § 7/E, stk. 1-5, ændres "elektroniske cigaretter og genopfyldningsbeholdere" til "elektroniske cigaretter, genopfyldningsbeholdere, patroner, elektronisk udstyr, der imiterer rygning, nikotinfri genopfyldningsbeholdere, nikotinfri patroner og nikotinholdige rygeerstatninger"</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c) i § 7/E, stk. 6, ændres "elektroniske cigaretter eller genopfyldningsbeholdere" til "elektroniske cigaretter, genopfyldningsbeholdere, patroner, elektronisk udstyr, der imiterer rygning, nikotinfri genopfyldningsbeholdere, nikotinfri patroner og nikotinholdige rygeerstatninger"</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d) i § 7/F ændres "elektroniske cigaretter og genopfyldningsbeholdere" til "elektroniske cigaretter, genopfyldningsbeholdere, patroner, elektronisk udstyr, der imiterer rygning, nikotinfri genopfyldningsbeholdere, nikotinfri patroner og nikotinholdige rygeerstatninger"</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e) i § 7/G, stk. 1, ændres "elektroniske cigaretter eller genopfyldningsbeholdere" til "elektroniske cigaretter, genopfyldningsbeholdere, patroner, elektronisk udstyr, der imiterer rygning, nikotinfri genopfyldningsbeholdere, nikotinfri patroner og nikotinholdige rygeerstatninger"</w:t>
      </w:r>
    </w:p>
    <w:p w14:paraId="5DED55E3" w14:textId="1EE35D48" w:rsidR="00DB125E" w:rsidRPr="00673F64" w:rsidRDefault="00153F89" w:rsidP="00DB125E">
      <w:pPr>
        <w:pStyle w:val="BodyText"/>
        <w:spacing w:after="0" w:line="240" w:lineRule="auto"/>
        <w:jc w:val="both"/>
      </w:pPr>
      <w:r>
        <w:rPr>
          <w:rFonts w:ascii="Times New Roman" w:hAnsi="Times New Roman"/>
        </w:rPr>
        <w:t xml:space="preserve">f) i § 7/G, stk. 2, ændres "elektroniske cigaretter og genopfyldningsbeholdere" til "elektroniske cigaretter, genopfyldningsbeholdere, patroner, elektronisk udstyr, der imiterer rygning, nikotinfri genopfyldningsbeholdere, nikotinfri patroner og nikotinholdige rygeerstatninger"</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i § 7/H ændres "elektroniske cigaretter og elektronisk udstyr, der imiterer rygning" til "elektroniske cigaretter, genopfyldningsbeholdere, patroner, elektronisk udstyr, der imiterer rygning, nikotinfri genopfyldningsbeholdere, nikotinfri patroner og nikotinholdige rygeerstatninger".</w:t>
      </w:r>
      <w:r>
        <w:rPr>
          <w:rFonts w:ascii="Times New Roman" w:hAnsi="Times New Roman"/>
        </w:rPr>
        <w:t xml:space="preserve">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b/>
          <w:kern w:val="2"/>
          <w:rFonts w:eastAsia="Noto Sans CJK SC"/>
        </w:rPr>
      </w:pPr>
      <w:r>
        <w:rPr>
          <w:b/>
        </w:rPr>
        <w:t xml:space="preserve">§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kern w:val="2"/>
          <w:rFonts w:eastAsia="Noto Sans CJK SC"/>
        </w:rPr>
      </w:pPr>
      <w:r>
        <w:t xml:space="preserve"> </w:t>
      </w:r>
      <w:r>
        <w:t xml:space="preserve">§ 7/I i loven om beskyttelse af ikkerygere ophæves.</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b/>
          <w:kern w:val="2"/>
          <w:rFonts w:eastAsia="Noto Sans CJK SC"/>
        </w:rPr>
      </w:pPr>
      <w:r>
        <w:rPr>
          <w:b/>
        </w:rPr>
        <w:t xml:space="preserve">2.</w:t>
      </w:r>
      <w:r>
        <w:rPr>
          <w:b/>
        </w:rPr>
        <w:t xml:space="preserve"> </w:t>
      </w:r>
      <w:r>
        <w:rPr>
          <w:b/>
        </w:rPr>
        <w:t xml:space="preserve">Ændring af lov CXXXIV af 2012 om bekæmpelse af ungdomsrygning og detailsalg af tobaksvarer</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b/>
          <w:kern w:val="2"/>
          <w:rFonts w:eastAsia="Noto Sans CJK SC"/>
        </w:rPr>
      </w:pPr>
      <w:r>
        <w:rPr>
          <w:b/>
        </w:rPr>
        <w:t xml:space="preserve">§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 xml:space="preserve">I lov CXXXIV af 2012 om bekæmpelse af ungdomsrygning og detailsalg af tobaksvarer (i det følgende benævnt:</w:t>
      </w:r>
      <w:r>
        <w:t xml:space="preserve"> </w:t>
      </w:r>
      <w:r>
        <w:t xml:space="preserve">loven om bekæmpelse af ungdomsrygning) tilføjes følgende stk. 4 til § 28:</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kern w:val="2"/>
          <w:rFonts w:eastAsia="Noto Sans CJK SC"/>
        </w:rPr>
      </w:pPr>
      <w:r>
        <w:t xml:space="preserve">"(4)</w:t>
      </w:r>
      <w:r>
        <w:t xml:space="preserve"> </w:t>
      </w:r>
      <w:r>
        <w:t xml:space="preserve">Udkast til § 1, stk. 1, litra e), og § 3, stk. 2, litra e), som fastsat ved lov ... af 2023 om ændring af lov XLII af 1999 om beskyttelse af ikkerygere og visse regler for forbrug og distribution af tobaksvarer og af lov CXXXIV af 2012 om bekæmpelse af ungdomsrygning og detailsalg af tobaksvarer, har været genstand for forhåndsmeddelelse i henhold til artikel 5-7 i Europa-Parlamentets og Rådets direktiv (EU) 2015/1535 af 9. september 2015 om en informationsprocedure med hensyn til tekniske forskrifter samt forskrifter for informationssamfundets tjenester."</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b/>
          <w:kern w:val="2"/>
          <w:rFonts w:eastAsia="Noto Sans CJK SC"/>
        </w:rPr>
      </w:pPr>
      <w:r>
        <w:rPr>
          <w:b/>
        </w:rPr>
        <w:t xml:space="preserve">§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I § 1, stk. 1, litra </w:t>
      </w:r>
      <w:r>
        <w:rPr>
          <w:i/>
        </w:rPr>
        <w:t xml:space="preserve">e)</w:t>
      </w:r>
      <w:r>
        <w:t xml:space="preserve">, og § 3, stk. 2, litra </w:t>
      </w:r>
      <w:r>
        <w:rPr>
          <w:i/>
        </w:rPr>
        <w:t xml:space="preserve">e)</w:t>
      </w:r>
      <w:r>
        <w:t xml:space="preserve">, i loven om bekæmpelse af ungdomsrygning ændres "nikotinfri genopfyldningsbeholdere" til "nikotinfri genopfyldningsbeholdere, nikotinfri patroner,".</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b/>
          <w:kern w:val="2"/>
          <w:rFonts w:eastAsia="Noto Sans CJK SC"/>
        </w:rPr>
      </w:pPr>
      <w:r>
        <w:rPr>
          <w:b/>
        </w:rPr>
        <w:t xml:space="preserve">3.</w:t>
      </w:r>
      <w:r>
        <w:rPr>
          <w:b/>
        </w:rPr>
        <w:t xml:space="preserve"> </w:t>
      </w:r>
      <w:r>
        <w:rPr>
          <w:b/>
        </w:rPr>
        <w:t xml:space="preserve">Afsluttende bestemmelser</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b/>
          <w:kern w:val="2"/>
          <w:rFonts w:eastAsia="Noto Sans CJK SC"/>
        </w:rPr>
      </w:pPr>
      <w:r>
        <w:rPr>
          <w:b/>
        </w:rPr>
        <w:t xml:space="preserve">§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kern w:val="2"/>
          <w:rFonts w:eastAsia="Noto Sans CJK SC"/>
        </w:rPr>
      </w:pPr>
      <w:r>
        <w:t xml:space="preserve">Denne lov træder i kraft den 1. november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 xml:space="preserve">§ 11</w:t>
      </w:r>
    </w:p>
    <w:p w14:paraId="7BC9C63E" w14:textId="77777777" w:rsidR="00E91F8B" w:rsidRDefault="00E91F8B" w:rsidP="00E91F8B">
      <w:pPr>
        <w:jc w:val="center"/>
      </w:pPr>
    </w:p>
    <w:p w14:paraId="50C1AEE0" w14:textId="45A9E010" w:rsidR="00E91F8B" w:rsidRDefault="00E91F8B" w:rsidP="00E91F8B">
      <w:pPr>
        <w:jc w:val="both"/>
        <w:rPr>
          <w:kern w:val="2"/>
          <w:rFonts w:eastAsia="Noto Sans CJK SC"/>
        </w:rPr>
      </w:pPr>
      <w:r>
        <w:t xml:space="preserve">Kravet til forhåndsmeddelelse om dette udkast til lov som anført i artikel 5-7 i Europa-Parlamentets og Rådets direktiv (EU) 2015/1535 af 9. september 2015 om en informationsprocedure med hensyn til tekniske forskrifter samt forskrifter for informationssamfundets tjenester er blevet opfyldt.</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da-DK"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da-DK"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8665</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Dimitris Dimitriadis</cp:lastModifiedBy>
  <cp:revision>3</cp:revision>
  <cp:lastPrinted>2023-03-28T12:44:00Z</cp:lastPrinted>
  <dcterms:created xsi:type="dcterms:W3CDTF">2023-04-11T08:39:00Z</dcterms:created>
  <dcterms:modified xsi:type="dcterms:W3CDTF">2023-04-17T07:18:00Z</dcterms:modified>
</cp:coreProperties>
</file>