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DC9D" w14:textId="282E5D0C" w:rsidR="007A1FAA" w:rsidRPr="00153F89" w:rsidRDefault="007A1FAA" w:rsidP="00C54A0E">
      <w:pPr>
        <w:jc w:val="center"/>
        <w:rPr>
          <w:b/>
        </w:rPr>
      </w:pPr>
      <w:r>
        <w:rPr>
          <w:b/>
        </w:rPr>
        <w:t>Loi […] de 2023</w:t>
      </w:r>
    </w:p>
    <w:p w14:paraId="4A900911" w14:textId="77777777" w:rsidR="007A1FAA" w:rsidRPr="00153F89" w:rsidRDefault="007A1FAA" w:rsidP="00C54A0E">
      <w:pPr>
        <w:jc w:val="center"/>
        <w:rPr>
          <w:b/>
        </w:rPr>
      </w:pPr>
    </w:p>
    <w:p w14:paraId="3305083E" w14:textId="28A6A7D7" w:rsidR="007A1FAA" w:rsidRDefault="007A1FAA" w:rsidP="00C54A0E">
      <w:pPr>
        <w:jc w:val="center"/>
        <w:rPr>
          <w:b/>
        </w:rPr>
      </w:pPr>
      <w:r>
        <w:rPr>
          <w:b/>
        </w:rPr>
        <w:t xml:space="preserve">modifiant la loi XLII de 1999 </w:t>
      </w:r>
      <w:r>
        <w:rPr>
          <w:rStyle w:val="Emphasis"/>
          <w:b/>
          <w:i w:val="0"/>
        </w:rPr>
        <w:t>relative à la protection des non-fumeurs</w:t>
      </w:r>
      <w:r>
        <w:rPr>
          <w:b/>
        </w:rPr>
        <w:t xml:space="preserve"> et certaines règles relatives à la consommation et à la distribution des produits du tabac et de la loi CXXXIV de 2012 relative à la répression du tabagisme juvénile et à la vente au détail de produits du tabac</w:t>
      </w:r>
    </w:p>
    <w:p w14:paraId="60E721BE" w14:textId="1C81A8B7" w:rsidR="007A1FAA" w:rsidRDefault="007A1FAA" w:rsidP="00C54A0E">
      <w:pPr>
        <w:jc w:val="center"/>
        <w:rPr>
          <w:b/>
        </w:rPr>
      </w:pPr>
    </w:p>
    <w:p w14:paraId="35324481" w14:textId="647AE267" w:rsidR="00396C85" w:rsidRDefault="00396C85" w:rsidP="00C54A0E">
      <w:pPr>
        <w:jc w:val="center"/>
        <w:rPr>
          <w:b/>
        </w:rPr>
      </w:pPr>
    </w:p>
    <w:p w14:paraId="594C6594" w14:textId="62E1C8A3" w:rsidR="00396C85" w:rsidRDefault="00396C85" w:rsidP="00C54A0E">
      <w:pPr>
        <w:jc w:val="center"/>
        <w:rPr>
          <w:b/>
        </w:rPr>
      </w:pPr>
    </w:p>
    <w:p w14:paraId="0ADB084F" w14:textId="3753FB14" w:rsidR="00396C85" w:rsidRPr="00153F89" w:rsidRDefault="00396C85" w:rsidP="00913058">
      <w:pPr>
        <w:jc w:val="center"/>
        <w:rPr>
          <w:rFonts w:eastAsia="Noto Sans CJK SC"/>
          <w:b/>
          <w:kern w:val="2"/>
        </w:rPr>
      </w:pPr>
      <w:r>
        <w:rPr>
          <w:b/>
        </w:rPr>
        <w:t xml:space="preserve">1. Modification de la loi XLII de 1999 </w:t>
      </w:r>
      <w:r>
        <w:rPr>
          <w:rStyle w:val="Emphasis"/>
          <w:b/>
          <w:i w:val="0"/>
        </w:rPr>
        <w:t>relative à la protection des non-fumeurs</w:t>
      </w:r>
      <w:r>
        <w:rPr>
          <w:b/>
        </w:rPr>
        <w:t xml:space="preserve"> et certaines règles relatives à la consommation et à la distribution des produits du tabac</w:t>
      </w:r>
    </w:p>
    <w:p w14:paraId="77B62EF7" w14:textId="77777777" w:rsidR="007A1FAA" w:rsidRDefault="007A1FAA" w:rsidP="00C54A0E">
      <w:pPr>
        <w:jc w:val="center"/>
        <w:rPr>
          <w:rFonts w:eastAsia="Noto Sans CJK SC"/>
          <w:b/>
          <w:kern w:val="2"/>
          <w:lang w:eastAsia="zh-CN" w:bidi="hi-IN"/>
        </w:rPr>
      </w:pPr>
    </w:p>
    <w:p w14:paraId="37AE6481" w14:textId="77777777" w:rsidR="007A1FAA" w:rsidRDefault="007A1FAA" w:rsidP="00C54A0E">
      <w:pPr>
        <w:jc w:val="center"/>
        <w:rPr>
          <w:rFonts w:eastAsia="Noto Sans CJK SC"/>
          <w:b/>
          <w:kern w:val="2"/>
          <w:lang w:eastAsia="zh-CN" w:bidi="hi-IN"/>
        </w:rPr>
      </w:pPr>
    </w:p>
    <w:p w14:paraId="7602B97D" w14:textId="1DC3F8E9" w:rsidR="00C54A0E" w:rsidRPr="00C54A0E" w:rsidRDefault="00835734" w:rsidP="00C54A0E">
      <w:pPr>
        <w:jc w:val="center"/>
        <w:rPr>
          <w:rFonts w:eastAsia="Noto Sans CJK SC"/>
          <w:b/>
          <w:kern w:val="2"/>
        </w:rPr>
      </w:pPr>
      <w:r>
        <w:rPr>
          <w:b/>
        </w:rPr>
        <w:t>Article 1</w:t>
      </w:r>
    </w:p>
    <w:p w14:paraId="59207714" w14:textId="77777777" w:rsidR="00C54A0E" w:rsidRDefault="00C54A0E" w:rsidP="00DB125E">
      <w:pPr>
        <w:jc w:val="both"/>
        <w:rPr>
          <w:rFonts w:eastAsia="Noto Sans CJK SC"/>
          <w:kern w:val="2"/>
          <w:lang w:eastAsia="zh-CN" w:bidi="hi-IN"/>
        </w:rPr>
      </w:pPr>
    </w:p>
    <w:p w14:paraId="1103FA69" w14:textId="1C54AF0F" w:rsidR="00DB125E" w:rsidRDefault="004049B2" w:rsidP="00DB125E">
      <w:pPr>
        <w:jc w:val="both"/>
      </w:pPr>
      <w:r>
        <w:t xml:space="preserve">(1) Dans la loi XLII de 1999 relative à la protection des non-fumeurs et certaines règles relatives à la consommation et à la distribution des produits du tabac (ci-après dénommée «loi sur les non-fumeurs»), l’article 1, </w:t>
      </w:r>
      <w:r>
        <w:rPr>
          <w:i/>
        </w:rPr>
        <w:t>point s)</w:t>
      </w:r>
      <w:r>
        <w:t xml:space="preserve"> et </w:t>
      </w:r>
      <w:r>
        <w:rPr>
          <w:i/>
        </w:rPr>
        <w:t>point t)</w:t>
      </w:r>
      <w:r>
        <w:t xml:space="preserve"> est remplacé par le texte suivant: </w:t>
      </w:r>
    </w:p>
    <w:p w14:paraId="60AA4A3C" w14:textId="77777777" w:rsidR="00DB125E" w:rsidRDefault="00DB125E" w:rsidP="00DB125E">
      <w:pPr>
        <w:jc w:val="both"/>
      </w:pPr>
    </w:p>
    <w:p w14:paraId="7FEED38F" w14:textId="77777777" w:rsidR="00DB125E" w:rsidRPr="00E5303B" w:rsidRDefault="00DB125E" w:rsidP="00DB125E">
      <w:pPr>
        <w:suppressAutoHyphens/>
        <w:jc w:val="both"/>
        <w:rPr>
          <w:rFonts w:eastAsia="Noto Sans CJK SC"/>
          <w:i/>
          <w:iCs/>
          <w:kern w:val="2"/>
        </w:rPr>
      </w:pPr>
      <w:r>
        <w:rPr>
          <w:i/>
        </w:rPr>
        <w:t>(Au sens de la présente loi, on entend par:)</w:t>
      </w:r>
    </w:p>
    <w:p w14:paraId="08370725" w14:textId="77777777" w:rsidR="00DB125E" w:rsidRPr="005A143B" w:rsidRDefault="00DB125E" w:rsidP="00DB125E">
      <w:pPr>
        <w:jc w:val="both"/>
      </w:pPr>
    </w:p>
    <w:p w14:paraId="4219C306" w14:textId="77777777" w:rsidR="00DB125E" w:rsidRPr="00164E2E" w:rsidRDefault="00DB125E" w:rsidP="00DB125E">
      <w:pPr>
        <w:jc w:val="both"/>
      </w:pPr>
      <w:r>
        <w:t>«</w:t>
      </w:r>
      <w:r>
        <w:rPr>
          <w:i/>
        </w:rPr>
        <w:t>point s)</w:t>
      </w:r>
      <w:r>
        <w:t xml:space="preserve"> </w:t>
      </w:r>
      <w:r>
        <w:rPr>
          <w:i/>
        </w:rPr>
        <w:t>dispositif électronique d’imitation du tabagisme</w:t>
      </w:r>
      <w:r>
        <w:t xml:space="preserve"> est un produit électronique à usage unique (jetable) ou un produit devant être rempli d’un récipient de recharge sans nicotine ou utilisé avec une cartouche sans nicotine (à usage multiple), qui peut être utilisé pour consommer de la vapeur sans nicotine via un morceau de bouche; ou tout composant de ce produit, y compris les citernes, ou tout dispositif sans cartouche ou réservoir;</w:t>
      </w:r>
    </w:p>
    <w:p w14:paraId="715B99F0" w14:textId="77777777" w:rsidR="00DB125E" w:rsidRPr="00164E2E" w:rsidRDefault="00DB125E" w:rsidP="00DB125E">
      <w:pPr>
        <w:jc w:val="both"/>
      </w:pPr>
      <w:r>
        <w:rPr>
          <w:i/>
        </w:rPr>
        <w:t>point t)</w:t>
      </w:r>
      <w:r>
        <w:t xml:space="preserve"> </w:t>
      </w:r>
      <w:r>
        <w:rPr>
          <w:i/>
        </w:rPr>
        <w:t>conteneur de recharge sans nicotine</w:t>
      </w:r>
      <w:r>
        <w:t xml:space="preserve"> est un réservoir contenant du liquide sans nicotine pour recharger un dispositif électronique d’imitation du tabagisme;»</w:t>
      </w:r>
    </w:p>
    <w:p w14:paraId="622D8771" w14:textId="77777777" w:rsidR="00DB125E" w:rsidRDefault="00DB125E" w:rsidP="00DB125E">
      <w:pPr>
        <w:jc w:val="both"/>
      </w:pPr>
    </w:p>
    <w:p w14:paraId="07B1F29D" w14:textId="747BAB26" w:rsidR="00DB125E" w:rsidRDefault="00DB125E" w:rsidP="00DB125E">
      <w:pPr>
        <w:jc w:val="both"/>
      </w:pPr>
      <w:r>
        <w:t>(2) Dans la loi sur les non-fumeurs, le point </w:t>
      </w:r>
      <w:r>
        <w:rPr>
          <w:i/>
        </w:rPr>
        <w:t>z)</w:t>
      </w:r>
      <w:r>
        <w:t xml:space="preserve"> suivant est ajouté à l’article 1: </w:t>
      </w:r>
    </w:p>
    <w:p w14:paraId="7979A114" w14:textId="77777777" w:rsidR="00AF7221" w:rsidRDefault="00AF7221" w:rsidP="00DB125E">
      <w:pPr>
        <w:suppressAutoHyphens/>
        <w:jc w:val="both"/>
        <w:rPr>
          <w:rFonts w:eastAsia="Noto Sans CJK SC"/>
          <w:i/>
          <w:iCs/>
          <w:kern w:val="2"/>
          <w:lang w:eastAsia="zh-CN" w:bidi="hi-IN"/>
        </w:rPr>
      </w:pPr>
    </w:p>
    <w:p w14:paraId="50B52E7A" w14:textId="77777777" w:rsidR="00DB125E" w:rsidRPr="00E5303B" w:rsidRDefault="00DB125E" w:rsidP="00DB125E">
      <w:pPr>
        <w:suppressAutoHyphens/>
        <w:jc w:val="both"/>
        <w:rPr>
          <w:rFonts w:eastAsia="Noto Sans CJK SC"/>
          <w:i/>
          <w:iCs/>
          <w:kern w:val="2"/>
        </w:rPr>
      </w:pPr>
      <w:r>
        <w:rPr>
          <w:i/>
        </w:rPr>
        <w:t>(Au sens de la présente loi, on entend par:)</w:t>
      </w:r>
    </w:p>
    <w:p w14:paraId="51C4D610" w14:textId="77777777" w:rsidR="00DB125E" w:rsidRPr="00164E2E" w:rsidRDefault="00DB125E" w:rsidP="00DB125E">
      <w:pPr>
        <w:jc w:val="both"/>
      </w:pPr>
    </w:p>
    <w:p w14:paraId="0754F231" w14:textId="77777777" w:rsidR="00DB125E" w:rsidRPr="00164E2E" w:rsidRDefault="00DB125E" w:rsidP="00DB125E">
      <w:pPr>
        <w:jc w:val="both"/>
      </w:pPr>
      <w:r>
        <w:t>«</w:t>
      </w:r>
      <w:r>
        <w:rPr>
          <w:i/>
        </w:rPr>
        <w:t>point z) cartouche sans nicotine</w:t>
      </w:r>
      <w:r>
        <w:t xml:space="preserve"> est un type de récipient de recharge sans nicotine qui est requis pour l’utilisation de certains dispositifs électroniques d’imitation du tabagisme, et qui est un réservoir contenant du liquide sans nicotine sous quelque forme que ce soit, généralement à usage unique (non rechargeable).»</w:t>
      </w:r>
    </w:p>
    <w:p w14:paraId="60DBF520" w14:textId="77777777" w:rsidR="00DB125E" w:rsidRPr="00E5303B" w:rsidRDefault="00DB125E" w:rsidP="00DB125E">
      <w:pPr>
        <w:pStyle w:val="BodyText"/>
        <w:spacing w:after="0"/>
      </w:pPr>
    </w:p>
    <w:p w14:paraId="7157B6B9" w14:textId="77F5D7FF" w:rsidR="00DB125E" w:rsidRPr="00E5303B" w:rsidRDefault="002D6BBD" w:rsidP="00DB125E">
      <w:pPr>
        <w:suppressAutoHyphens/>
        <w:jc w:val="center"/>
        <w:rPr>
          <w:rFonts w:eastAsia="Noto Sans CJK SC"/>
          <w:b/>
          <w:bCs/>
          <w:kern w:val="2"/>
        </w:rPr>
      </w:pPr>
      <w:r>
        <w:rPr>
          <w:b/>
        </w:rPr>
        <w:t xml:space="preserve">Article 2 </w:t>
      </w:r>
    </w:p>
    <w:p w14:paraId="4D09B8D7" w14:textId="77777777" w:rsidR="00DB125E" w:rsidRPr="00E5303B" w:rsidRDefault="00DB125E" w:rsidP="00DB125E">
      <w:pPr>
        <w:suppressAutoHyphens/>
        <w:jc w:val="center"/>
        <w:rPr>
          <w:rFonts w:eastAsia="Noto Sans CJK SC"/>
          <w:b/>
          <w:bCs/>
          <w:kern w:val="2"/>
          <w:lang w:eastAsia="zh-CN" w:bidi="hi-IN"/>
        </w:rPr>
      </w:pPr>
    </w:p>
    <w:p w14:paraId="0904DDA9" w14:textId="77777777" w:rsidR="00DB125E" w:rsidRPr="00E5303B" w:rsidRDefault="00DB125E" w:rsidP="00DB125E">
      <w:pPr>
        <w:suppressAutoHyphens/>
        <w:jc w:val="both"/>
        <w:rPr>
          <w:rFonts w:eastAsia="Noto Sans CJK SC"/>
          <w:kern w:val="2"/>
        </w:rPr>
      </w:pPr>
      <w:r>
        <w:t>(1) L’article 7/D, paragraphe 1 de la loi sur les non-fumeurs est remplacé par le texte suivant:</w:t>
      </w:r>
    </w:p>
    <w:p w14:paraId="1AB84FCC" w14:textId="77777777" w:rsidR="00DB125E" w:rsidRPr="00E5303B" w:rsidRDefault="00DB125E" w:rsidP="00DB125E">
      <w:pPr>
        <w:suppressAutoHyphens/>
        <w:jc w:val="both"/>
        <w:rPr>
          <w:rFonts w:eastAsia="Noto Sans CJK SC"/>
          <w:kern w:val="2"/>
          <w:lang w:eastAsia="zh-CN" w:bidi="hi-IN"/>
        </w:rPr>
      </w:pPr>
    </w:p>
    <w:p w14:paraId="2BDA0FD0" w14:textId="77777777" w:rsidR="00DB125E" w:rsidRPr="00E5303B" w:rsidRDefault="00DB125E" w:rsidP="00DB125E">
      <w:pPr>
        <w:suppressAutoHyphens/>
        <w:jc w:val="both"/>
        <w:rPr>
          <w:rFonts w:eastAsia="Noto Sans CJK SC"/>
          <w:kern w:val="2"/>
        </w:rPr>
      </w:pPr>
      <w:r>
        <w:t>«Paragraphe 1 Les fabricants et importateurs de cigarettes électroniques, de récipients et de cartouches de recharge, de dispositifs électroniques d’imitation du tabagisme, de récipients de recharge sans nicotine, de cartouches sans nicotine et de substituts au tabagisme contenant de la nicotine, ainsi que leurs distributeurs en Hongrie notifient à l’autorité de santé publique tout produit qu’ils envisagent de mettre sur le marché six mois avant leur mise sur le marché.»</w:t>
      </w:r>
    </w:p>
    <w:p w14:paraId="679D7C12" w14:textId="77777777" w:rsidR="00DB125E" w:rsidRPr="00E5303B" w:rsidRDefault="00DB125E" w:rsidP="00DB125E">
      <w:pPr>
        <w:suppressAutoHyphens/>
        <w:jc w:val="both"/>
        <w:rPr>
          <w:rFonts w:eastAsia="Noto Sans CJK SC"/>
          <w:kern w:val="2"/>
          <w:lang w:eastAsia="zh-CN" w:bidi="hi-IN"/>
        </w:rPr>
      </w:pPr>
    </w:p>
    <w:p w14:paraId="1FADB2C1" w14:textId="77777777" w:rsidR="00DB125E" w:rsidRPr="00E5303B" w:rsidRDefault="00DB125E" w:rsidP="00DB125E">
      <w:pPr>
        <w:suppressAutoHyphens/>
        <w:jc w:val="both"/>
        <w:rPr>
          <w:rFonts w:eastAsia="Noto Sans CJK SC"/>
          <w:kern w:val="2"/>
        </w:rPr>
      </w:pPr>
      <w:r>
        <w:t>(2) L’article 7/D, paragraphe 3, de la loi sur les non-fumeurs est remplacé par le texte suivant:</w:t>
      </w:r>
    </w:p>
    <w:p w14:paraId="65AF6563" w14:textId="77777777" w:rsidR="00DB125E" w:rsidRPr="00E5303B" w:rsidRDefault="00DB125E" w:rsidP="00DB125E">
      <w:pPr>
        <w:suppressAutoHyphens/>
        <w:jc w:val="both"/>
        <w:rPr>
          <w:rFonts w:eastAsia="Noto Sans CJK SC"/>
          <w:kern w:val="2"/>
          <w:lang w:eastAsia="zh-CN" w:bidi="hi-IN"/>
        </w:rPr>
      </w:pPr>
    </w:p>
    <w:p w14:paraId="14D1678D" w14:textId="77777777" w:rsidR="00DB125E" w:rsidRPr="00E5303B" w:rsidRDefault="00DB125E" w:rsidP="00DB125E">
      <w:pPr>
        <w:suppressAutoHyphens/>
        <w:jc w:val="both"/>
        <w:rPr>
          <w:rFonts w:eastAsia="Noto Sans CJK SC"/>
          <w:kern w:val="2"/>
        </w:rPr>
      </w:pPr>
      <w:r>
        <w:lastRenderedPageBreak/>
        <w:t>«Paragraphe 3 Les informations suivantes sont communiquées à l’autorité de santé publique conformément au paragraphe 1:</w:t>
      </w:r>
    </w:p>
    <w:p w14:paraId="407E44DE" w14:textId="77777777" w:rsidR="00DB125E" w:rsidRPr="00E5303B" w:rsidRDefault="00DB125E" w:rsidP="00DB125E">
      <w:pPr>
        <w:suppressAutoHyphens/>
        <w:jc w:val="both"/>
        <w:rPr>
          <w:rFonts w:eastAsia="Noto Sans CJK SC"/>
          <w:kern w:val="2"/>
        </w:rPr>
      </w:pPr>
      <w:r>
        <w:t>point a) toute modification apportée aux cigarettes électroniques, aux contenants et cartouches de recharge, aux dispositifs électroniques d’imitation du tabagisme, aux contenants de recharge sans nicotine, aux cartouches sans nicotine et aux substituts au tabagisme contenant de la nicotine qui ont une incidence sur les caractéristiques techniques du produit au sens de la présente loi ou d’un décret gouvernemental pris en vertu de l’autorisation de la présente loi,</w:t>
      </w:r>
    </w:p>
    <w:p w14:paraId="4724DEC7" w14:textId="77777777" w:rsidR="00DB125E" w:rsidRPr="00E5303B" w:rsidRDefault="00DB125E" w:rsidP="00DB125E">
      <w:pPr>
        <w:suppressAutoHyphens/>
        <w:jc w:val="both"/>
        <w:rPr>
          <w:rFonts w:eastAsia="Noto Sans CJK SC"/>
          <w:kern w:val="2"/>
        </w:rPr>
      </w:pPr>
      <w:r>
        <w:t>point b) les changements dans l’identité et la disponibilité du fabricant, de l’importateur ou du distributeur hongrois de cigarettes électroniques, de récipients et de cartouches de recharge, de dispositifs électroniques d’imitation du tabagisme, de récipients de recharge sans nicotine, de cartouches sans nicotine et de substituts au tabagisme contenant de la nicotine.»</w:t>
      </w:r>
    </w:p>
    <w:p w14:paraId="6C8341DF" w14:textId="77777777" w:rsidR="00DB125E" w:rsidRPr="00E5303B" w:rsidRDefault="00DB125E" w:rsidP="00DB125E">
      <w:pPr>
        <w:suppressAutoHyphens/>
        <w:jc w:val="both"/>
        <w:rPr>
          <w:rFonts w:eastAsia="Noto Sans CJK SC"/>
          <w:kern w:val="2"/>
          <w:lang w:eastAsia="zh-CN" w:bidi="hi-IN"/>
        </w:rPr>
      </w:pPr>
    </w:p>
    <w:p w14:paraId="0282F017" w14:textId="77777777" w:rsidR="00DB125E" w:rsidRPr="00E5303B" w:rsidRDefault="00DB125E" w:rsidP="00DB125E">
      <w:pPr>
        <w:suppressAutoHyphens/>
        <w:jc w:val="both"/>
        <w:rPr>
          <w:rFonts w:eastAsia="Noto Sans CJK SC"/>
          <w:kern w:val="2"/>
        </w:rPr>
      </w:pPr>
      <w:r>
        <w:t>(3) Dans la loi sur les non-fumeurs, les paragraphes 5 et 6 suivants sont ajoutés à l’article 7/D:</w:t>
      </w:r>
    </w:p>
    <w:p w14:paraId="7441615E" w14:textId="77777777" w:rsidR="00DB125E" w:rsidRPr="00E5303B" w:rsidRDefault="00DB125E" w:rsidP="00DB125E">
      <w:pPr>
        <w:suppressAutoHyphens/>
        <w:jc w:val="both"/>
        <w:rPr>
          <w:rFonts w:eastAsia="Noto Sans CJK SC"/>
          <w:kern w:val="2"/>
          <w:lang w:eastAsia="zh-CN" w:bidi="hi-IN"/>
        </w:rPr>
      </w:pPr>
    </w:p>
    <w:p w14:paraId="0B414A24" w14:textId="77777777" w:rsidR="00DB125E" w:rsidRPr="00E5303B" w:rsidRDefault="00DB125E" w:rsidP="00DB125E">
      <w:pPr>
        <w:suppressAutoHyphens/>
        <w:jc w:val="both"/>
        <w:rPr>
          <w:rFonts w:eastAsia="Noto Sans CJK SC"/>
          <w:kern w:val="2"/>
        </w:rPr>
      </w:pPr>
      <w:r>
        <w:t>«Paragraphe 5 L’autorité de santé publique tient des registres des produits notifiés conformément au paragraphe 1, qui contiennent:</w:t>
      </w:r>
    </w:p>
    <w:p w14:paraId="62C5FC5A" w14:textId="77777777" w:rsidR="00DB125E" w:rsidRPr="00E5303B" w:rsidRDefault="00DB125E" w:rsidP="00DB125E">
      <w:pPr>
        <w:suppressAutoHyphens/>
        <w:ind w:left="426" w:hanging="426"/>
        <w:jc w:val="both"/>
        <w:rPr>
          <w:rFonts w:eastAsia="Noto Sans CJK SC"/>
          <w:kern w:val="2"/>
        </w:rPr>
      </w:pPr>
      <w:r>
        <w:t>point a) le nom du notifiant, du fabricant ou de l’importateur, du distributeur en Hongrie,</w:t>
      </w:r>
    </w:p>
    <w:p w14:paraId="606EE827" w14:textId="77777777" w:rsidR="00DB125E" w:rsidRPr="00E5303B" w:rsidRDefault="00DB125E" w:rsidP="00DB125E">
      <w:pPr>
        <w:suppressAutoHyphens/>
        <w:ind w:left="426" w:hanging="426"/>
        <w:jc w:val="both"/>
        <w:rPr>
          <w:rFonts w:eastAsia="Noto Sans CJK SC"/>
          <w:kern w:val="2"/>
        </w:rPr>
      </w:pPr>
      <w:r>
        <w:t>point b) le numéro d’identification des cigarettes électroniques,</w:t>
      </w:r>
    </w:p>
    <w:p w14:paraId="19CD09BF" w14:textId="77777777" w:rsidR="00DB125E" w:rsidRPr="00E5303B" w:rsidRDefault="00DB125E" w:rsidP="00DB125E">
      <w:pPr>
        <w:suppressAutoHyphens/>
        <w:ind w:left="426" w:hanging="426"/>
        <w:jc w:val="both"/>
        <w:rPr>
          <w:rFonts w:eastAsia="Noto Sans CJK SC"/>
          <w:kern w:val="2"/>
        </w:rPr>
      </w:pPr>
      <w:r>
        <w:t>point c) la marque et le nom de sous-marque,</w:t>
      </w:r>
    </w:p>
    <w:p w14:paraId="69FB953D" w14:textId="77777777" w:rsidR="00DB125E" w:rsidRPr="00E5303B" w:rsidRDefault="00DB125E" w:rsidP="00DB125E">
      <w:pPr>
        <w:suppressAutoHyphens/>
        <w:ind w:left="426" w:hanging="426"/>
        <w:jc w:val="both"/>
        <w:rPr>
          <w:rFonts w:eastAsia="Noto Sans CJK SC"/>
          <w:kern w:val="2"/>
        </w:rPr>
      </w:pPr>
      <w:r>
        <w:t>point d) le type de produit,</w:t>
      </w:r>
    </w:p>
    <w:p w14:paraId="73992F7B" w14:textId="77777777" w:rsidR="00DB125E" w:rsidRPr="00E5303B" w:rsidRDefault="00DB125E" w:rsidP="00DB125E">
      <w:pPr>
        <w:suppressAutoHyphens/>
        <w:ind w:left="426" w:hanging="426"/>
        <w:jc w:val="both"/>
        <w:rPr>
          <w:rFonts w:eastAsia="Noto Sans CJK SC"/>
          <w:kern w:val="2"/>
        </w:rPr>
      </w:pPr>
      <w:r>
        <w:t>point e) le numéro de série du certificat délivré au sujet de la notification, et</w:t>
      </w:r>
    </w:p>
    <w:p w14:paraId="56BF7838" w14:textId="77777777" w:rsidR="00DB125E" w:rsidRPr="00E5303B" w:rsidRDefault="00DB125E" w:rsidP="00DB125E">
      <w:pPr>
        <w:suppressAutoHyphens/>
        <w:ind w:left="426" w:hanging="426"/>
        <w:jc w:val="both"/>
        <w:rPr>
          <w:rFonts w:eastAsia="Noto Sans CJK SC"/>
          <w:kern w:val="2"/>
        </w:rPr>
      </w:pPr>
      <w:r>
        <w:t>point f) le premier jour possible pour la mise sur le marché, calculé conformément au paragraphe 1.</w:t>
      </w:r>
    </w:p>
    <w:p w14:paraId="0A73E3F9" w14:textId="77777777" w:rsidR="00DB125E" w:rsidRPr="00E5303B" w:rsidRDefault="00DB125E" w:rsidP="00DB125E">
      <w:pPr>
        <w:suppressAutoHyphens/>
        <w:jc w:val="both"/>
        <w:rPr>
          <w:rFonts w:eastAsia="Noto Sans CJK SC"/>
          <w:kern w:val="2"/>
          <w:lang w:eastAsia="zh-CN" w:bidi="hi-IN"/>
        </w:rPr>
      </w:pPr>
    </w:p>
    <w:p w14:paraId="1AFD82F4" w14:textId="77777777" w:rsidR="00DB125E" w:rsidRPr="00E5303B" w:rsidRDefault="00DB125E" w:rsidP="00DB125E">
      <w:pPr>
        <w:suppressAutoHyphens/>
        <w:jc w:val="both"/>
        <w:rPr>
          <w:rFonts w:eastAsia="Noto Sans CJK SC"/>
          <w:kern w:val="2"/>
        </w:rPr>
      </w:pPr>
      <w:r>
        <w:t>(6) Le fabricant, l’importateur et le distributeur hongrois s’occupent du retrait du marché et du rachat de tout produit qui fait l’objet de l’interdiction de commercialisation et qui est détenu en stock par le détaillant de produits du tabac.»</w:t>
      </w:r>
    </w:p>
    <w:p w14:paraId="0A9586A9" w14:textId="422B59D3" w:rsidR="00333428" w:rsidRDefault="00333428"/>
    <w:p w14:paraId="1421BAD6" w14:textId="29A4BA46" w:rsidR="002D6BBD" w:rsidRDefault="002D6BBD" w:rsidP="00153F89">
      <w:pPr>
        <w:jc w:val="center"/>
        <w:rPr>
          <w:b/>
        </w:rPr>
      </w:pPr>
      <w:r>
        <w:rPr>
          <w:b/>
        </w:rPr>
        <w:t>Article 3</w:t>
      </w:r>
    </w:p>
    <w:p w14:paraId="49A18EF4" w14:textId="77777777" w:rsidR="002D6BBD" w:rsidRPr="002D6BBD" w:rsidRDefault="002D6BBD" w:rsidP="00741559">
      <w:pPr>
        <w:suppressAutoHyphens/>
        <w:rPr>
          <w:rFonts w:eastAsia="Noto Sans CJK SC"/>
          <w:b/>
          <w:bCs/>
          <w:kern w:val="2"/>
          <w:lang w:eastAsia="zh-CN" w:bidi="hi-IN"/>
        </w:rPr>
      </w:pPr>
    </w:p>
    <w:p w14:paraId="55F5F8E9" w14:textId="77777777" w:rsidR="002D6BBD" w:rsidRPr="002D6BBD" w:rsidRDefault="002D6BBD" w:rsidP="002D6BBD">
      <w:pPr>
        <w:suppressAutoHyphens/>
        <w:jc w:val="both"/>
        <w:rPr>
          <w:rFonts w:eastAsia="Noto Sans CJK SC"/>
          <w:kern w:val="2"/>
        </w:rPr>
      </w:pPr>
      <w:r>
        <w:t xml:space="preserve">  L’article 8, paragraphe 5, point a), de la loi sur les non-fumeurs est remplacé par le texte suivant:</w:t>
      </w:r>
    </w:p>
    <w:p w14:paraId="585AED6B" w14:textId="77777777" w:rsidR="002D6BBD" w:rsidRPr="002D6BBD" w:rsidRDefault="002D6BBD" w:rsidP="002D6BBD">
      <w:pPr>
        <w:suppressAutoHyphens/>
        <w:jc w:val="both"/>
        <w:rPr>
          <w:rFonts w:eastAsia="Noto Sans CJK SC"/>
          <w:kern w:val="2"/>
          <w:lang w:eastAsia="zh-CN" w:bidi="hi-IN"/>
        </w:rPr>
      </w:pPr>
    </w:p>
    <w:p w14:paraId="3352F57E" w14:textId="77777777" w:rsidR="002D6BBD" w:rsidRPr="002D6BBD" w:rsidRDefault="002D6BBD" w:rsidP="002D6BBD">
      <w:pPr>
        <w:suppressAutoHyphens/>
        <w:jc w:val="both"/>
        <w:rPr>
          <w:rFonts w:eastAsia="Noto Sans CJK SC"/>
          <w:i/>
          <w:iCs/>
          <w:kern w:val="2"/>
        </w:rPr>
      </w:pPr>
      <w:r>
        <w:rPr>
          <w:i/>
        </w:rPr>
        <w:t>(Par règlement, le gouvernement est autorisé à définir et à établir ce qui suit:</w:t>
      </w:r>
    </w:p>
    <w:p w14:paraId="10A0B187" w14:textId="77777777" w:rsidR="002D6BBD" w:rsidRPr="002D6BBD" w:rsidRDefault="002D6BBD" w:rsidP="002D6BBD">
      <w:pPr>
        <w:suppressAutoHyphens/>
        <w:jc w:val="both"/>
        <w:rPr>
          <w:rFonts w:eastAsia="Noto Sans CJK SC"/>
          <w:i/>
          <w:iCs/>
          <w:kern w:val="2"/>
          <w:lang w:eastAsia="zh-CN" w:bidi="hi-IN"/>
        </w:rPr>
      </w:pPr>
    </w:p>
    <w:p w14:paraId="455FABFB" w14:textId="7FC737D8" w:rsidR="002D6BBD" w:rsidRPr="00153F89" w:rsidRDefault="002D6BBD" w:rsidP="00153F89">
      <w:pPr>
        <w:jc w:val="both"/>
        <w:rPr>
          <w:b/>
        </w:rPr>
      </w:pPr>
      <w:r>
        <w:t>«point a) les avertissements combinés, les avertissements sanitaires et leurs modalités d’utilisation, ainsi que les règles détaillées applicables aux unités d’emballage des produits du tabac et aux unités d’emballage des cigarettes électroniques, des récipients de recharge, des dispositifs électroniques d’imitation du tabagisme, des récipients de recharge sans nicotine, des cartouches sans nicotine et des substituts au tabagisme contenant de la nicotine, du contenu et de la forme des signes et des marquages pour la limitation du tabagisme et des zones de tabagisme désignées, ainsi que de ceux destinés à l’utilisation de cigarettes électroniques et de dispositifs électroniques d’imitation du tabagisme, outre d’autres conditions de fabrication, de distribution et de contrôle des produits du tabac, des cigarettes électroniques, des récipients de recharge, des dispositifs électroniques d’imitation du tabagisme, des récipients de recharge sans nicotine et des substituts de tabac contenant de la nicotine, ces conditions ne relevant pas du champ d’application de la loi sur les droits d’accise»,</w:t>
      </w:r>
    </w:p>
    <w:p w14:paraId="0D5D932B" w14:textId="77777777" w:rsidR="002D6BBD" w:rsidRDefault="002D6BBD"/>
    <w:p w14:paraId="255BC7D4" w14:textId="48DF91E1" w:rsidR="00DB125E" w:rsidRPr="00D55D42" w:rsidRDefault="00827692" w:rsidP="00E73FE0">
      <w:pPr>
        <w:keepNext/>
        <w:suppressAutoHyphens/>
        <w:jc w:val="center"/>
        <w:rPr>
          <w:rFonts w:eastAsia="Noto Sans CJK SC"/>
          <w:b/>
          <w:kern w:val="2"/>
        </w:rPr>
      </w:pPr>
      <w:r>
        <w:rPr>
          <w:b/>
        </w:rPr>
        <w:lastRenderedPageBreak/>
        <w:t>Article 4</w:t>
      </w:r>
    </w:p>
    <w:p w14:paraId="4D0DDFF7" w14:textId="77777777" w:rsidR="00DB125E" w:rsidRPr="007F65BB" w:rsidRDefault="00DB125E" w:rsidP="00E73FE0">
      <w:pPr>
        <w:keepNext/>
        <w:suppressAutoHyphens/>
        <w:jc w:val="both"/>
        <w:rPr>
          <w:rFonts w:eastAsia="Noto Sans CJK SC"/>
          <w:kern w:val="2"/>
          <w:lang w:eastAsia="zh-CN" w:bidi="hi-IN"/>
        </w:rPr>
      </w:pPr>
    </w:p>
    <w:p w14:paraId="2855D94E" w14:textId="77777777" w:rsidR="00DB125E" w:rsidRPr="00D55D42" w:rsidRDefault="00DB125E" w:rsidP="00DB125E">
      <w:pPr>
        <w:jc w:val="both"/>
      </w:pPr>
      <w:r>
        <w:t>Dans la loi sur les non-fumeurs, le paragraphe 4 bis suivant est ajouté à l’article 10:</w:t>
      </w:r>
    </w:p>
    <w:p w14:paraId="007E3F42" w14:textId="77777777" w:rsidR="00DB125E" w:rsidRPr="00D55D42" w:rsidRDefault="00DB125E" w:rsidP="00DB125E">
      <w:pPr>
        <w:jc w:val="center"/>
      </w:pPr>
    </w:p>
    <w:p w14:paraId="37B8ADF9" w14:textId="59AF2AF0" w:rsidR="005777D3" w:rsidRDefault="00DB125E" w:rsidP="005777D3">
      <w:pPr>
        <w:jc w:val="both"/>
      </w:pPr>
      <w:r>
        <w:t>«paragraphe 4 bis Pour les récipients de recharge sans nicotine, les cartouches sans nicotine et les substituts du tabagisme contenant de la nicotine déjà sur le marché au 1er septembre 2023, la notification telle que définie à l’article 7/D, paragraphe 1, en application de l’article 2 de la loi ... de 2023 modifiant la loi XLII de 1999 relative à la protection des non-fumeurs et à certaines règles pour la consommation et la distribution des produits du tabac et la loi CXXXIV de 2012 relative à la répression du tabagisme juvénile et à la vente au détail de produits du tabac,</w:t>
      </w:r>
    </w:p>
    <w:p w14:paraId="064D8A1E" w14:textId="4F3F8F5C" w:rsidR="00DB125E" w:rsidRDefault="005777D3" w:rsidP="005777D3">
      <w:pPr>
        <w:jc w:val="both"/>
      </w:pPr>
      <w:r>
        <w:t xml:space="preserve">  doit être faite jusqu’au 31 janvier 2024.»</w:t>
      </w:r>
    </w:p>
    <w:p w14:paraId="717F87AE" w14:textId="77777777" w:rsidR="00E91F8B" w:rsidRDefault="00E91F8B" w:rsidP="005777D3">
      <w:pPr>
        <w:jc w:val="both"/>
      </w:pPr>
    </w:p>
    <w:p w14:paraId="44851160" w14:textId="00604E87" w:rsidR="00E91F8B" w:rsidRDefault="00DC56BA" w:rsidP="00E91F8B">
      <w:pPr>
        <w:jc w:val="center"/>
        <w:rPr>
          <w:b/>
        </w:rPr>
      </w:pPr>
      <w:r>
        <w:rPr>
          <w:b/>
        </w:rPr>
        <w:t>Article 5</w:t>
      </w:r>
    </w:p>
    <w:p w14:paraId="664F8A47" w14:textId="77777777" w:rsidR="00E91F8B" w:rsidRDefault="00E91F8B" w:rsidP="00E91F8B">
      <w:pPr>
        <w:jc w:val="center"/>
        <w:rPr>
          <w:b/>
        </w:rPr>
      </w:pPr>
    </w:p>
    <w:p w14:paraId="1478B73D" w14:textId="09EACD72" w:rsidR="00E91F8B" w:rsidRPr="00E91F8B" w:rsidRDefault="00E91F8B" w:rsidP="00E91F8B">
      <w:pPr>
        <w:jc w:val="both"/>
      </w:pPr>
      <w:r>
        <w:t>Dans la loi sur les non-fumeurs, l’article 8/B suivant est inséré:</w:t>
      </w:r>
    </w:p>
    <w:p w14:paraId="67B84AC8" w14:textId="77777777" w:rsidR="00DB125E" w:rsidRPr="00E91F8B" w:rsidRDefault="00DB125E" w:rsidP="00DB125E">
      <w:pPr>
        <w:suppressAutoHyphens/>
        <w:jc w:val="both"/>
        <w:rPr>
          <w:rFonts w:eastAsia="Noto Sans CJK SC"/>
          <w:kern w:val="2"/>
          <w:lang w:eastAsia="zh-CN" w:bidi="hi-IN"/>
        </w:rPr>
      </w:pPr>
    </w:p>
    <w:p w14:paraId="084A7AE2" w14:textId="4761C864" w:rsidR="00E91F8B" w:rsidRDefault="00E91F8B" w:rsidP="00E91F8B">
      <w:pPr>
        <w:suppressAutoHyphens/>
        <w:jc w:val="both"/>
      </w:pPr>
      <w:r>
        <w:t>«Article 8/B Les articles suivants, établis par la loi ... de 2023 modifiant la loi XLII de 1999 relative à la protection des non-fumeurs et certaines règles relatives à la consommation et à la distribution des produits du tabac et de la loi CXXXIV de 2012 relative à la répression du tabagisme juvénile et à la vente au détail de produits du tabac, tels qu’énumérés ci-après, à savoir l’article 1, points s), t) et z), l’article 7/C, l’article 7/D, paragraphes 1, 3, 5 et 6, L’article 7/E, paragraphes 1 à 6, l’article 7/F, l’article 7/G, paragraphes 1 et 2, l’article 7/H, l’article 8, paragraphe 5, point a), et l’article 10, paragraphe 4 bis, du présent projet de loi ont fait l’objet d’une notification préalable, conformément aux articles 5 à 7 de la directive (UE) 2015/1535 du Parlement européen et du Conseil du 9 septembre 2015 prévoyant une procédure d’information dans le domaine des réglementations techniques et des règles relatives aux services de la société de l’information.»</w:t>
      </w:r>
    </w:p>
    <w:p w14:paraId="1DD4D51B" w14:textId="77777777" w:rsidR="00F46F72" w:rsidRPr="00E91F8B" w:rsidRDefault="00F46F72" w:rsidP="00E91F8B">
      <w:pPr>
        <w:suppressAutoHyphens/>
        <w:jc w:val="both"/>
        <w:rPr>
          <w:rFonts w:eastAsia="Noto Sans CJK SC"/>
          <w:kern w:val="2"/>
        </w:rPr>
      </w:pPr>
    </w:p>
    <w:p w14:paraId="2419D499" w14:textId="0D517A46" w:rsidR="00DB125E" w:rsidRPr="00E5303B" w:rsidRDefault="00DC56BA" w:rsidP="00DB125E">
      <w:pPr>
        <w:suppressAutoHyphens/>
        <w:jc w:val="center"/>
        <w:rPr>
          <w:rFonts w:eastAsia="Noto Sans CJK SC"/>
          <w:b/>
          <w:bCs/>
          <w:kern w:val="2"/>
        </w:rPr>
      </w:pPr>
      <w:r>
        <w:rPr>
          <w:b/>
        </w:rPr>
        <w:t>Article 6</w:t>
      </w:r>
    </w:p>
    <w:p w14:paraId="0DFDC86D" w14:textId="77777777" w:rsidR="00DB125E" w:rsidRPr="00E5303B" w:rsidRDefault="00DB125E" w:rsidP="00DB125E">
      <w:pPr>
        <w:suppressAutoHyphens/>
        <w:jc w:val="center"/>
        <w:rPr>
          <w:rFonts w:eastAsia="Noto Sans CJK SC"/>
          <w:b/>
          <w:bCs/>
          <w:kern w:val="2"/>
          <w:lang w:eastAsia="zh-CN" w:bidi="hi-IN"/>
        </w:rPr>
      </w:pPr>
    </w:p>
    <w:p w14:paraId="5BFEC514" w14:textId="77777777" w:rsidR="00DB125E" w:rsidRPr="00220B1E" w:rsidRDefault="00DB125E" w:rsidP="00DB125E">
      <w:pPr>
        <w:suppressAutoHyphens/>
        <w:jc w:val="both"/>
        <w:rPr>
          <w:rFonts w:eastAsia="Noto Sans CJK SC"/>
          <w:kern w:val="2"/>
        </w:rPr>
      </w:pPr>
      <w:r>
        <w:t>Dans la loi sur les non-fumeurs</w:t>
      </w:r>
    </w:p>
    <w:p w14:paraId="122223BC" w14:textId="072F979E" w:rsidR="00DB125E" w:rsidRPr="00330FEB" w:rsidRDefault="00153F89" w:rsidP="00DB125E">
      <w:pPr>
        <w:pStyle w:val="BodyText"/>
        <w:spacing w:after="0" w:line="240" w:lineRule="auto"/>
        <w:jc w:val="both"/>
        <w:rPr>
          <w:rFonts w:ascii="Times New Roman" w:hAnsi="Times New Roman" w:cs="Times New Roman"/>
        </w:rPr>
      </w:pPr>
      <w:r>
        <w:rPr>
          <w:rFonts w:ascii="Times New Roman" w:hAnsi="Times New Roman"/>
        </w:rPr>
        <w:t>point a) à l’article 7/C, les termes «cigarettes électroniques» sont remplacés par «cigarettes électroniques, récipients de recharge, cartouches, dispositifs électroniques d’imitation du tabagisme, récipients de recharge sans nicotine, cartouches sans nicotine et substituts au tabagisme contenant de la nicotine»;</w:t>
      </w:r>
    </w:p>
    <w:p w14:paraId="42C19F9D" w14:textId="47D845C4"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point b) à l’article 7/E, paragraphes 1 à 5, les termes «cigarettes électroniques et récipients de recharge» sont remplacés par les termes «cigarettes électroniques, récipients de recharge, cartouches, dispositifs électroniques d’imitation du tabagisme, récipients de recharge sans nicotine, cartouches sans nicotine et substituts au tabagisme contenant de la nicotine»;</w:t>
      </w:r>
    </w:p>
    <w:p w14:paraId="19152C58" w14:textId="4EF940FA"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point c) à l’article 7/E, paragraphe 6, les termes «cigarettes électroniques ou récipients de recharge» sont remplacés par les termes «cigarettes électroniques, récipients de recharge, cartouches, dispositifs électroniques d’imitation du tabagisme, récipients de recharge sans nicotine, cartouches sans nicotine et substituts au tabagisme contenant de la nicotine»;</w:t>
      </w:r>
    </w:p>
    <w:p w14:paraId="5C52EB6E" w14:textId="4B3E8951"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point d) à l’article 7/F, les termes «cigarettes électroniques et récipients de recharge» sont remplacés par les termes «cigarettes électroniques, récipients de recharge, cartouches, dispositifs électroniques d’imitation du tabagisme, récipients de recharge sans nicotine, cartouches sans nicotine et substituts du tabagisme contenant de la nicotine»;</w:t>
      </w:r>
    </w:p>
    <w:p w14:paraId="741ED564" w14:textId="3926C1BE"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point e) à l’article 7/G, paragraphe 1, les termes «cigarettes électroniques ou récipients de recharge» sont remplacés par les termes «cigarettes électroniques, récipients de recharge, </w:t>
      </w:r>
      <w:r>
        <w:rPr>
          <w:rFonts w:ascii="Times New Roman" w:hAnsi="Times New Roman"/>
        </w:rPr>
        <w:lastRenderedPageBreak/>
        <w:t>cartouches, dispositifs électroniques d’imitation du tabagisme, récipients de recharge sans nicotine, cartouches sans nicotine et substituts au tabagisme contenant de la nicotine»;</w:t>
      </w:r>
    </w:p>
    <w:p w14:paraId="5DED55E3" w14:textId="1EE35D48" w:rsidR="00DB125E" w:rsidRPr="00673F64" w:rsidRDefault="00153F89" w:rsidP="00DB125E">
      <w:pPr>
        <w:pStyle w:val="BodyText"/>
        <w:spacing w:after="0" w:line="240" w:lineRule="auto"/>
        <w:jc w:val="both"/>
      </w:pPr>
      <w:r>
        <w:rPr>
          <w:rFonts w:ascii="Times New Roman" w:hAnsi="Times New Roman"/>
        </w:rPr>
        <w:t>point f) à l’article 7/G, paragraphe 2, les termes «cigarettes électroniques et récipients de recharge» sont remplacés par les termes «cigarettes électroniques, récipients de recharge, cartouches, dispositifs électroniques d’imitation du tabagisme, récipients de recharge sans nicotine, cartouches sans nicotine et substituts au tabagisme contenant de la nicotine»;</w:t>
      </w:r>
    </w:p>
    <w:p w14:paraId="7504C957" w14:textId="137E6308" w:rsidR="00DB125E" w:rsidRPr="00673F64" w:rsidRDefault="00153F89" w:rsidP="00DB125E">
      <w:pPr>
        <w:pStyle w:val="BodyText"/>
        <w:spacing w:after="0" w:line="240" w:lineRule="auto"/>
        <w:jc w:val="both"/>
      </w:pPr>
      <w:r>
        <w:rPr>
          <w:rFonts w:ascii="Times New Roman" w:hAnsi="Times New Roman"/>
        </w:rPr>
        <w:t xml:space="preserve">point g) à l’article 7/H, les termes «cigarettes électroniques et dispositifs électroniques d’imitation à fumer» sont remplacés par les termes «cigarettes électroniques, récipients de recharge, cartouches, dispositifs électroniques d’imitation du tabagisme, récipients de recharge sans nicotine, cartouches sans nicotine et substituts au tabagisme contenant de la nicotine».  </w:t>
      </w:r>
    </w:p>
    <w:p w14:paraId="7B117976" w14:textId="6C5DAC8A" w:rsidR="00AD4247" w:rsidRPr="00206271" w:rsidRDefault="00AD4247" w:rsidP="00DB125E">
      <w:pPr>
        <w:suppressAutoHyphens/>
        <w:jc w:val="both"/>
        <w:rPr>
          <w:rFonts w:eastAsia="Noto Sans CJK SC"/>
          <w:kern w:val="2"/>
        </w:rPr>
      </w:pPr>
    </w:p>
    <w:p w14:paraId="31D8C477" w14:textId="77777777" w:rsidR="00DB125E" w:rsidRDefault="00DB125E" w:rsidP="00DB125E">
      <w:pPr>
        <w:suppressAutoHyphens/>
        <w:jc w:val="both"/>
        <w:rPr>
          <w:rFonts w:eastAsia="Noto Sans CJK SC"/>
          <w:kern w:val="2"/>
          <w:lang w:eastAsia="zh-CN" w:bidi="hi-IN"/>
        </w:rPr>
      </w:pPr>
    </w:p>
    <w:p w14:paraId="63F5E34B" w14:textId="09CC9006" w:rsidR="00DB125E" w:rsidRPr="00D55D42" w:rsidRDefault="00DC56BA" w:rsidP="00DB125E">
      <w:pPr>
        <w:suppressAutoHyphens/>
        <w:jc w:val="center"/>
        <w:rPr>
          <w:rFonts w:eastAsia="Noto Sans CJK SC"/>
          <w:b/>
          <w:kern w:val="2"/>
        </w:rPr>
      </w:pPr>
      <w:r>
        <w:rPr>
          <w:b/>
        </w:rPr>
        <w:t>Article 7</w:t>
      </w:r>
    </w:p>
    <w:p w14:paraId="6B1D9AD2" w14:textId="77777777" w:rsidR="00DB125E" w:rsidRDefault="00DB125E" w:rsidP="00DB125E">
      <w:pPr>
        <w:suppressAutoHyphens/>
        <w:jc w:val="center"/>
        <w:rPr>
          <w:rFonts w:eastAsia="Noto Sans CJK SC"/>
          <w:kern w:val="2"/>
          <w:lang w:eastAsia="zh-CN" w:bidi="hi-IN"/>
        </w:rPr>
      </w:pPr>
    </w:p>
    <w:p w14:paraId="69C95DAD" w14:textId="00089198" w:rsidR="00DB125E" w:rsidRDefault="00DB125E" w:rsidP="00DB125E">
      <w:pPr>
        <w:suppressAutoHyphens/>
        <w:jc w:val="both"/>
        <w:rPr>
          <w:rFonts w:eastAsia="Noto Sans CJK SC"/>
          <w:kern w:val="2"/>
        </w:rPr>
      </w:pPr>
      <w:r>
        <w:t xml:space="preserve"> L’article 7/I de la loi sur les non-fumeurs est abrogé.</w:t>
      </w:r>
    </w:p>
    <w:p w14:paraId="63C6352E" w14:textId="441D5254" w:rsidR="00396C85" w:rsidRDefault="00396C85" w:rsidP="00DB125E">
      <w:pPr>
        <w:suppressAutoHyphens/>
        <w:jc w:val="both"/>
        <w:rPr>
          <w:rFonts w:eastAsia="Noto Sans CJK SC"/>
          <w:kern w:val="2"/>
          <w:lang w:eastAsia="zh-CN" w:bidi="hi-IN"/>
        </w:rPr>
      </w:pPr>
    </w:p>
    <w:p w14:paraId="33EC2E38" w14:textId="06B5DBAF" w:rsidR="00396C85" w:rsidRDefault="00396C85" w:rsidP="00DB125E">
      <w:pPr>
        <w:suppressAutoHyphens/>
        <w:jc w:val="both"/>
        <w:rPr>
          <w:rFonts w:eastAsia="Noto Sans CJK SC"/>
          <w:kern w:val="2"/>
          <w:lang w:eastAsia="zh-CN" w:bidi="hi-IN"/>
        </w:rPr>
      </w:pPr>
    </w:p>
    <w:p w14:paraId="09B98B0A" w14:textId="59AFB0A9" w:rsidR="00396C85" w:rsidRPr="00153F89" w:rsidRDefault="00396C85" w:rsidP="00153F89">
      <w:pPr>
        <w:suppressAutoHyphens/>
        <w:jc w:val="center"/>
        <w:rPr>
          <w:rFonts w:eastAsia="Noto Sans CJK SC"/>
          <w:b/>
          <w:kern w:val="2"/>
        </w:rPr>
      </w:pPr>
      <w:r>
        <w:rPr>
          <w:b/>
        </w:rPr>
        <w:t>2. Modification de la loi CXXXIV de 2012 relative à la répression du tabagisme juvénile et à la vente au détail de produits du tabac</w:t>
      </w:r>
    </w:p>
    <w:p w14:paraId="1908A397" w14:textId="7B789F09" w:rsidR="00396C85" w:rsidRDefault="00396C85" w:rsidP="00DB125E">
      <w:pPr>
        <w:suppressAutoHyphens/>
        <w:jc w:val="both"/>
        <w:rPr>
          <w:rFonts w:eastAsia="Noto Sans CJK SC"/>
          <w:kern w:val="2"/>
          <w:lang w:eastAsia="zh-CN" w:bidi="hi-IN"/>
        </w:rPr>
      </w:pPr>
    </w:p>
    <w:p w14:paraId="4CC534DD" w14:textId="24BAC365" w:rsidR="006802D9" w:rsidRDefault="00DC56BA" w:rsidP="006802D9">
      <w:pPr>
        <w:suppressAutoHyphens/>
        <w:jc w:val="center"/>
        <w:rPr>
          <w:rFonts w:eastAsia="Noto Sans CJK SC"/>
          <w:b/>
          <w:kern w:val="2"/>
        </w:rPr>
      </w:pPr>
      <w:r>
        <w:rPr>
          <w:b/>
        </w:rPr>
        <w:t>Article 8</w:t>
      </w:r>
    </w:p>
    <w:p w14:paraId="0CFD6C4A" w14:textId="77777777" w:rsidR="006802D9" w:rsidRDefault="006802D9" w:rsidP="006802D9">
      <w:pPr>
        <w:suppressAutoHyphens/>
        <w:jc w:val="center"/>
      </w:pPr>
    </w:p>
    <w:p w14:paraId="2F519D6D" w14:textId="7C6EFEEE" w:rsidR="006802D9" w:rsidRDefault="006802D9" w:rsidP="006802D9">
      <w:pPr>
        <w:suppressAutoHyphens/>
        <w:jc w:val="both"/>
      </w:pPr>
      <w:r>
        <w:t>Dans la loi CXXXIV de 2012 relative à la répression du tabagisme des mineurs et au commerce de détail des produits du tabac (ci-après: Loi sur la répression du tabagisme chez les mineurs), le paragraphe 4 suivant est ajouté à l’article 28:</w:t>
      </w:r>
    </w:p>
    <w:p w14:paraId="71301D22" w14:textId="77777777" w:rsidR="006802D9" w:rsidRDefault="006802D9" w:rsidP="006802D9">
      <w:pPr>
        <w:suppressAutoHyphens/>
        <w:jc w:val="both"/>
        <w:rPr>
          <w:rFonts w:eastAsia="Noto Sans CJK SC"/>
          <w:b/>
          <w:kern w:val="2"/>
          <w:lang w:eastAsia="zh-CN" w:bidi="hi-IN"/>
        </w:rPr>
      </w:pPr>
    </w:p>
    <w:p w14:paraId="5F246645" w14:textId="07BDD953" w:rsidR="006802D9" w:rsidRPr="00E91F8B" w:rsidRDefault="006802D9" w:rsidP="006802D9">
      <w:pPr>
        <w:suppressAutoHyphens/>
        <w:jc w:val="both"/>
        <w:rPr>
          <w:rFonts w:eastAsia="Noto Sans CJK SC"/>
          <w:kern w:val="2"/>
        </w:rPr>
      </w:pPr>
      <w:r>
        <w:t>«Paragraphe 4 Le projet d’article 1</w:t>
      </w:r>
      <w:r>
        <w:rPr>
          <w:vertAlign w:val="superscript"/>
        </w:rPr>
        <w:t>er</w:t>
      </w:r>
      <w:r>
        <w:t>, paragraphe 1, point e), et de l’article 3, paragraphe 2, point e), tel qu’établi par la loi ... de 2023 modifiant la loi XLII de 1999 relative à la protection des non-fumeurs et certaines règles relatives à la consommation et à la distribution des produits du tabac, ainsi que la loi CXXXIV de 2012 relative à la répression du tabagisme juvénile et à la vente au détail de produits du tabac, ont fait l’objet d’une notification préalable, conformément aux articles 5 à 7 de la directive (UE) 2015/1535 du Parlement européen et du Conseil du 9 septembre 2015 prévoyant une procédure d’information dans le domaine des réglementations techniques et des règles relatives aux services de la société de l’information.»</w:t>
      </w:r>
    </w:p>
    <w:p w14:paraId="0CD8ED42" w14:textId="77777777" w:rsidR="006802D9" w:rsidRDefault="006802D9" w:rsidP="006802D9">
      <w:pPr>
        <w:suppressAutoHyphens/>
        <w:jc w:val="center"/>
        <w:rPr>
          <w:rFonts w:eastAsia="Noto Sans CJK SC"/>
          <w:b/>
          <w:kern w:val="2"/>
          <w:lang w:eastAsia="zh-CN" w:bidi="hi-IN"/>
        </w:rPr>
      </w:pPr>
    </w:p>
    <w:p w14:paraId="69112F5E" w14:textId="0F9E35C3" w:rsidR="006802D9" w:rsidRDefault="00DC56BA" w:rsidP="006802D9">
      <w:pPr>
        <w:suppressAutoHyphens/>
        <w:jc w:val="center"/>
        <w:rPr>
          <w:rFonts w:eastAsia="Noto Sans CJK SC"/>
          <w:b/>
          <w:kern w:val="2"/>
        </w:rPr>
      </w:pPr>
      <w:r>
        <w:rPr>
          <w:b/>
        </w:rPr>
        <w:t>Article 9</w:t>
      </w:r>
    </w:p>
    <w:p w14:paraId="2586615B" w14:textId="77777777" w:rsidR="006802D9" w:rsidRPr="006802D9" w:rsidRDefault="006802D9" w:rsidP="006802D9">
      <w:pPr>
        <w:suppressAutoHyphens/>
        <w:jc w:val="center"/>
        <w:rPr>
          <w:rFonts w:eastAsia="Noto Sans CJK SC"/>
          <w:b/>
          <w:kern w:val="2"/>
          <w:lang w:eastAsia="zh-CN" w:bidi="hi-IN"/>
        </w:rPr>
      </w:pPr>
    </w:p>
    <w:p w14:paraId="012E5D30" w14:textId="1946FFE6" w:rsidR="00396C85" w:rsidRDefault="00402174" w:rsidP="00153F89">
      <w:pPr>
        <w:jc w:val="both"/>
      </w:pPr>
      <w:r>
        <w:t xml:space="preserve">À l’article 1, paragraphe 1, </w:t>
      </w:r>
      <w:r>
        <w:rPr>
          <w:i/>
        </w:rPr>
        <w:t>point e)</w:t>
      </w:r>
      <w:r>
        <w:t xml:space="preserve"> et à l’article 3, paragraphe 2, </w:t>
      </w:r>
      <w:r>
        <w:rPr>
          <w:i/>
        </w:rPr>
        <w:t>point e)</w:t>
      </w:r>
      <w:r>
        <w:t xml:space="preserve"> de la loi sur la répression du tabagisme chez les mineurs, les termes «conteneurs de recharge sans nicotine» sont remplacés par les termes «conteneurs de recharge sans nicotine, cartouches sans nicotine».</w:t>
      </w:r>
    </w:p>
    <w:p w14:paraId="5D7A0B89" w14:textId="77777777" w:rsidR="00396C85" w:rsidRDefault="00396C85" w:rsidP="00DB125E">
      <w:pPr>
        <w:suppressAutoHyphens/>
        <w:jc w:val="both"/>
        <w:rPr>
          <w:rFonts w:eastAsia="Noto Sans CJK SC"/>
          <w:kern w:val="2"/>
          <w:lang w:eastAsia="zh-CN" w:bidi="hi-IN"/>
        </w:rPr>
      </w:pPr>
    </w:p>
    <w:p w14:paraId="22C61ABF" w14:textId="24FCE190" w:rsidR="008848B7" w:rsidRDefault="008848B7" w:rsidP="00DB125E">
      <w:pPr>
        <w:suppressAutoHyphens/>
        <w:jc w:val="both"/>
        <w:rPr>
          <w:rFonts w:eastAsia="Noto Sans CJK SC"/>
          <w:kern w:val="2"/>
          <w:lang w:eastAsia="zh-CN" w:bidi="hi-IN"/>
        </w:rPr>
      </w:pPr>
    </w:p>
    <w:p w14:paraId="1466126E" w14:textId="15A9380C" w:rsidR="008848B7" w:rsidRPr="00153F89" w:rsidRDefault="005F4FA3" w:rsidP="00153F89">
      <w:pPr>
        <w:suppressAutoHyphens/>
        <w:jc w:val="center"/>
        <w:rPr>
          <w:rFonts w:eastAsia="Noto Sans CJK SC"/>
          <w:b/>
          <w:kern w:val="2"/>
        </w:rPr>
      </w:pPr>
      <w:r>
        <w:rPr>
          <w:b/>
        </w:rPr>
        <w:t>3. Dispositions finales</w:t>
      </w:r>
    </w:p>
    <w:p w14:paraId="163CB994" w14:textId="30D9ABEE" w:rsidR="008848B7" w:rsidRDefault="008848B7" w:rsidP="00DB125E">
      <w:pPr>
        <w:suppressAutoHyphens/>
        <w:jc w:val="both"/>
        <w:rPr>
          <w:rFonts w:eastAsia="Noto Sans CJK SC"/>
          <w:kern w:val="2"/>
          <w:lang w:eastAsia="zh-CN" w:bidi="hi-IN"/>
        </w:rPr>
      </w:pPr>
    </w:p>
    <w:p w14:paraId="29A59FA1" w14:textId="53D3DD9D" w:rsidR="008246FC" w:rsidRDefault="00DC56BA" w:rsidP="008246FC">
      <w:pPr>
        <w:suppressAutoHyphens/>
        <w:jc w:val="center"/>
        <w:rPr>
          <w:rFonts w:eastAsia="Noto Sans CJK SC"/>
          <w:b/>
          <w:kern w:val="2"/>
        </w:rPr>
      </w:pPr>
      <w:r>
        <w:rPr>
          <w:b/>
        </w:rPr>
        <w:t>Article 10</w:t>
      </w:r>
    </w:p>
    <w:p w14:paraId="2974E0DE" w14:textId="77777777" w:rsidR="00741559" w:rsidRPr="008246FC" w:rsidRDefault="00741559" w:rsidP="008246FC">
      <w:pPr>
        <w:suppressAutoHyphens/>
        <w:jc w:val="center"/>
        <w:rPr>
          <w:rFonts w:eastAsia="Noto Sans CJK SC"/>
          <w:b/>
          <w:kern w:val="2"/>
          <w:lang w:eastAsia="zh-CN" w:bidi="hi-IN"/>
        </w:rPr>
      </w:pPr>
    </w:p>
    <w:p w14:paraId="478AF8B4" w14:textId="27448AA5" w:rsidR="008246FC" w:rsidRDefault="008246FC" w:rsidP="004049B2">
      <w:pPr>
        <w:pStyle w:val="ListParagraph"/>
        <w:suppressAutoHyphens/>
        <w:ind w:left="0"/>
        <w:jc w:val="both"/>
        <w:rPr>
          <w:rFonts w:eastAsia="Noto Sans CJK SC"/>
          <w:kern w:val="2"/>
        </w:rPr>
      </w:pPr>
      <w:r>
        <w:t>La présente loi entre en vigueur le 1</w:t>
      </w:r>
      <w:r>
        <w:rPr>
          <w:vertAlign w:val="superscript"/>
        </w:rPr>
        <w:t>er</w:t>
      </w:r>
      <w:r>
        <w:t> novembre 2023.</w:t>
      </w:r>
    </w:p>
    <w:p w14:paraId="6B8F11CF" w14:textId="77777777" w:rsidR="00020F6A" w:rsidRDefault="00020F6A" w:rsidP="004049B2">
      <w:pPr>
        <w:pStyle w:val="ListParagraph"/>
        <w:suppressAutoHyphens/>
        <w:ind w:left="0"/>
        <w:jc w:val="both"/>
        <w:rPr>
          <w:rFonts w:eastAsia="Noto Sans CJK SC"/>
          <w:kern w:val="2"/>
          <w:lang w:eastAsia="zh-CN" w:bidi="hi-IN"/>
        </w:rPr>
      </w:pPr>
    </w:p>
    <w:p w14:paraId="7FC9F906" w14:textId="02636919" w:rsidR="00704C1F" w:rsidRDefault="00704C1F"/>
    <w:p w14:paraId="315EA5DC" w14:textId="41BBEEA0" w:rsidR="00E91F8B" w:rsidRPr="00E91F8B" w:rsidRDefault="006802D9" w:rsidP="00E73FE0">
      <w:pPr>
        <w:keepNext/>
        <w:jc w:val="center"/>
        <w:rPr>
          <w:b/>
        </w:rPr>
      </w:pPr>
      <w:r>
        <w:rPr>
          <w:b/>
        </w:rPr>
        <w:lastRenderedPageBreak/>
        <w:t>Article 11</w:t>
      </w:r>
    </w:p>
    <w:p w14:paraId="7BC9C63E" w14:textId="77777777" w:rsidR="00E91F8B" w:rsidRDefault="00E91F8B" w:rsidP="00E91F8B">
      <w:pPr>
        <w:jc w:val="center"/>
      </w:pPr>
    </w:p>
    <w:p w14:paraId="50C1AEE0" w14:textId="45A9E010" w:rsidR="00E91F8B" w:rsidRDefault="00E91F8B" w:rsidP="00E91F8B">
      <w:pPr>
        <w:jc w:val="both"/>
        <w:rPr>
          <w:rFonts w:eastAsia="Noto Sans CJK SC"/>
          <w:kern w:val="2"/>
        </w:rPr>
      </w:pPr>
      <w:r>
        <w:t>L’exigence de notification préalable du présent projet de loi, telle que stipulée aux articles 5 à 7 de la directive (UE) 2015/1535 du Parlement européen et du Conseil du 9 septembre 2015 prévoyant une procédure d’information dans le domaine des réglementations techniques et des règles relatives aux services de la société de l’information.</w:t>
      </w:r>
    </w:p>
    <w:p w14:paraId="34D6B5FF" w14:textId="77777777" w:rsidR="00704C1F" w:rsidRDefault="00704C1F"/>
    <w:sectPr w:rsidR="00704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E05"/>
    <w:multiLevelType w:val="hybridMultilevel"/>
    <w:tmpl w:val="B6D2390E"/>
    <w:lvl w:ilvl="0" w:tplc="040E000F">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3F54B9B"/>
    <w:multiLevelType w:val="hybridMultilevel"/>
    <w:tmpl w:val="9AD43B9C"/>
    <w:lvl w:ilvl="0" w:tplc="21BCA196">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4E82103A"/>
    <w:multiLevelType w:val="hybridMultilevel"/>
    <w:tmpl w:val="2D6256B8"/>
    <w:lvl w:ilvl="0" w:tplc="07768FE0">
      <w:start w:val="1"/>
      <w:numFmt w:val="lowerLetter"/>
      <w:lvlText w:val="%1)"/>
      <w:lvlJc w:val="left"/>
      <w:pPr>
        <w:ind w:left="1065" w:hanging="705"/>
      </w:pPr>
      <w:rPr>
        <w: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1249535200">
    <w:abstractNumId w:val="1"/>
  </w:num>
  <w:num w:numId="2" w16cid:durableId="1039553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07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11"/>
    <w:rsid w:val="00003480"/>
    <w:rsid w:val="00020F6A"/>
    <w:rsid w:val="000622EF"/>
    <w:rsid w:val="000B2D67"/>
    <w:rsid w:val="000D2A11"/>
    <w:rsid w:val="001124F5"/>
    <w:rsid w:val="00153F89"/>
    <w:rsid w:val="00156D3E"/>
    <w:rsid w:val="00193FD6"/>
    <w:rsid w:val="001F588D"/>
    <w:rsid w:val="00237063"/>
    <w:rsid w:val="002D6BBD"/>
    <w:rsid w:val="00333428"/>
    <w:rsid w:val="00396C85"/>
    <w:rsid w:val="003A401D"/>
    <w:rsid w:val="00402174"/>
    <w:rsid w:val="004049B2"/>
    <w:rsid w:val="004947EA"/>
    <w:rsid w:val="00521434"/>
    <w:rsid w:val="00531A08"/>
    <w:rsid w:val="005777D3"/>
    <w:rsid w:val="00593AE9"/>
    <w:rsid w:val="005A2187"/>
    <w:rsid w:val="005C77CD"/>
    <w:rsid w:val="005F4FA3"/>
    <w:rsid w:val="00623454"/>
    <w:rsid w:val="006802D9"/>
    <w:rsid w:val="00704C1F"/>
    <w:rsid w:val="00741559"/>
    <w:rsid w:val="007A1FAA"/>
    <w:rsid w:val="008246FC"/>
    <w:rsid w:val="00827692"/>
    <w:rsid w:val="00835734"/>
    <w:rsid w:val="008848B7"/>
    <w:rsid w:val="008B7648"/>
    <w:rsid w:val="009002BA"/>
    <w:rsid w:val="00913058"/>
    <w:rsid w:val="009F216A"/>
    <w:rsid w:val="00AD4247"/>
    <w:rsid w:val="00AF7221"/>
    <w:rsid w:val="00B353AA"/>
    <w:rsid w:val="00B771CC"/>
    <w:rsid w:val="00C124B9"/>
    <w:rsid w:val="00C54A0E"/>
    <w:rsid w:val="00CC4E66"/>
    <w:rsid w:val="00D524FF"/>
    <w:rsid w:val="00DB125E"/>
    <w:rsid w:val="00DC56BA"/>
    <w:rsid w:val="00E54C14"/>
    <w:rsid w:val="00E73FE0"/>
    <w:rsid w:val="00E91F8B"/>
    <w:rsid w:val="00F220C3"/>
    <w:rsid w:val="00F260A9"/>
    <w:rsid w:val="00F46F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79F0"/>
  <w15:docId w15:val="{A62FC256-44D0-4473-BEEF-349E02F5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5E"/>
    <w:pPr>
      <w:spacing w:after="0" w:line="240" w:lineRule="auto"/>
    </w:pPr>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125E"/>
    <w:pPr>
      <w:suppressAutoHyphens/>
      <w:spacing w:after="140" w:line="276" w:lineRule="auto"/>
    </w:pPr>
    <w:rPr>
      <w:rFonts w:ascii="Liberation Serif" w:eastAsia="Noto Sans CJK SC" w:hAnsi="Liberation Serif" w:cs="Lohit Devanagari"/>
      <w:kern w:val="2"/>
      <w:lang w:eastAsia="zh-CN" w:bidi="hi-IN"/>
    </w:rPr>
  </w:style>
  <w:style w:type="character" w:customStyle="1" w:styleId="BodyTextChar">
    <w:name w:val="Body Text Char"/>
    <w:basedOn w:val="DefaultParagraphFont"/>
    <w:link w:val="BodyText"/>
    <w:rsid w:val="00DB125E"/>
    <w:rPr>
      <w:rFonts w:ascii="Liberation Serif" w:eastAsia="Noto Sans CJK SC" w:hAnsi="Liberation Serif" w:cs="Lohit Devanagari"/>
      <w:kern w:val="2"/>
      <w:sz w:val="24"/>
      <w:szCs w:val="24"/>
      <w:lang w:eastAsia="zh-CN" w:bidi="hi-IN"/>
    </w:rPr>
  </w:style>
  <w:style w:type="character" w:styleId="CommentReference">
    <w:name w:val="annotation reference"/>
    <w:uiPriority w:val="99"/>
    <w:unhideWhenUsed/>
    <w:rsid w:val="00DB125E"/>
    <w:rPr>
      <w:sz w:val="16"/>
      <w:szCs w:val="16"/>
    </w:rPr>
  </w:style>
  <w:style w:type="paragraph" w:styleId="CommentText">
    <w:name w:val="annotation text"/>
    <w:aliases w:val="Char,Comment Text Char"/>
    <w:basedOn w:val="Normal"/>
    <w:link w:val="CommentTextChar1"/>
    <w:uiPriority w:val="99"/>
    <w:unhideWhenUsed/>
    <w:qFormat/>
    <w:rsid w:val="00DB125E"/>
    <w:pPr>
      <w:spacing w:after="200"/>
    </w:pPr>
    <w:rPr>
      <w:rFonts w:ascii="Calibri" w:eastAsia="Calibri" w:hAnsi="Calibri"/>
      <w:sz w:val="20"/>
      <w:szCs w:val="20"/>
      <w:lang w:eastAsia="x-none"/>
    </w:rPr>
  </w:style>
  <w:style w:type="character" w:customStyle="1" w:styleId="CommentTextChar1">
    <w:name w:val="Comment Text Char1"/>
    <w:aliases w:val="Char Char,Comment Text Char Char"/>
    <w:basedOn w:val="DefaultParagraphFont"/>
    <w:link w:val="CommentText"/>
    <w:uiPriority w:val="99"/>
    <w:qFormat/>
    <w:rsid w:val="00DB125E"/>
    <w:rPr>
      <w:rFonts w:ascii="Calibri" w:eastAsia="Calibri" w:hAnsi="Calibri" w:cs="Times New Roman"/>
      <w:sz w:val="20"/>
      <w:szCs w:val="20"/>
      <w:lang w:val="fr-FR" w:eastAsia="x-none"/>
    </w:rPr>
  </w:style>
  <w:style w:type="paragraph" w:styleId="BalloonText">
    <w:name w:val="Balloon Text"/>
    <w:basedOn w:val="Normal"/>
    <w:link w:val="BalloonTextChar"/>
    <w:uiPriority w:val="99"/>
    <w:semiHidden/>
    <w:unhideWhenUsed/>
    <w:rsid w:val="00DB1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25E"/>
    <w:rPr>
      <w:rFonts w:ascii="Segoe UI" w:eastAsia="Times New Roman" w:hAnsi="Segoe UI" w:cs="Segoe UI"/>
      <w:sz w:val="18"/>
      <w:szCs w:val="18"/>
      <w:lang w:eastAsia="hu-HU"/>
    </w:rPr>
  </w:style>
  <w:style w:type="paragraph" w:styleId="ListParagraph">
    <w:name w:val="List Paragraph"/>
    <w:basedOn w:val="Normal"/>
    <w:uiPriority w:val="34"/>
    <w:qFormat/>
    <w:rsid w:val="008246FC"/>
    <w:pPr>
      <w:ind w:left="720"/>
      <w:contextualSpacing/>
    </w:pPr>
  </w:style>
  <w:style w:type="character" w:styleId="Emphasis">
    <w:name w:val="Emphasis"/>
    <w:basedOn w:val="DefaultParagraphFont"/>
    <w:uiPriority w:val="20"/>
    <w:qFormat/>
    <w:rsid w:val="007A1FAA"/>
    <w:rPr>
      <w:i/>
      <w:iCs/>
    </w:rPr>
  </w:style>
  <w:style w:type="paragraph" w:styleId="CommentSubject">
    <w:name w:val="annotation subject"/>
    <w:basedOn w:val="CommentText"/>
    <w:next w:val="CommentText"/>
    <w:link w:val="CommentSubjectChar"/>
    <w:uiPriority w:val="99"/>
    <w:semiHidden/>
    <w:unhideWhenUsed/>
    <w:rsid w:val="002D6BBD"/>
    <w:pPr>
      <w:spacing w:after="0"/>
    </w:pPr>
    <w:rPr>
      <w:rFonts w:ascii="Times New Roman" w:eastAsia="Times New Roman" w:hAnsi="Times New Roman"/>
      <w:b/>
      <w:bCs/>
      <w:lang w:eastAsia="hu-HU"/>
    </w:rPr>
  </w:style>
  <w:style w:type="character" w:customStyle="1" w:styleId="CommentSubjectChar">
    <w:name w:val="Comment Subject Char"/>
    <w:basedOn w:val="CommentTextChar1"/>
    <w:link w:val="CommentSubject"/>
    <w:uiPriority w:val="99"/>
    <w:semiHidden/>
    <w:rsid w:val="002D6BBD"/>
    <w:rPr>
      <w:rFonts w:ascii="Times New Roman" w:eastAsia="Times New Roman" w:hAnsi="Times New Roman" w:cs="Times New Roman"/>
      <w:b/>
      <w:bCs/>
      <w:sz w:val="20"/>
      <w:szCs w:val="20"/>
      <w:lang w:val="fr-FR"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9102">
      <w:bodyDiv w:val="1"/>
      <w:marLeft w:val="0"/>
      <w:marRight w:val="0"/>
      <w:marTop w:val="0"/>
      <w:marBottom w:val="0"/>
      <w:divBdr>
        <w:top w:val="none" w:sz="0" w:space="0" w:color="auto"/>
        <w:left w:val="none" w:sz="0" w:space="0" w:color="auto"/>
        <w:bottom w:val="none" w:sz="0" w:space="0" w:color="auto"/>
        <w:right w:val="none" w:sz="0" w:space="0" w:color="auto"/>
      </w:divBdr>
    </w:div>
    <w:div w:id="269245879">
      <w:bodyDiv w:val="1"/>
      <w:marLeft w:val="0"/>
      <w:marRight w:val="0"/>
      <w:marTop w:val="0"/>
      <w:marBottom w:val="0"/>
      <w:divBdr>
        <w:top w:val="none" w:sz="0" w:space="0" w:color="auto"/>
        <w:left w:val="none" w:sz="0" w:space="0" w:color="auto"/>
        <w:bottom w:val="none" w:sz="0" w:space="0" w:color="auto"/>
        <w:right w:val="none" w:sz="0" w:space="0" w:color="auto"/>
      </w:divBdr>
    </w:div>
    <w:div w:id="1238516932">
      <w:bodyDiv w:val="1"/>
      <w:marLeft w:val="0"/>
      <w:marRight w:val="0"/>
      <w:marTop w:val="0"/>
      <w:marBottom w:val="0"/>
      <w:divBdr>
        <w:top w:val="none" w:sz="0" w:space="0" w:color="auto"/>
        <w:left w:val="none" w:sz="0" w:space="0" w:color="auto"/>
        <w:bottom w:val="none" w:sz="0" w:space="0" w:color="auto"/>
        <w:right w:val="none" w:sz="0" w:space="0" w:color="auto"/>
      </w:divBdr>
    </w:div>
    <w:div w:id="177578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3DE22-5A29-45DC-B5E5-077A39BB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1797</Words>
  <Characters>10244</Characters>
  <Application>Microsoft Office Word</Application>
  <DocSecurity>0</DocSecurity>
  <Lines>85</Lines>
  <Paragraphs>24</Paragraphs>
  <ScaleCrop>false</ScaleCrop>
  <HeadingPairs>
    <vt:vector size="2" baseType="variant">
      <vt:variant>
        <vt:lpstr>Cím</vt:lpstr>
      </vt:variant>
      <vt:variant>
        <vt:i4>1</vt:i4>
      </vt:variant>
    </vt:vector>
  </HeadingPairs>
  <TitlesOfParts>
    <vt:vector size="1" baseType="lpstr">
      <vt:lpstr/>
    </vt:vector>
  </TitlesOfParts>
  <Company>BM</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Nádasdy-Horváth Benedek dr.</dc:creator>
  <cp:keywords/>
  <dc:description/>
  <cp:lastModifiedBy>Liana Brili</cp:lastModifiedBy>
  <cp:revision>4</cp:revision>
  <cp:lastPrinted>2023-03-28T12:44:00Z</cp:lastPrinted>
  <dcterms:created xsi:type="dcterms:W3CDTF">2023-04-11T08:39:00Z</dcterms:created>
  <dcterms:modified xsi:type="dcterms:W3CDTF">2023-04-19T08:32:00Z</dcterms:modified>
</cp:coreProperties>
</file>