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Lag […] från 2023</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Ändring av lag XLII från 1999 </w:t>
      </w:r>
      <w:r>
        <w:rPr>
          <w:rStyle w:val="Emphasis"/>
          <w:b/>
          <w:i w:val="0"/>
        </w:rPr>
        <w:t>om skydd för icke-rökare</w:t>
      </w:r>
      <w:r>
        <w:rPr>
          <w:b/>
        </w:rPr>
        <w:t xml:space="preserve"> och vissa regler om konsumtion och distribution av tobaksvaror och av lag CXXXIV från 2012 om bekämpning av ung rökning och detaljhandel med tobaksvaror</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rFonts w:eastAsia="Noto Sans CJK SC"/>
          <w:b/>
          <w:kern w:val="2"/>
        </w:rPr>
      </w:pPr>
      <w:r>
        <w:rPr>
          <w:b/>
        </w:rPr>
        <w:t xml:space="preserve">1. Ändring av lag XLII från 1999 </w:t>
      </w:r>
      <w:r>
        <w:rPr>
          <w:rStyle w:val="Emphasis"/>
          <w:b/>
          <w:i w:val="0"/>
        </w:rPr>
        <w:t>om skydd för icke-rökare</w:t>
      </w:r>
      <w:r>
        <w:rPr>
          <w:b/>
        </w:rPr>
        <w:t xml:space="preserve"> och vissa regler om konsumtion och distribution av tobaksvaror</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rFonts w:eastAsia="Noto Sans CJK SC"/>
          <w:b/>
          <w:kern w:val="2"/>
        </w:rPr>
      </w:pPr>
      <w:r>
        <w:rPr>
          <w:b/>
        </w:rPr>
        <w:t>Avsnitt 1</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 xml:space="preserve">(1) I lag XLII från 1999 om skydd för icke-rökare och vissa regler om konsumtion och distribution av tobaksvaror (nedan kallad rökförbudslagen) ska avsnitt 1 </w:t>
      </w:r>
      <w:r>
        <w:rPr>
          <w:i/>
        </w:rPr>
        <w:t>s)</w:t>
      </w:r>
      <w:r>
        <w:t xml:space="preserve"> och </w:t>
      </w:r>
      <w:r>
        <w:rPr>
          <w:i/>
        </w:rPr>
        <w:t>t)</w:t>
      </w:r>
      <w:r>
        <w:t xml:space="preserve"> ersättas med följande: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rFonts w:eastAsia="Noto Sans CJK SC"/>
          <w:i/>
          <w:iCs/>
          <w:kern w:val="2"/>
        </w:rPr>
      </w:pPr>
      <w:r>
        <w:rPr>
          <w:i/>
        </w:rPr>
        <w:t>(I denna lag gäller följande definitioner:)</w:t>
      </w:r>
    </w:p>
    <w:p w14:paraId="08370725" w14:textId="77777777" w:rsidR="00DB125E" w:rsidRPr="005A143B" w:rsidRDefault="00DB125E" w:rsidP="00DB125E">
      <w:pPr>
        <w:jc w:val="both"/>
      </w:pPr>
    </w:p>
    <w:p w14:paraId="4219C306" w14:textId="77777777" w:rsidR="00DB125E" w:rsidRPr="00164E2E" w:rsidRDefault="00DB125E" w:rsidP="00DB125E">
      <w:pPr>
        <w:jc w:val="both"/>
      </w:pPr>
      <w:r>
        <w:t>”</w:t>
      </w:r>
      <w:r>
        <w:rPr>
          <w:i/>
        </w:rPr>
        <w:t>s)</w:t>
      </w:r>
      <w:r>
        <w:t xml:space="preserve"> </w:t>
      </w:r>
      <w:r>
        <w:rPr>
          <w:i/>
        </w:rPr>
        <w:t>elektronisk anordning som imiterar rökning</w:t>
      </w:r>
      <w:r>
        <w:t xml:space="preserve"> är en elektronisk produkt för engångsbruk eller en produkt som fylls på i en nikotinfri påfyllningsbehållare eller drivs med en nikotinfri patron (påfyllningsbar), som kan användas för att konsumera nikotinfri ånga via ett munstycke, eller någon komponent i den produkten, inklusive behållare, eller någon anordning utan patron eller behållare,</w:t>
      </w:r>
    </w:p>
    <w:p w14:paraId="715B99F0" w14:textId="77777777" w:rsidR="00DB125E" w:rsidRPr="00164E2E" w:rsidRDefault="00DB125E" w:rsidP="00DB125E">
      <w:pPr>
        <w:jc w:val="both"/>
      </w:pPr>
      <w:r>
        <w:rPr>
          <w:i/>
        </w:rPr>
        <w:t>t)</w:t>
      </w:r>
      <w:r>
        <w:t xml:space="preserve"> </w:t>
      </w:r>
      <w:r>
        <w:rPr>
          <w:i/>
        </w:rPr>
        <w:t>nikotinfri påfyllningsbehållare</w:t>
      </w:r>
      <w:r>
        <w:t xml:space="preserve"> är en behållare som innehåller nikotinfri vätska för påfyllning av en elektronisk anordning som imiterar rökning.”</w:t>
      </w:r>
    </w:p>
    <w:p w14:paraId="622D8771" w14:textId="77777777" w:rsidR="00DB125E" w:rsidRDefault="00DB125E" w:rsidP="00DB125E">
      <w:pPr>
        <w:jc w:val="both"/>
      </w:pPr>
    </w:p>
    <w:p w14:paraId="07B1F29D" w14:textId="747BAB26" w:rsidR="00DB125E" w:rsidRDefault="00DB125E" w:rsidP="00DB125E">
      <w:pPr>
        <w:jc w:val="both"/>
      </w:pPr>
      <w:r>
        <w:t xml:space="preserve">(2) I rökförbudslagen ska följande punkt </w:t>
      </w:r>
      <w:r>
        <w:rPr>
          <w:i/>
        </w:rPr>
        <w:t>z)</w:t>
      </w:r>
      <w:r>
        <w:t xml:space="preserve"> läggas till i avsnitt 1: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rFonts w:eastAsia="Noto Sans CJK SC"/>
          <w:i/>
          <w:iCs/>
          <w:kern w:val="2"/>
        </w:rPr>
      </w:pPr>
      <w:r>
        <w:rPr>
          <w:i/>
        </w:rPr>
        <w:t>(I denna lag gäller följande definitioner:)</w:t>
      </w:r>
    </w:p>
    <w:p w14:paraId="51C4D610" w14:textId="77777777" w:rsidR="00DB125E" w:rsidRPr="00164E2E" w:rsidRDefault="00DB125E" w:rsidP="00DB125E">
      <w:pPr>
        <w:jc w:val="both"/>
      </w:pPr>
    </w:p>
    <w:p w14:paraId="0754F231" w14:textId="77777777" w:rsidR="00DB125E" w:rsidRPr="00164E2E" w:rsidRDefault="00DB125E" w:rsidP="00DB125E">
      <w:pPr>
        <w:jc w:val="both"/>
      </w:pPr>
      <w:r>
        <w:t>”</w:t>
      </w:r>
      <w:r>
        <w:rPr>
          <w:i/>
        </w:rPr>
        <w:t>z) nikotinfri patron</w:t>
      </w:r>
      <w:r>
        <w:t xml:space="preserve"> är en typ av nikotinfri påfyllningsbehållare som krävs för användning av vissa elektroniska anordningar som imiterar rökning, och som är en behållare som innehåller nikotinfri vätska i någon form, vanligtvis för engångsbruk (ej påfyllningsbar).”</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rFonts w:eastAsia="Noto Sans CJK SC"/>
          <w:b/>
          <w:bCs/>
          <w:kern w:val="2"/>
        </w:rPr>
      </w:pPr>
      <w:r>
        <w:rPr>
          <w:b/>
        </w:rPr>
        <w:t xml:space="preserve">Avsnitt 2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rFonts w:eastAsia="Noto Sans CJK SC"/>
          <w:kern w:val="2"/>
        </w:rPr>
      </w:pPr>
      <w:r>
        <w:t>(1) Avsnitt 7/D.1 i rökförbudslagen ska ersättas med följande:</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rFonts w:eastAsia="Noto Sans CJK SC"/>
          <w:kern w:val="2"/>
        </w:rPr>
      </w:pPr>
      <w:r>
        <w:t>”1) Tillverkare och importörer av elektroniska cigaretter, påfyllningsbehållare och patroner, elektroniska anordningar som imiterar rökning, nikotinfria påfyllningsbehållare, nikotinfria patroner och nikotinhaltiga röksubstitut samt deras distributörer i Ungern ska underrätta landets folkhälsomyndighet om alla produkter som de avser att släppa ut på marknaden sex månader innan de släpps ut på marknaden.”</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rFonts w:eastAsia="Noto Sans CJK SC"/>
          <w:kern w:val="2"/>
        </w:rPr>
      </w:pPr>
      <w:r>
        <w:t>(2) Avsnitt 7/D.3 i rökförbudslagen ska ersättas med följande:</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rFonts w:eastAsia="Noto Sans CJK SC"/>
          <w:kern w:val="2"/>
        </w:rPr>
      </w:pPr>
      <w:r>
        <w:t>”3) Följande ska rapporteras till folkhälsomyndigheten i enlighet med punkt 1:</w:t>
      </w:r>
    </w:p>
    <w:p w14:paraId="407E44DE" w14:textId="77777777" w:rsidR="00DB125E" w:rsidRPr="00E5303B" w:rsidRDefault="00DB125E" w:rsidP="00DB125E">
      <w:pPr>
        <w:suppressAutoHyphens/>
        <w:jc w:val="both"/>
        <w:rPr>
          <w:rFonts w:eastAsia="Noto Sans CJK SC"/>
          <w:kern w:val="2"/>
        </w:rPr>
      </w:pPr>
      <w:r>
        <w:lastRenderedPageBreak/>
        <w:t>a) alla ändringar av elektroniska cigaretter, påfyllningsbehållare och patroner, elektroniska anordningar som imiterar rökning, nikotinfria påfyllningsbehållare, nikotinfria patroner och nikotinhaltiga röksubstitut som påverkar produktens tekniska egenskaper enligt definitionen i denna lag eller i en regeringsförordning som utfärdats med stöd av denna lag, och</w:t>
      </w:r>
    </w:p>
    <w:p w14:paraId="4724DEC7" w14:textId="77777777" w:rsidR="00DB125E" w:rsidRPr="00E5303B" w:rsidRDefault="00DB125E" w:rsidP="00DB125E">
      <w:pPr>
        <w:suppressAutoHyphens/>
        <w:jc w:val="both"/>
        <w:rPr>
          <w:rFonts w:eastAsia="Noto Sans CJK SC"/>
          <w:kern w:val="2"/>
        </w:rPr>
      </w:pPr>
      <w:r>
        <w:t>b) ändringar av identiteten och tillgängligheten av tillverkaren, importören eller den ungerska distributören av elektroniska cigaretter, påfyllningsbehållare och patroner, elektroniska anordningar som imiterar rökning, nikotinfria påfyllningsbehållare, nikotinfria patroner och nikotinhaltiga röksubstitut.”</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rFonts w:eastAsia="Noto Sans CJK SC"/>
          <w:kern w:val="2"/>
        </w:rPr>
      </w:pPr>
      <w:r>
        <w:t>(3) I rökförbudslagen ska följande punkter 5 och 6 läggas till avsnitt 7/D:</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rFonts w:eastAsia="Noto Sans CJK SC"/>
          <w:kern w:val="2"/>
        </w:rPr>
      </w:pPr>
      <w:r>
        <w:t>”5) Folkhälsomyndigheten ska föra register över de produkter som anmälts enligt punkt 1, vilket ska innehålla:</w:t>
      </w:r>
    </w:p>
    <w:p w14:paraId="62C5FC5A" w14:textId="77777777" w:rsidR="00DB125E" w:rsidRPr="00E5303B" w:rsidRDefault="00DB125E" w:rsidP="00DB125E">
      <w:pPr>
        <w:suppressAutoHyphens/>
        <w:ind w:left="426" w:hanging="426"/>
        <w:jc w:val="both"/>
        <w:rPr>
          <w:rFonts w:eastAsia="Noto Sans CJK SC"/>
          <w:kern w:val="2"/>
        </w:rPr>
      </w:pPr>
      <w:r>
        <w:t>a) namnet på anmälaren, tillverkaren, importören eller distributören i Ungern,</w:t>
      </w:r>
    </w:p>
    <w:p w14:paraId="606EE827" w14:textId="77777777" w:rsidR="00DB125E" w:rsidRPr="00E5303B" w:rsidRDefault="00DB125E" w:rsidP="00DB125E">
      <w:pPr>
        <w:suppressAutoHyphens/>
        <w:ind w:left="426" w:hanging="426"/>
        <w:jc w:val="both"/>
        <w:rPr>
          <w:rFonts w:eastAsia="Noto Sans CJK SC"/>
          <w:kern w:val="2"/>
        </w:rPr>
      </w:pPr>
      <w:r>
        <w:t>c) den elektroniska cigarettens identifieringsnummer,</w:t>
      </w:r>
    </w:p>
    <w:p w14:paraId="19CD09BF" w14:textId="77777777" w:rsidR="00DB125E" w:rsidRPr="00E5303B" w:rsidRDefault="00DB125E" w:rsidP="00DB125E">
      <w:pPr>
        <w:suppressAutoHyphens/>
        <w:ind w:left="426" w:hanging="426"/>
        <w:jc w:val="both"/>
        <w:rPr>
          <w:rFonts w:eastAsia="Noto Sans CJK SC"/>
          <w:kern w:val="2"/>
        </w:rPr>
      </w:pPr>
      <w:r>
        <w:t>c) varumärke och undervarumärke,</w:t>
      </w:r>
    </w:p>
    <w:p w14:paraId="69FB953D" w14:textId="77777777" w:rsidR="00DB125E" w:rsidRPr="00E5303B" w:rsidRDefault="00DB125E" w:rsidP="00DB125E">
      <w:pPr>
        <w:suppressAutoHyphens/>
        <w:ind w:left="426" w:hanging="426"/>
        <w:jc w:val="both"/>
        <w:rPr>
          <w:rFonts w:eastAsia="Noto Sans CJK SC"/>
          <w:kern w:val="2"/>
        </w:rPr>
      </w:pPr>
      <w:r>
        <w:t>d) typ av produkt,</w:t>
      </w:r>
    </w:p>
    <w:p w14:paraId="73992F7B" w14:textId="77777777" w:rsidR="00DB125E" w:rsidRPr="00E5303B" w:rsidRDefault="00DB125E" w:rsidP="00DB125E">
      <w:pPr>
        <w:suppressAutoHyphens/>
        <w:ind w:left="426" w:hanging="426"/>
        <w:jc w:val="both"/>
        <w:rPr>
          <w:rFonts w:eastAsia="Noto Sans CJK SC"/>
          <w:kern w:val="2"/>
        </w:rPr>
      </w:pPr>
      <w:r>
        <w:t>e) serienumret på det utfärdade intyget om anmälan, och</w:t>
      </w:r>
    </w:p>
    <w:p w14:paraId="56BF7838" w14:textId="77777777" w:rsidR="00DB125E" w:rsidRPr="00E5303B" w:rsidRDefault="00DB125E" w:rsidP="00DB125E">
      <w:pPr>
        <w:suppressAutoHyphens/>
        <w:ind w:left="426" w:hanging="426"/>
        <w:jc w:val="both"/>
        <w:rPr>
          <w:rFonts w:eastAsia="Noto Sans CJK SC"/>
          <w:kern w:val="2"/>
        </w:rPr>
      </w:pPr>
      <w:r>
        <w:t>f) den första möjliga dagen för utsläppande på marknaden, beräknad i enlighet med punkt 1.</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rFonts w:eastAsia="Noto Sans CJK SC"/>
          <w:kern w:val="2"/>
        </w:rPr>
      </w:pPr>
      <w:r>
        <w:t>(6) Den ungerska tillverkaren, importören och distributören ska hantera tillbakadragande från marknaden av alla produkter som omfattas av försäljningsförbudet och som förvaras i lager hos återförsäljaren av tobaksvaror.”</w:t>
      </w:r>
    </w:p>
    <w:p w14:paraId="0A9586A9" w14:textId="422B59D3" w:rsidR="00333428" w:rsidRDefault="00333428"/>
    <w:p w14:paraId="1421BAD6" w14:textId="29A4BA46" w:rsidR="002D6BBD" w:rsidRDefault="002D6BBD" w:rsidP="00153F89">
      <w:pPr>
        <w:jc w:val="center"/>
        <w:rPr>
          <w:b/>
        </w:rPr>
      </w:pPr>
      <w:r>
        <w:rPr>
          <w:b/>
        </w:rPr>
        <w:t>Avsnitt 3</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rFonts w:eastAsia="Noto Sans CJK SC"/>
          <w:kern w:val="2"/>
        </w:rPr>
      </w:pPr>
      <w:r>
        <w:t xml:space="preserve">  Avsnitt 8.5.a i rökförbudslagen ska ersättas med följande:</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rFonts w:eastAsia="Noto Sans CJK SC"/>
          <w:i/>
          <w:iCs/>
          <w:kern w:val="2"/>
        </w:rPr>
      </w:pPr>
      <w:r>
        <w:rPr>
          <w:i/>
        </w:rPr>
        <w:t>(Regeringen bemyndigas härmed att genom förordning definiera och fastställa följande:</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”a) Kombinerade varningar, hälsovarningar och detaljerade användningsföreskrifter samt närmare bestämmelser för konsumentförpackningsenheter för tobaksvaror och förpackningsenheter för elektroniska cigaretter, påfyllningsbehållare, elektroniska anordningar som imiterar rökning, nikotinfria påfyllningsbehållare, nikotinfria patroner och nikotinhaltiga röksubstitut, innehåll och form på skyltar och märkningar för rökbegränsning och särskilda rökområden samt för användning av elektroniska cigaretter och elektroniska anordningar som imiterar rökning, utöver andra villkor för tillverkning, distribution och kontroll av tobaksvaror, elektroniska cigaretter, påfyllningsbehållare, elektroniska anordningar som imiterar rökning, nikotinfria påfyllningsbehållare och nikotinhaltiga röksubstitut, med sådana villkor som inte omfattas av punktskattelagen,”</w:t>
      </w:r>
    </w:p>
    <w:p w14:paraId="0D5D932B" w14:textId="77777777" w:rsidR="002D6BBD" w:rsidRDefault="002D6BBD"/>
    <w:p w14:paraId="255BC7D4" w14:textId="48DF91E1" w:rsidR="00DB125E" w:rsidRPr="00D55D42" w:rsidRDefault="00827692" w:rsidP="00DB125E">
      <w:pPr>
        <w:suppressAutoHyphens/>
        <w:jc w:val="center"/>
        <w:rPr>
          <w:rFonts w:eastAsia="Noto Sans CJK SC"/>
          <w:b/>
          <w:kern w:val="2"/>
        </w:rPr>
      </w:pPr>
      <w:r>
        <w:rPr>
          <w:b/>
        </w:rPr>
        <w:t>Avsnitt 4</w:t>
      </w:r>
    </w:p>
    <w:p w14:paraId="4D0DDFF7" w14:textId="77777777" w:rsidR="00DB125E" w:rsidRPr="007F65BB" w:rsidRDefault="00DB125E" w:rsidP="00DB125E">
      <w:pPr>
        <w:suppressAutoHyphens/>
        <w:jc w:val="both"/>
        <w:rPr>
          <w:rFonts w:eastAsia="Noto Sans CJK SC"/>
          <w:kern w:val="2"/>
          <w:lang w:eastAsia="zh-CN" w:bidi="hi-IN"/>
        </w:rPr>
      </w:pPr>
    </w:p>
    <w:p w14:paraId="2855D94E" w14:textId="77777777" w:rsidR="00DB125E" w:rsidRPr="00D55D42" w:rsidRDefault="00DB125E" w:rsidP="00DB125E">
      <w:pPr>
        <w:jc w:val="both"/>
      </w:pPr>
      <w:r>
        <w:t>I rökförbudslagen ska följande punkt 4a läggas till i avsnitt 10:</w:t>
      </w:r>
    </w:p>
    <w:p w14:paraId="007E3F42" w14:textId="77777777" w:rsidR="00DB125E" w:rsidRPr="00D55D42" w:rsidRDefault="00DB125E" w:rsidP="00DB125E">
      <w:pPr>
        <w:jc w:val="center"/>
      </w:pPr>
    </w:p>
    <w:p w14:paraId="37B8ADF9" w14:textId="59AF2AF0" w:rsidR="005777D3" w:rsidRDefault="00DB125E" w:rsidP="005777D3">
      <w:pPr>
        <w:jc w:val="both"/>
      </w:pPr>
      <w:r>
        <w:t>”4a) Gällande nikotinfria påfyllningsbehållare, nikotinfria patroner och nikotinhaltiga röksubstitut som redan fanns på marknaden den 1 september 2023, måste anmälan enligt avsnitt 7/D.1 enligt avsnitt 2 i lagen ... från 2023 om ändring av lag XLII från 1999 om skydd för icke-rökare och vissa regler om konsumtion och distribution av tobaksvaror och av lag CXXXIV från 2012 om bekämpning av ung rökning och detaljhandel med tobaksvaror</w:t>
      </w:r>
    </w:p>
    <w:p w14:paraId="064D8A1E" w14:textId="4F3F8F5C" w:rsidR="00DB125E" w:rsidRDefault="005777D3" w:rsidP="005777D3">
      <w:pPr>
        <w:jc w:val="both"/>
      </w:pPr>
      <w:r>
        <w:lastRenderedPageBreak/>
        <w:t xml:space="preserve">  göras till och med den 31 januari 2024.”</w:t>
      </w:r>
    </w:p>
    <w:p w14:paraId="717F87AE" w14:textId="77777777" w:rsidR="00E91F8B" w:rsidRDefault="00E91F8B" w:rsidP="005777D3">
      <w:pPr>
        <w:jc w:val="both"/>
      </w:pPr>
    </w:p>
    <w:p w14:paraId="44851160" w14:textId="00604E87" w:rsidR="00E91F8B" w:rsidRDefault="00DC56BA" w:rsidP="00E91F8B">
      <w:pPr>
        <w:jc w:val="center"/>
        <w:rPr>
          <w:b/>
        </w:rPr>
      </w:pPr>
      <w:r>
        <w:rPr>
          <w:b/>
        </w:rPr>
        <w:t>Avsnitt 5</w:t>
      </w:r>
    </w:p>
    <w:p w14:paraId="664F8A47" w14:textId="77777777" w:rsidR="00E91F8B" w:rsidRDefault="00E91F8B" w:rsidP="00E91F8B">
      <w:pPr>
        <w:jc w:val="center"/>
        <w:rPr>
          <w:b/>
        </w:rPr>
      </w:pPr>
    </w:p>
    <w:p w14:paraId="1478B73D" w14:textId="09EACD72" w:rsidR="00E91F8B" w:rsidRPr="00E91F8B" w:rsidRDefault="00E91F8B" w:rsidP="00E91F8B">
      <w:pPr>
        <w:jc w:val="both"/>
      </w:pPr>
      <w:r>
        <w:t>I rökförbudslagen ska följande avsnitt 8/B införas:</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”Avsnitt 8/B Följande avsnitt som fastställs genom lag ... från 2023 om ändring av lag XLII från 1999 om skydd för icke-rökare och vissa regler om konsumtion och distribution av tobaksvaror och av lag CXXXIV från 2012 om bekämpning av ung rökning och detaljhandel med tobaksvaror, som förtecknas nedan, det vill säga avsnitt 1 s), t) och z), avsnitt 7/C, avsnitt 7/D.1, 7/D.3, 7/D.5 och 7/D.6, avsnitt 7/E.1–6, avsnitt 7/G.1 och 7/G.2, avsnitt 7/H, avsnitt 8.5.a och avsnitt 10.4a i detta lagförslag, har varit föremål för förhandsanmälan i enlighet med artiklarna 5–7 i Europaparlamentets och rådets direktiv (EU) 2015/1535 av den 9 september 2015 om ett informationsförfarande beträffande tekniska föreskrifter och beträffande föreskrifter för informationssamhällets tjänster.”</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rFonts w:eastAsia="Noto Sans CJK SC"/>
          <w:b/>
          <w:bCs/>
          <w:kern w:val="2"/>
        </w:rPr>
      </w:pPr>
      <w:r>
        <w:rPr>
          <w:b/>
        </w:rPr>
        <w:t>Avsnitt 6</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rFonts w:eastAsia="Noto Sans CJK SC"/>
          <w:kern w:val="2"/>
        </w:rPr>
      </w:pPr>
      <w:r>
        <w:t>I lagen om rökförbud</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a) I avsnitt 7/C ska orden ”elektroniska cigaretter” ersättas med ”elektroniska cigaretter, påfyllningsbehållare, patroner, elektroniska anordningar som imiterar rökning, nikotinfria påfyllningsbehållare, nikotinfria patroner och nikotinhaltiga röksubstitut”.</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b) I avsnitt 7/E.1–5 ska orden ”elektroniska cigaretter och påfyllningsbehållare” ersättas med ”elektroniska cigaretter, påfyllningsbehållare, patroner, elektroniska anordningar som imiterar rökning, nikotinfria påfyllningsbehållare, nikotinfria patroner och nikotinhaltiga röksubstitut”.</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c) I avsnitt 7/E.6 ska orden ”elektroniska cigaretter eller påfyllningsbehållare” ersättas med orden ”elektroniska cigaretter, påfyllningsbehållare, patroner, elektroniska anordningar som imiterar rökning, nikotinfria påfyllningsbehållare, nikotinfria patroner och nikotinhaltiga röksubstitut”.</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d) I avsnitt 7/F ska orden ”elektroniska cigaretter och påfyllningsbehållare” ersättas med ”elektroniska cigaretter, påfyllningsbehållare, patroner, elektroniska anordningar som imiterar rökning, nikotinfria påfyllningsbehållare, nikotinfria patroner och nikotinhaltiga röksubstitut”.</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e) I avsnitt 7/G.1 ska orden ”elektroniska cigaretter eller påfyllningsbehållare” ersättas med ”elektroniska cigaretter, påfyllningsbehållare, patroner, elektroniska anordningar som imiterar rökning, nikotinfria påfyllningsbehållare, nikotinfria patroner och nikotinhaltiga röksubstitut”.</w:t>
      </w:r>
    </w:p>
    <w:p w14:paraId="5DED55E3" w14:textId="1EE35D48" w:rsidR="00DB125E" w:rsidRPr="00673F64" w:rsidRDefault="00153F89" w:rsidP="00DB125E">
      <w:pPr>
        <w:pStyle w:val="BodyText"/>
        <w:spacing w:after="0" w:line="240" w:lineRule="auto"/>
        <w:jc w:val="both"/>
      </w:pPr>
      <w:r>
        <w:rPr>
          <w:rFonts w:ascii="Times New Roman" w:hAnsi="Times New Roman"/>
        </w:rPr>
        <w:t>f) I avsnitt 7/G.2 ska orden ”elektroniska cigaretter och påfyllningsbehållare” ersättas med ”elektroniska cigaretter, påfyllningsbehållare, patroner, elektroniska anordningar som imiterar rökning, nikotinfria påfyllningsbehållare, nikotinfria patroner och nikotinhaltiga röksubstitut”.</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g) I avsnitt 7/H ska orden ”elektroniska cigaretter och elektroniska anordningar som imiterar rökning” ersättas med orden ”elektroniska cigaretter, påfyllningsbehållare, patroner, elektroniska anordningar som imiterar rökning, nikotinfria påfyllningsbehållare, nikotinfria patroner och nikotinhaltiga röksubstitut”.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CC1545">
      <w:pPr>
        <w:keepNext/>
        <w:suppressAutoHyphens/>
        <w:jc w:val="center"/>
        <w:rPr>
          <w:rFonts w:eastAsia="Noto Sans CJK SC"/>
          <w:b/>
          <w:kern w:val="2"/>
        </w:rPr>
      </w:pPr>
      <w:r>
        <w:rPr>
          <w:b/>
        </w:rPr>
        <w:lastRenderedPageBreak/>
        <w:t>Avsnitt 7</w:t>
      </w:r>
    </w:p>
    <w:p w14:paraId="6B1D9AD2" w14:textId="77777777" w:rsidR="00DB125E" w:rsidRDefault="00DB125E" w:rsidP="00CC1545">
      <w:pPr>
        <w:keepNext/>
        <w:suppressAutoHyphens/>
        <w:jc w:val="center"/>
        <w:rPr>
          <w:rFonts w:eastAsia="Noto Sans CJK SC"/>
          <w:kern w:val="2"/>
          <w:lang w:eastAsia="zh-CN" w:bidi="hi-IN"/>
        </w:rPr>
      </w:pPr>
    </w:p>
    <w:p w14:paraId="69C95DAD" w14:textId="00089198" w:rsidR="00DB125E" w:rsidRDefault="00DB125E" w:rsidP="00DB125E">
      <w:pPr>
        <w:suppressAutoHyphens/>
        <w:jc w:val="both"/>
        <w:rPr>
          <w:rFonts w:eastAsia="Noto Sans CJK SC"/>
          <w:kern w:val="2"/>
        </w:rPr>
      </w:pPr>
      <w:r>
        <w:t xml:space="preserve"> Avsnitt 7/I i rökförbudslagen ska upphöra att gälla.</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rFonts w:eastAsia="Noto Sans CJK SC"/>
          <w:b/>
          <w:kern w:val="2"/>
        </w:rPr>
      </w:pPr>
      <w:r>
        <w:rPr>
          <w:b/>
        </w:rPr>
        <w:t>2. Ändring av lag CXXXIV från 2012 om bekämpning av ung rökning och detaljhandel med tobaksvaror</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rFonts w:eastAsia="Noto Sans CJK SC"/>
          <w:b/>
          <w:kern w:val="2"/>
        </w:rPr>
      </w:pPr>
      <w:r>
        <w:rPr>
          <w:b/>
        </w:rPr>
        <w:t>Avsnitt 8</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 xml:space="preserve">I lag CXXXIV från 2012 om bekämpning av ung rökning och detaljhandel med tobaksvaror (nedan kallad </w:t>
      </w:r>
      <w:r>
        <w:rPr>
          <w:i/>
          <w:iCs/>
        </w:rPr>
        <w:t>lagen om bekämpning av minderårigas rökning</w:t>
      </w:r>
      <w:r>
        <w:t>) ska följande punkt 4 läggas till i avsnitt 28:</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rFonts w:eastAsia="Noto Sans CJK SC"/>
          <w:kern w:val="2"/>
        </w:rPr>
      </w:pPr>
      <w:r>
        <w:t>”4) Utkast till avsnitt 1.1 e och avsnitt 3.2 e, upprättade genom lag ... från 2023 om ändring av lag XLII från 1999 om skydd för icke-rökare och vissa regler om konsumtion och distribution av tobaksvaror och av lag CXXXIV från 2012 om bekämpning av ung rökning och detaljhandel med tobaksvaror, har varit föremål för förhandsanmälan i enlighet med artiklarna 5–7 i Europaparlamentets och rådets direktiv (EU) 2015/1535 av den 9 september 2015 om ett informationsförfarande beträffande tekniska föreskrifter och beträffande föreskrifter för informationssamhällets tjänster.”</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6802D9">
      <w:pPr>
        <w:suppressAutoHyphens/>
        <w:jc w:val="center"/>
        <w:rPr>
          <w:rFonts w:eastAsia="Noto Sans CJK SC"/>
          <w:b/>
          <w:kern w:val="2"/>
        </w:rPr>
      </w:pPr>
      <w:r>
        <w:rPr>
          <w:b/>
        </w:rPr>
        <w:t>Avsnitt 9</w:t>
      </w:r>
    </w:p>
    <w:p w14:paraId="2586615B" w14:textId="77777777" w:rsidR="006802D9" w:rsidRPr="006802D9" w:rsidRDefault="006802D9" w:rsidP="006802D9">
      <w:pPr>
        <w:suppressAutoHyphens/>
        <w:jc w:val="center"/>
        <w:rPr>
          <w:rFonts w:eastAsia="Noto Sans CJK SC"/>
          <w:b/>
          <w:kern w:val="2"/>
          <w:lang w:eastAsia="zh-CN" w:bidi="hi-IN"/>
        </w:rPr>
      </w:pPr>
    </w:p>
    <w:p w14:paraId="012E5D30" w14:textId="1946FFE6" w:rsidR="00396C85" w:rsidRDefault="00402174" w:rsidP="00153F89">
      <w:pPr>
        <w:jc w:val="both"/>
      </w:pPr>
      <w:r>
        <w:t xml:space="preserve">I avsnitt 1.1 </w:t>
      </w:r>
      <w:r>
        <w:rPr>
          <w:i/>
        </w:rPr>
        <w:t>e)</w:t>
      </w:r>
      <w:r>
        <w:t xml:space="preserve"> och avsnitt 3.2 </w:t>
      </w:r>
      <w:r>
        <w:rPr>
          <w:i/>
        </w:rPr>
        <w:t>e)</w:t>
      </w:r>
      <w:r>
        <w:t xml:space="preserve"> i lagen om bekämpning av minderårigas rökning ska orden ”nikotinfria påfyllningsbehållare” ersättas med ”nikotinfria påfyllningsbehållare, nikotinfria patroner”.</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rFonts w:eastAsia="Noto Sans CJK SC"/>
          <w:b/>
          <w:kern w:val="2"/>
        </w:rPr>
      </w:pPr>
      <w:r>
        <w:rPr>
          <w:b/>
        </w:rPr>
        <w:t>3. Slutbestämmelser</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rFonts w:eastAsia="Noto Sans CJK SC"/>
          <w:b/>
          <w:kern w:val="2"/>
        </w:rPr>
      </w:pPr>
      <w:r>
        <w:rPr>
          <w:b/>
        </w:rPr>
        <w:t>Avsnitt 10</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rFonts w:eastAsia="Noto Sans CJK SC"/>
          <w:kern w:val="2"/>
        </w:rPr>
      </w:pPr>
      <w:r>
        <w:t>Denna lag ska träda i kraft den 1 november 2023.</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91F8B">
      <w:pPr>
        <w:jc w:val="center"/>
        <w:rPr>
          <w:b/>
        </w:rPr>
      </w:pPr>
      <w:r>
        <w:rPr>
          <w:b/>
        </w:rPr>
        <w:t>Avsnitt 11</w:t>
      </w:r>
    </w:p>
    <w:p w14:paraId="7BC9C63E" w14:textId="77777777" w:rsidR="00E91F8B" w:rsidRDefault="00E91F8B" w:rsidP="00E91F8B">
      <w:pPr>
        <w:jc w:val="center"/>
      </w:pPr>
    </w:p>
    <w:p w14:paraId="50C1AEE0" w14:textId="45A9E010" w:rsidR="00E91F8B" w:rsidRDefault="00E91F8B" w:rsidP="00E91F8B">
      <w:pPr>
        <w:jc w:val="both"/>
        <w:rPr>
          <w:rFonts w:eastAsia="Noto Sans CJK SC"/>
          <w:kern w:val="2"/>
        </w:rPr>
      </w:pPr>
      <w:r>
        <w:t>Kravet på en förhandsanmälan av detta utkast till lag, i enlighet med artiklarna 5–7 i Europaparlamentets och rådets direktiv (EU) 2015/1535 av den 9 september 2015 om ett informationsförfarande beträffande tekniska föreskrifter och beträffande föreskrifter för informationssamhällets tjänster, har följts.</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1124F5"/>
    <w:rsid w:val="00153F89"/>
    <w:rsid w:val="00156D3E"/>
    <w:rsid w:val="00193FD6"/>
    <w:rsid w:val="001F588D"/>
    <w:rsid w:val="00237063"/>
    <w:rsid w:val="002D6BBD"/>
    <w:rsid w:val="00333428"/>
    <w:rsid w:val="00396C85"/>
    <w:rsid w:val="003A401D"/>
    <w:rsid w:val="00402174"/>
    <w:rsid w:val="004049B2"/>
    <w:rsid w:val="004947EA"/>
    <w:rsid w:val="00521434"/>
    <w:rsid w:val="00531A08"/>
    <w:rsid w:val="005777D3"/>
    <w:rsid w:val="00593AE9"/>
    <w:rsid w:val="005A2187"/>
    <w:rsid w:val="005C77CD"/>
    <w:rsid w:val="005F4FA3"/>
    <w:rsid w:val="00623454"/>
    <w:rsid w:val="006802D9"/>
    <w:rsid w:val="00704C1F"/>
    <w:rsid w:val="00741559"/>
    <w:rsid w:val="007A1FAA"/>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1545"/>
    <w:rsid w:val="00CC4E66"/>
    <w:rsid w:val="00D524FF"/>
    <w:rsid w:val="00DB125E"/>
    <w:rsid w:val="00DC56BA"/>
    <w:rsid w:val="00E54C14"/>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sv-SE"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sv-SE"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1434</Words>
  <Characters>8174</Characters>
  <Application>Microsoft Office Word</Application>
  <DocSecurity>0</DocSecurity>
  <Lines>68</Lines>
  <Paragraphs>19</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Liana Brili</cp:lastModifiedBy>
  <cp:revision>4</cp:revision>
  <cp:lastPrinted>2023-03-28T12:44:00Z</cp:lastPrinted>
  <dcterms:created xsi:type="dcterms:W3CDTF">2023-04-11T08:39:00Z</dcterms:created>
  <dcterms:modified xsi:type="dcterms:W3CDTF">2023-04-19T12:24:00Z</dcterms:modified>
</cp:coreProperties>
</file>