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A299" w14:textId="7D69A5E2" w:rsidR="00C72F15" w:rsidRDefault="00C72F15" w:rsidP="00C72F15">
      <w:pPr>
        <w:jc w:val="center"/>
        <w:rPr>
          <w:rFonts w:ascii="Courier New" w:hAnsi="Courier New"/>
          <w:sz w:val="20"/>
        </w:rPr>
      </w:pPr>
      <w:bookmarkStart w:id="0" w:name="_Hlk58612681"/>
      <w:r>
        <w:rPr>
          <w:rFonts w:ascii="Courier New" w:hAnsi="Courier New"/>
          <w:sz w:val="20"/>
        </w:rPr>
        <w:t xml:space="preserve">1. ------IND- 2021 0013 D-- DA- ------ 20210126 --- --- </w:t>
      </w:r>
      <w:bookmarkEnd w:id="0"/>
      <w:r>
        <w:rPr>
          <w:rFonts w:ascii="Courier New" w:hAnsi="Courier New"/>
          <w:sz w:val="20"/>
        </w:rPr>
        <w:t>PROJET</w:t>
      </w:r>
    </w:p>
    <w:p w14:paraId="61B72A04" w14:textId="77777777" w:rsidR="002B6ABF" w:rsidRPr="00774080" w:rsidRDefault="004B1EAC" w:rsidP="004E1D47">
      <w:pPr>
        <w:pStyle w:val="Heading1"/>
        <w:rPr>
          <w:sz w:val="30"/>
          <w:szCs w:val="30"/>
        </w:rPr>
      </w:pPr>
      <w:r>
        <w:rPr>
          <w:sz w:val="30"/>
        </w:rPr>
        <w:t>Lovudkast</w:t>
      </w:r>
    </w:p>
    <w:p w14:paraId="4AD3C5C7" w14:textId="77777777" w:rsidR="002B6ABF" w:rsidRPr="00774080" w:rsidRDefault="002B6ABF">
      <w:pPr>
        <w:pStyle w:val="Initiant"/>
        <w:rPr>
          <w:szCs w:val="26"/>
        </w:rPr>
      </w:pPr>
      <w:r>
        <w:t>fra forbundsregeringen</w:t>
      </w:r>
    </w:p>
    <w:p w14:paraId="39573378" w14:textId="2AB76FB7" w:rsidR="002B6ABF" w:rsidRPr="00774080" w:rsidRDefault="00C80BD3" w:rsidP="007965D0">
      <w:pPr>
        <w:pStyle w:val="VorblattBezeichnung"/>
        <w:jc w:val="center"/>
      </w:pPr>
      <w:r>
        <w:t>Lov til ændring af den tyske dyreværnslov – forbud mod aflivning af kyllinger</w:t>
      </w:r>
    </w:p>
    <w:p w14:paraId="615E43B4" w14:textId="77777777" w:rsidR="004B1EAC" w:rsidRPr="00774080" w:rsidRDefault="00EF383E" w:rsidP="00EF383E">
      <w:pPr>
        <w:pStyle w:val="VorblattTitelProblemundZiel"/>
      </w:pPr>
      <w:r>
        <w:t>A. Problem og målsætning</w:t>
      </w:r>
    </w:p>
    <w:p w14:paraId="78584AAC" w14:textId="77777777" w:rsidR="003C6535" w:rsidRPr="00774080" w:rsidRDefault="003C6535" w:rsidP="003C6535">
      <w:pPr>
        <w:pStyle w:val="Text"/>
      </w:pPr>
      <w:r>
        <w:t>For året 2019 har det statistiske forbundskontor (Statistische Bundesamt) opgjort cirka 45 millioner udklækkede såkaldte "hundyr til æglægning". "Hundyr til æglægning" er høner, som efter opdræt anvendes som æglæggende høner og derfor overvejende stammer fra forædlingslinjer, som i modsætning til toformålsracer er avlet specielt til en høj ægproduktion.</w:t>
      </w:r>
    </w:p>
    <w:p w14:paraId="6E35931B" w14:textId="77777777" w:rsidR="003C6535" w:rsidRPr="00774080" w:rsidRDefault="003C6535" w:rsidP="003C6535">
      <w:pPr>
        <w:pStyle w:val="Text"/>
      </w:pPr>
      <w:r>
        <w:t>I sådanne forædlingslinjer udklækkes ud over de 45 millioner hundyr til æglægning også cirka 45 millioner hanekyllinger. Disse hanekyllinger sorteres hos producenterne fra af økonomiske grunde, da hanerne ikke kan lægge æg, og fordi hanerne fra disse forædlingslinjer på grund af deres opfedningsevne heller ikke egner sig særlig godt som slagtekyllinger. Af denne grund bliver langt de fleste af hanekyllingerne i dag aflivet i rugerierne kort tid efter udklækningen. Aflivningen sker oftest ved indledning af høje koncentrationer af carbondioxid, mere sjældent ved knusning.</w:t>
      </w:r>
    </w:p>
    <w:p w14:paraId="18595EEF" w14:textId="77777777" w:rsidR="003C6535" w:rsidRPr="00774080" w:rsidRDefault="003C6535" w:rsidP="003C6535">
      <w:pPr>
        <w:pStyle w:val="Text"/>
      </w:pPr>
      <w:r>
        <w:t xml:space="preserve">Den tyske dyreværnslov fastsætter i § 1, stk. 1, at dyr skal beskyttes: "Formålet med nærværende lov er på baggrund af menneskets ansvar for dyret som en medskabning at beskytte dets liv og velvære". § 1, stk. 2, i dyreværnsloven, lyder: "Ingen må uden en fornuftig grund forvolde et dyr smerte, lidelse eller skader". Omvendt betyder § 1, stk. 2, at dyr alligevel må forvoldes smerte, lidelse eller skader, men kun hvis der foreligger en fornuftig grund til dette. Den tyske forvaltningsdomstol har med domme af 13. juni 2019 (BVerwG 3 C 28.16, BVerwG 3 C 29.16) – på baggrund af det i grundloven indførte statsmål om dyrebeskyttelse (artikel 20a i grundloven) – slået fast, at den økonomiske interesse i høner, som er avlet specielt til at opnå en høj ægproduktion, ikke er en fornuftig grund som defineret i § 1, stk. 2, i dyreværnsloven, til at aflive hanekyllinger fra disse forædlingslinjer. Ifølge forvaltningsdomstolen er der dog stadig en fornuftig grund til at fortsætte den hidtidige praksis med aflivning af hanekyllinger i en overgangstid, hvis der snart står alternativer til rådighed til aflivningen af kyllingerne, som belaster rugerierne betydeligt mindre end opdræt af dyrene. </w:t>
      </w:r>
    </w:p>
    <w:p w14:paraId="379BAE7F" w14:textId="77777777" w:rsidR="003C6535" w:rsidRPr="00774080" w:rsidRDefault="003C6535" w:rsidP="0031602C">
      <w:pPr>
        <w:spacing w:before="0" w:after="0"/>
      </w:pPr>
      <w:r>
        <w:t xml:space="preserve">Uafhængigt af begge domme og den konkrete retssag er det gennem flere år fra politisk side blevet krævet af fjerkræbranchen at opgive aflivningerne af kyllinger. Hertil støttes for det første forskningsprojekter til anvendelse af høner fra toformålsracer. Ved opdræt af høner fra toformålsracer skal hønerne have en tilstrækkelig ægproduktion, og hanerne skal opnå en tilstrækkelig opfedningsevne og et tilstrækkeligt slagteudbytte, så begge køn får en økonomisk værdi. For det andet er det imidlertid lykkedes for forskningsprojekter, som også har modtaget offentlig støttemidler, at udvikle praktisk anvendelige metoder, som kan anvendes til at bestemme kyllingens køn, allerede før den udklækkes. På den måde kan æg frasorteres, som ville indeholde hanekyllinger, hvorved aflivningen af hanekyllingerne overflødiggøres. </w:t>
      </w:r>
    </w:p>
    <w:p w14:paraId="6A821666" w14:textId="77777777" w:rsidR="003C6535" w:rsidRPr="00774080" w:rsidRDefault="003C6535" w:rsidP="003C6535">
      <w:pPr>
        <w:pStyle w:val="Text"/>
      </w:pPr>
      <w:r>
        <w:t xml:space="preserve">I lyset af ovenstående, især forvaltningsdomstolens domme, og med henblik på koalitionsregeringens målaftale i koalitionsaftalen om at afskaffe aflivningen af kyllinger, skal aflivningen af kyllinger nu forbydes udtrykkeligt. Avls- og opformeringsdyr er også </w:t>
      </w:r>
      <w:r>
        <w:lastRenderedPageBreak/>
        <w:t>omfattet af forbuddet. Avlsdyr anvendes til produktion af opformeringsdyr, og opformeringsdyr anvendes til produktion af brugskyllinger. Ifølge den aktuelle videnskabelige viden er kyllingefosteret ikke i stand til at føle smerte før den syvende rugedag. Fra den syvende rugedag kan det ikke udelukkes, at udviklingen af smertefølelse er påbegyndt. For at beskytte dyrenes velfærd skal det derfor afvises at foretage indgreb på hønseæggets udvikling fra den syvende rugedag eller at afbryde udrugningen, som foretages ved eller efter anvendelsen af metoder til kønsbestemmelse og forårsager kyllingefosterets død. Sådanne handlinger skal nu ligeledes forbydes.</w:t>
      </w:r>
    </w:p>
    <w:p w14:paraId="1BA24636" w14:textId="77777777" w:rsidR="003C6535" w:rsidRPr="00774080" w:rsidRDefault="003C6535" w:rsidP="003C6535">
      <w:pPr>
        <w:pStyle w:val="VorblattTitelLsung"/>
      </w:pPr>
      <w:r>
        <w:t>B. Løsning</w:t>
      </w:r>
    </w:p>
    <w:p w14:paraId="3B6C4276" w14:textId="77777777" w:rsidR="003C6535" w:rsidRPr="00774080" w:rsidRDefault="003C6535" w:rsidP="003C6535">
      <w:pPr>
        <w:pStyle w:val="Text"/>
      </w:pPr>
      <w:r>
        <w:t xml:space="preserve">Med loven optages forbuddet mod aflivning af kyllinger af arten Gallus gallus i dyreværnsloven. Avls- og opformeringsdyr er også omfattet af forbuddet. </w:t>
      </w:r>
    </w:p>
    <w:p w14:paraId="433E6F3A" w14:textId="77777777" w:rsidR="003C6535" w:rsidRPr="00774080" w:rsidRDefault="003C6535" w:rsidP="003C6535">
      <w:pPr>
        <w:pStyle w:val="Text"/>
      </w:pPr>
      <w:r>
        <w:t xml:space="preserve">Desuden indføres forbud mod fra den syvende rugedag at udføre indgreb i et hønseægs udvikling og afbrydelse af udrugningen, som gennemføres på ægget ved eller efter anvendelse af metoder til kønsbestemmelse i ægget og forårsager kyllingefosterets død. </w:t>
      </w:r>
    </w:p>
    <w:p w14:paraId="4D3DCD0D" w14:textId="77777777" w:rsidR="003C6535" w:rsidRPr="00774080" w:rsidRDefault="003C6535" w:rsidP="003C6535">
      <w:pPr>
        <w:pStyle w:val="Text"/>
      </w:pPr>
      <w:r>
        <w:t xml:space="preserve">De to forbud træder dog ikke kraft med det samme og heller ikke samtidig. Der fastsættes bestemmelser om en trinvis ikrafttrædelse: Forbuddet mod aflivning af kyllinger træder i kraft den 1. januar 2022, og forbuddet mod indgreb på hønseæg og afbrydelse af udrugningen træder i kraft den 1. januar 2024. På den måde får branchen tid til at tilpasse sig den nye retlige situation. </w:t>
      </w:r>
    </w:p>
    <w:p w14:paraId="56F0426A" w14:textId="77777777" w:rsidR="003C6535" w:rsidRPr="00774080" w:rsidRDefault="003C6535" w:rsidP="003C6535">
      <w:pPr>
        <w:pStyle w:val="VorblattTitelAlternativen"/>
      </w:pPr>
      <w:r>
        <w:t>C. Alternativer</w:t>
      </w:r>
    </w:p>
    <w:p w14:paraId="5A30BC6A" w14:textId="77777777" w:rsidR="003C6535" w:rsidRPr="00774080" w:rsidRDefault="003C6535" w:rsidP="003C6535">
      <w:pPr>
        <w:pStyle w:val="Text"/>
      </w:pPr>
      <w:r>
        <w:t>Med et afkald på indførelsen af begge forbud eller med en bestemmelse, som blot konstaterer, at en fornuftig grund til aflivning af kyllinger og forårsagelse af kyllingefostres død ikke er givet, ville målet om at forhindre aflivning af kyllinger eller kyllingefostre og en effektiv overholdelse af dette ikke kunne opnås. Der ses dermed ingen lovmæssige alternativer, som er lige så egnede. Bestemmelserne ledsages af foranstaltninger, hvis formål er at styrke avlen og anvendelsen af toformålsracer.</w:t>
      </w:r>
    </w:p>
    <w:p w14:paraId="1AB91B88" w14:textId="77777777" w:rsidR="003C6535" w:rsidRPr="00774080" w:rsidRDefault="003C6535" w:rsidP="003C6535">
      <w:pPr>
        <w:pStyle w:val="VorblattTitelHaushaltsausgabenohneErfllungsaufwand"/>
      </w:pPr>
      <w:r>
        <w:t>D. Budgetudgifter uden tilpasningsomkostninger</w:t>
      </w:r>
    </w:p>
    <w:p w14:paraId="4A61EEE5" w14:textId="77777777" w:rsidR="003C6535" w:rsidRPr="00774080" w:rsidRDefault="003C6535" w:rsidP="003C6535">
      <w:pPr>
        <w:pStyle w:val="Text"/>
      </w:pPr>
      <w:r>
        <w:t xml:space="preserve">Med loven opstår der ingen budgetudgifter uden tilpasningsomkostninger. </w:t>
      </w:r>
    </w:p>
    <w:p w14:paraId="2A16B3C4" w14:textId="77777777" w:rsidR="003C6535" w:rsidRPr="00774080" w:rsidRDefault="003C6535" w:rsidP="003C6535">
      <w:pPr>
        <w:pStyle w:val="VorblattTitelErfllungsaufwand"/>
      </w:pPr>
      <w:r>
        <w:t>E. Tilpasningsomkostninger</w:t>
      </w:r>
    </w:p>
    <w:p w14:paraId="43FB213F" w14:textId="77777777" w:rsidR="003C6535" w:rsidRPr="00774080" w:rsidRDefault="003C6535" w:rsidP="003C6535">
      <w:pPr>
        <w:pStyle w:val="VorblattTitelErfllungsaufwandBrgerinnenundBrger"/>
      </w:pPr>
      <w:r>
        <w:t>E.1 Tilpasningsomkostninger for borgere</w:t>
      </w:r>
    </w:p>
    <w:p w14:paraId="14374CD3" w14:textId="77777777" w:rsidR="003C6535" w:rsidRPr="00774080" w:rsidRDefault="003C6535" w:rsidP="003C6535">
      <w:pPr>
        <w:pStyle w:val="Text"/>
      </w:pPr>
      <w:r>
        <w:t>Der opstår ingen tilpasningsomkostninger for borgerne pga. loven.</w:t>
      </w:r>
    </w:p>
    <w:p w14:paraId="288AF373" w14:textId="77777777" w:rsidR="003C6535" w:rsidRPr="00774080" w:rsidRDefault="003C6535" w:rsidP="003C6535">
      <w:pPr>
        <w:pStyle w:val="VorblattTitelErfllungsaufwandWirtschaft"/>
      </w:pPr>
      <w:r>
        <w:t>E.2 Tilpasningsomkostninger for erhvervslivet</w:t>
      </w:r>
    </w:p>
    <w:p w14:paraId="75AA507A" w14:textId="77777777" w:rsidR="003C6535" w:rsidRPr="00774080" w:rsidRDefault="003C6535" w:rsidP="003C6535">
      <w:pPr>
        <w:pStyle w:val="Text"/>
      </w:pPr>
      <w:r>
        <w:t xml:space="preserve">For erhvervslivet opstår der som følge af denne lov årlige tilpasningsomkostninger på ca. 147,5 millioner EUR. </w:t>
      </w:r>
    </w:p>
    <w:p w14:paraId="21DE4006" w14:textId="77777777" w:rsidR="003C6535" w:rsidRPr="00774080" w:rsidRDefault="003C6535" w:rsidP="003C6535">
      <w:pPr>
        <w:pStyle w:val="VorblattTitelBrokratiekostenausInformationspflichten"/>
      </w:pPr>
      <w:r>
        <w:lastRenderedPageBreak/>
        <w:t>Heraf administrative omkostninger på grund af informationspligter</w:t>
      </w:r>
    </w:p>
    <w:p w14:paraId="664AE8A4" w14:textId="77777777" w:rsidR="003C6535" w:rsidRPr="00774080" w:rsidRDefault="003C6535" w:rsidP="003C6535">
      <w:pPr>
        <w:pStyle w:val="Text"/>
      </w:pPr>
      <w:r>
        <w:t>Ingen.</w:t>
      </w:r>
    </w:p>
    <w:p w14:paraId="62CBB9D6" w14:textId="77777777" w:rsidR="003C6535" w:rsidRPr="00774080" w:rsidRDefault="003C6535" w:rsidP="003C6535">
      <w:pPr>
        <w:pStyle w:val="VorblattTitelErfllungsaufwandVerwaltung"/>
      </w:pPr>
      <w:r>
        <w:t>E.3 Tilpasningsomkostninger for forvaltningen</w:t>
      </w:r>
    </w:p>
    <w:p w14:paraId="3CA533EA" w14:textId="77777777" w:rsidR="003C6535" w:rsidRPr="00774080" w:rsidRDefault="003C6535" w:rsidP="003C6535">
      <w:pPr>
        <w:pStyle w:val="Text"/>
      </w:pPr>
      <w:r>
        <w:t xml:space="preserve">En ændring i tilpasningsomkostninger for forvaltningen forventes ikke. </w:t>
      </w:r>
    </w:p>
    <w:p w14:paraId="28C56470" w14:textId="77777777" w:rsidR="003C6535" w:rsidRPr="00774080" w:rsidRDefault="003C6535" w:rsidP="003C6535">
      <w:pPr>
        <w:pStyle w:val="VorblattTitelWeitereKosten"/>
      </w:pPr>
      <w:r>
        <w:t>F. Yderligere omkostninger</w:t>
      </w:r>
    </w:p>
    <w:p w14:paraId="37AADAA7" w14:textId="77777777" w:rsidR="00793A16" w:rsidRPr="00774080" w:rsidRDefault="00793A16" w:rsidP="003C6535">
      <w:pPr>
        <w:pStyle w:val="Text"/>
      </w:pPr>
      <w:r>
        <w:t>Med loven kan der forekomme prisstigninger for æg, som udbydes i detailhandlen, da erhvervslivet muligvis giver dets opstående omkostninger videre til de endelige forbrugere.</w:t>
      </w:r>
    </w:p>
    <w:p w14:paraId="30931AD3" w14:textId="77777777" w:rsidR="003C6535" w:rsidRPr="00774080" w:rsidRDefault="003C6535" w:rsidP="003C6535">
      <w:pPr>
        <w:pStyle w:val="Text"/>
      </w:pPr>
    </w:p>
    <w:p w14:paraId="1678E88C" w14:textId="77777777"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774080" w:rsidRDefault="004B1EAC" w:rsidP="000D500B">
      <w:pPr>
        <w:pStyle w:val="Dokumentstatus"/>
        <w:jc w:val="center"/>
      </w:pPr>
      <w:r>
        <w:lastRenderedPageBreak/>
        <w:t>Lovudkast fra forbundsregeringen</w:t>
      </w:r>
    </w:p>
    <w:p w14:paraId="76BEEEA5" w14:textId="3EDACE5E" w:rsidR="002B6ABF" w:rsidRPr="00774080" w:rsidRDefault="004F1F90" w:rsidP="00144702">
      <w:pPr>
        <w:pStyle w:val="Bezeichnungnderungsdokument"/>
      </w:pPr>
      <w:r>
        <w:t>Lov til ændring af den tyske dyreværnslov – forbud mod aflivning af kyllinger</w:t>
      </w:r>
      <w:r w:rsidR="00144702" w:rsidRPr="00774080">
        <w:rPr>
          <w:rStyle w:val="FootnoteReference"/>
        </w:rPr>
        <w:footnoteReference w:id="2"/>
      </w:r>
      <w:r w:rsidR="00144702" w:rsidRPr="00774080">
        <w:rPr>
          <w:rStyle w:val="FootnoteReference"/>
        </w:rPr>
        <w:t>)</w:t>
      </w:r>
    </w:p>
    <w:p w14:paraId="15D61ACB" w14:textId="77777777" w:rsidR="002B6ABF" w:rsidRPr="00774080" w:rsidRDefault="002B6ABF">
      <w:pPr>
        <w:pStyle w:val="Ausfertigungsdatumnderungsdokument"/>
      </w:pPr>
      <w:r>
        <w:t>Fra ...</w:t>
      </w:r>
    </w:p>
    <w:p w14:paraId="51CE921F" w14:textId="77777777" w:rsidR="002B6ABF" w:rsidRPr="00774080" w:rsidRDefault="002B6ABF" w:rsidP="00561226">
      <w:pPr>
        <w:pStyle w:val="EingangsformelStandardnderungsdokument"/>
      </w:pPr>
      <w:r>
        <w:t>Den tyske forbundsdag har vedtaget følgende lov:</w:t>
      </w:r>
    </w:p>
    <w:p w14:paraId="7CC887D3" w14:textId="0801ECFC" w:rsidR="002B6ABF" w:rsidRPr="00774080" w:rsidRDefault="00DC4328" w:rsidP="00DC4328">
      <w:pPr>
        <w:pStyle w:val="ArtikelBezeichner"/>
        <w:numPr>
          <w:ilvl w:val="0"/>
          <w:numId w:val="0"/>
        </w:numPr>
      </w:pPr>
      <w:r>
        <w:t>Artikel 1</w:t>
      </w:r>
    </w:p>
    <w:p w14:paraId="340F9E51" w14:textId="77777777" w:rsidR="002B6ABF" w:rsidRPr="00774080" w:rsidRDefault="00561226">
      <w:pPr>
        <w:pStyle w:val="Artikelberschrift"/>
      </w:pPr>
      <w:r>
        <w:t>Ændring af dyreværnsloven</w:t>
      </w:r>
    </w:p>
    <w:p w14:paraId="56395C38" w14:textId="0D3C753A" w:rsidR="00561226" w:rsidRPr="00774080" w:rsidRDefault="00263A3C" w:rsidP="00144702">
      <w:pPr>
        <w:pStyle w:val="JuristischerAbsatznichtnummeriert"/>
      </w:pPr>
      <w:r>
        <w:t>Efter § 4b i dyreværnsloven, som affattet i bekendtgørelse af 18. maj 2006 (Tysklands lovtidende, BGBI. I, s. 1206, 1313), som senest er ændret ved […], tilføjes følgende § 4c:</w:t>
      </w:r>
    </w:p>
    <w:p w14:paraId="7193C587" w14:textId="77777777" w:rsidR="002D2BC0" w:rsidRPr="00774080" w:rsidRDefault="002D2BC0" w:rsidP="001216CA">
      <w:pPr>
        <w:pStyle w:val="RevisionParagraphBezeichnermanuell"/>
        <w:ind w:left="425" w:hanging="75"/>
      </w:pPr>
      <w:r>
        <w:t>"§ 4c</w:t>
      </w:r>
    </w:p>
    <w:p w14:paraId="4D0DCF8B" w14:textId="6369DAD4" w:rsidR="006705B2" w:rsidRPr="00774080" w:rsidRDefault="006705B2" w:rsidP="006705B2">
      <w:pPr>
        <w:pStyle w:val="RevisionJuristischerAbsatz"/>
        <w:numPr>
          <w:ilvl w:val="2"/>
          <w:numId w:val="0"/>
        </w:numPr>
        <w:tabs>
          <w:tab w:val="left" w:pos="1275"/>
        </w:tabs>
        <w:ind w:left="425" w:firstLine="425"/>
      </w:pPr>
      <w:r>
        <w:t xml:space="preserve">Det er forbudt at aflive kyllinger fra tamhøns af arten Gallus gallus, der stammer fra forædlingslinjer, som er målrettet mod en høj ægproduktion. Forbuddet gælder ikke </w:t>
      </w:r>
    </w:p>
    <w:p w14:paraId="25DFD8F2" w14:textId="77777777" w:rsidR="006705B2" w:rsidRPr="00774080" w:rsidRDefault="006705B2" w:rsidP="009F6F1D">
      <w:pPr>
        <w:pStyle w:val="RevisionNummerierungStufe2"/>
        <w:numPr>
          <w:ilvl w:val="4"/>
          <w:numId w:val="29"/>
        </w:numPr>
      </w:pPr>
      <w:r>
        <w:t xml:space="preserve">i tilfælde af, at aflivningen af kyllingen </w:t>
      </w:r>
    </w:p>
    <w:p w14:paraId="17928067" w14:textId="77777777" w:rsidR="006705B2" w:rsidRPr="00774080" w:rsidRDefault="006705B2" w:rsidP="006705B2">
      <w:pPr>
        <w:pStyle w:val="RevisionNummerierungStufe2"/>
        <w:tabs>
          <w:tab w:val="clear" w:pos="850"/>
          <w:tab w:val="num" w:pos="1275"/>
        </w:tabs>
        <w:ind w:left="1275"/>
      </w:pPr>
      <w:r>
        <w:t>er blevet foreskrevet eller påbudt i henhold til dyresundhedsmæssige bestemmelser eller</w:t>
      </w:r>
    </w:p>
    <w:p w14:paraId="6A54A3A4" w14:textId="77777777" w:rsidR="006705B2" w:rsidRPr="00774080" w:rsidRDefault="006705B2" w:rsidP="006705B2">
      <w:pPr>
        <w:pStyle w:val="RevisionNummerierungStufe2"/>
        <w:tabs>
          <w:tab w:val="clear" w:pos="850"/>
          <w:tab w:val="num" w:pos="1275"/>
        </w:tabs>
        <w:ind w:left="1275"/>
      </w:pPr>
      <w:r>
        <w:t>i enkelttilfælde af dyrevelfærdsårsager</w:t>
      </w:r>
    </w:p>
    <w:p w14:paraId="4C16BB92" w14:textId="77777777" w:rsidR="006705B2" w:rsidRPr="00774080" w:rsidRDefault="006705B2" w:rsidP="006705B2">
      <w:pPr>
        <w:pStyle w:val="RevisionNummerierungStufe1"/>
        <w:tabs>
          <w:tab w:val="clear" w:pos="425"/>
          <w:tab w:val="num" w:pos="850"/>
        </w:tabs>
        <w:ind w:left="850"/>
      </w:pPr>
      <w:r>
        <w:t>for kyllinger, som ikke er i stand til at blive udklækket</w:t>
      </w:r>
    </w:p>
    <w:p w14:paraId="1F26A695" w14:textId="77777777" w:rsidR="006705B2" w:rsidRPr="00774080" w:rsidRDefault="006705B2" w:rsidP="006705B2">
      <w:pPr>
        <w:pStyle w:val="RevisionNummerierungStufe1"/>
        <w:tabs>
          <w:tab w:val="clear" w:pos="425"/>
          <w:tab w:val="num" w:pos="850"/>
        </w:tabs>
        <w:ind w:left="850"/>
      </w:pPr>
      <w:r>
        <w:t>for poussiner i henhold til artikel 1, nr. 1), litra a) i Kommissionens forordning (EF) nr. 543/2008 af 16. juni 2008 om gennemførelsesbestemmelser til Rådets forordning (EF) nr. 1234/2007 med hensyn til handelsnormer for fjerkrækød (EUT L 157 af 17.6.2008, s. 46), der senest er ændret ved Kommissionens forordning (EU) nr. 519/2013 af 21. februar 2013 (EUT L 158 af 10.6.2013, s. 74), og</w:t>
      </w:r>
    </w:p>
    <w:p w14:paraId="28D1741A" w14:textId="77777777" w:rsidR="006705B2" w:rsidRPr="00774080" w:rsidRDefault="006705B2" w:rsidP="00774080">
      <w:pPr>
        <w:pStyle w:val="RevisionNummerierungStufe1"/>
        <w:keepNext/>
        <w:tabs>
          <w:tab w:val="clear" w:pos="425"/>
          <w:tab w:val="num" w:pos="850"/>
        </w:tabs>
        <w:ind w:left="850"/>
      </w:pPr>
      <w:r>
        <w:t xml:space="preserve">for kyllinger </w:t>
      </w:r>
    </w:p>
    <w:p w14:paraId="065FD859" w14:textId="77777777" w:rsidR="006705B2" w:rsidRPr="00774080" w:rsidRDefault="006705B2" w:rsidP="00796FE3">
      <w:pPr>
        <w:pStyle w:val="RevisionNummerierungStufe3"/>
      </w:pPr>
      <w:r>
        <w:t>som er bestemt til brug i dyreforsøg eller</w:t>
      </w:r>
    </w:p>
    <w:p w14:paraId="25FB8C13" w14:textId="77777777" w:rsidR="006705B2" w:rsidRPr="00774080" w:rsidRDefault="006705B2" w:rsidP="00796FE3">
      <w:pPr>
        <w:pStyle w:val="RevisionNummerierungStufe3"/>
      </w:pPr>
      <w:r>
        <w:t>hvis væv eller organer er beregnet til at blive anvendt med henblik på videnskabelige formål.".</w:t>
      </w:r>
    </w:p>
    <w:p w14:paraId="3E398227" w14:textId="3DB2B0D0" w:rsidR="00B74AA8" w:rsidRPr="00774080" w:rsidRDefault="00DC4328" w:rsidP="00DC4328">
      <w:pPr>
        <w:pStyle w:val="ArtikelBezeichner"/>
        <w:numPr>
          <w:ilvl w:val="0"/>
          <w:numId w:val="0"/>
        </w:numPr>
      </w:pPr>
      <w:r>
        <w:lastRenderedPageBreak/>
        <w:t>Artikel 2</w:t>
      </w:r>
    </w:p>
    <w:p w14:paraId="3F42F66C" w14:textId="77777777" w:rsidR="00B74AA8" w:rsidRPr="00774080" w:rsidRDefault="00B74AA8" w:rsidP="005911C7">
      <w:pPr>
        <w:pStyle w:val="Artikelberschrift"/>
      </w:pPr>
      <w:r>
        <w:t>Yderligere ændring af dyreværnsloven</w:t>
      </w:r>
    </w:p>
    <w:p w14:paraId="06F4686D" w14:textId="77777777" w:rsidR="00B74AA8" w:rsidRPr="00774080" w:rsidRDefault="00B74AA8" w:rsidP="00774080">
      <w:pPr>
        <w:pStyle w:val="JuristischerAbsatznichtnummeriert"/>
        <w:keepNext/>
      </w:pPr>
      <w:r>
        <w:t>Dyreværnsloven, der senest er ændret ved artikel 1 i nærværende lov, ændres som følger:</w:t>
      </w:r>
    </w:p>
    <w:p w14:paraId="6956D33E" w14:textId="77777777" w:rsidR="00E35578" w:rsidRPr="00774080" w:rsidRDefault="00E35578" w:rsidP="00135BC5">
      <w:pPr>
        <w:pStyle w:val="NummerierungStufe1"/>
      </w:pPr>
      <w:r>
        <w:t>§ 4c ændres som følger:</w:t>
      </w:r>
    </w:p>
    <w:p w14:paraId="42F2F3D3" w14:textId="77777777" w:rsidR="00761C51" w:rsidRPr="00774080" w:rsidRDefault="00761C51" w:rsidP="00735C5B">
      <w:pPr>
        <w:pStyle w:val="NummerierungStufe2"/>
      </w:pPr>
      <w:r>
        <w:t>Den hidtidige ordlyd bliver stk. 1.</w:t>
      </w:r>
    </w:p>
    <w:p w14:paraId="7D80BA9E" w14:textId="77777777" w:rsidR="00B74AA8" w:rsidRPr="00774080" w:rsidRDefault="00761C51" w:rsidP="00774080">
      <w:pPr>
        <w:pStyle w:val="NummerierungStufe2"/>
        <w:keepNext/>
      </w:pPr>
      <w:r>
        <w:t>Følgende stk. 2 tilføjes:</w:t>
      </w:r>
    </w:p>
    <w:p w14:paraId="4E843EDA" w14:textId="77777777" w:rsidR="00F565A0" w:rsidRPr="00774080" w:rsidRDefault="00B74AA8" w:rsidP="001216CA">
      <w:pPr>
        <w:pStyle w:val="RevisionJuristischerAbsatzmanuell"/>
        <w:tabs>
          <w:tab w:val="clear" w:pos="850"/>
          <w:tab w:val="left" w:pos="1700"/>
        </w:tabs>
        <w:ind w:left="850" w:firstLine="350"/>
      </w:pPr>
      <w:r>
        <w:t>"Stk. 2. Fra den syvende rugedag er det forbudt ved eller efter anvendelsen af metoder til kønsbestemmelse i hønseægget</w:t>
      </w:r>
    </w:p>
    <w:p w14:paraId="426C09FC" w14:textId="77777777" w:rsidR="00F565A0" w:rsidRPr="00774080" w:rsidRDefault="00F565A0" w:rsidP="001216CA">
      <w:pPr>
        <w:pStyle w:val="RevisionJuristischerAbsatzmanuell"/>
        <w:numPr>
          <w:ilvl w:val="0"/>
          <w:numId w:val="1"/>
        </w:numPr>
        <w:tabs>
          <w:tab w:val="clear" w:pos="850"/>
          <w:tab w:val="left" w:pos="1700"/>
        </w:tabs>
        <w:ind w:left="850" w:firstLine="425"/>
      </w:pPr>
      <w:r>
        <w:t>at foretage et indgreb i hønseæggets udvikling, som forårsager kyllingefosterets død, eller</w:t>
      </w:r>
    </w:p>
    <w:p w14:paraId="45C7EBC0" w14:textId="77777777" w:rsidR="00B74AA8" w:rsidRPr="00774080" w:rsidRDefault="00F316A3" w:rsidP="001216CA">
      <w:pPr>
        <w:pStyle w:val="RevisionJuristischerAbsatzmanuell"/>
        <w:numPr>
          <w:ilvl w:val="0"/>
          <w:numId w:val="1"/>
        </w:numPr>
        <w:tabs>
          <w:tab w:val="clear" w:pos="850"/>
          <w:tab w:val="left" w:pos="1700"/>
        </w:tabs>
        <w:ind w:left="850" w:firstLine="425"/>
      </w:pPr>
      <w:r>
        <w:t xml:space="preserve">at foretage en afbrydelse af udrugningen, som forårsager kyllingefosterets død.". </w:t>
      </w:r>
    </w:p>
    <w:p w14:paraId="21AC1179" w14:textId="77777777" w:rsidR="00903F6C" w:rsidRPr="00774080" w:rsidRDefault="00903F6C" w:rsidP="00774080">
      <w:pPr>
        <w:pStyle w:val="NummerierungStufe1"/>
        <w:keepNext/>
      </w:pPr>
      <w:r>
        <w:t>Efter § 18, stk. 1, nr. 6), indføjes følgende nr. 6a):</w:t>
      </w:r>
    </w:p>
    <w:p w14:paraId="612717EF" w14:textId="77777777" w:rsidR="00E35578" w:rsidRPr="00774080" w:rsidRDefault="00903F6C" w:rsidP="001216CA">
      <w:pPr>
        <w:pStyle w:val="RevisionNummerierungStufe1manuell"/>
        <w:tabs>
          <w:tab w:val="clear" w:pos="425"/>
          <w:tab w:val="left" w:pos="925"/>
        </w:tabs>
        <w:ind w:left="925" w:hanging="500"/>
      </w:pPr>
      <w:r>
        <w:t>"6a) i modstrid med § 4c, stk. 2, foretager et indgreb eller en afbrydelse, som er nævnt der".</w:t>
      </w:r>
    </w:p>
    <w:p w14:paraId="33CE28E1" w14:textId="7460DF8E" w:rsidR="002B6ABF" w:rsidRPr="00774080" w:rsidRDefault="00774080" w:rsidP="00774080">
      <w:pPr>
        <w:pStyle w:val="ArtikelBezeichner"/>
        <w:numPr>
          <w:ilvl w:val="0"/>
          <w:numId w:val="0"/>
        </w:numPr>
      </w:pPr>
      <w:r>
        <w:t>Artikel 3</w:t>
      </w:r>
    </w:p>
    <w:p w14:paraId="07031FA6" w14:textId="77777777" w:rsidR="002B6ABF" w:rsidRPr="00774080" w:rsidRDefault="002B6ABF">
      <w:pPr>
        <w:pStyle w:val="Artikelberschrift"/>
      </w:pPr>
      <w:r>
        <w:t>Ikrafttrædelse</w:t>
      </w:r>
    </w:p>
    <w:p w14:paraId="1DE1E9F7" w14:textId="04BD376F" w:rsidR="00485DDD" w:rsidRPr="00774080" w:rsidRDefault="00135BC5" w:rsidP="00135BC5">
      <w:pPr>
        <w:pStyle w:val="JuristischerAbsatznummeriert"/>
        <w:numPr>
          <w:ilvl w:val="0"/>
          <w:numId w:val="0"/>
        </w:numPr>
        <w:ind w:left="425"/>
      </w:pPr>
      <w:r>
        <w:t xml:space="preserve">Stk. 1. </w:t>
      </w:r>
      <w:r w:rsidR="00485DDD">
        <w:t>Denne lov træder med forbehold af stk. 2 i kraft den 1. januar 2022.</w:t>
      </w:r>
    </w:p>
    <w:p w14:paraId="7ED96738" w14:textId="447404EF" w:rsidR="00485DDD" w:rsidRPr="00774080" w:rsidRDefault="00135BC5" w:rsidP="00135BC5">
      <w:pPr>
        <w:pStyle w:val="JuristischerAbsatznummeriert"/>
        <w:numPr>
          <w:ilvl w:val="0"/>
          <w:numId w:val="0"/>
        </w:numPr>
        <w:ind w:left="425"/>
      </w:pPr>
      <w:r>
        <w:t xml:space="preserve">Stk. 2. </w:t>
      </w:r>
      <w:r w:rsidR="00485DDD">
        <w:t>Artikel 2 træder i kraft den 1. januar 2024.</w:t>
      </w:r>
    </w:p>
    <w:p w14:paraId="7559BBE9" w14:textId="77777777" w:rsidR="00F6304A" w:rsidRPr="00774080" w:rsidRDefault="00F6304A" w:rsidP="009623BC"/>
    <w:p w14:paraId="0E8AE17E" w14:textId="77777777"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14:paraId="00F95E64" w14:textId="77777777" w:rsidR="002B6ABF" w:rsidRPr="00774080" w:rsidRDefault="002B6ABF" w:rsidP="00606ED5">
      <w:pPr>
        <w:pStyle w:val="BegrndungTitel"/>
      </w:pPr>
      <w:r>
        <w:lastRenderedPageBreak/>
        <w:t>Begrundelse</w:t>
      </w:r>
    </w:p>
    <w:p w14:paraId="79A6DDF8" w14:textId="77777777" w:rsidR="002B6ABF" w:rsidRPr="00774080" w:rsidRDefault="002B6ABF" w:rsidP="00606ED5">
      <w:pPr>
        <w:pStyle w:val="BegrndungAllgemeinerTeil"/>
      </w:pPr>
      <w:r>
        <w:t>A. Generel del</w:t>
      </w:r>
    </w:p>
    <w:p w14:paraId="119E636A" w14:textId="77777777" w:rsidR="002B6ABF" w:rsidRPr="00774080" w:rsidRDefault="002B6ABF" w:rsidP="00606ED5">
      <w:pPr>
        <w:pStyle w:val="berschriftrmischBegrndung"/>
      </w:pPr>
      <w:r>
        <w:t>Bestemmelsernes målsætning og nødvendighed</w:t>
      </w:r>
    </w:p>
    <w:p w14:paraId="0458A351" w14:textId="77777777" w:rsidR="00C37492" w:rsidRPr="00774080" w:rsidRDefault="00795460" w:rsidP="00795460">
      <w:pPr>
        <w:pStyle w:val="Text"/>
      </w:pPr>
      <w:r>
        <w:t xml:space="preserve">For året 2019 har det statistiske forbundskontor (Statistische Bundesamt) opgjort cirka 45 millioner udklækkede såkaldte "hundyr til æglægning". "Hundyr til æglægning" er høner, som efter opdræt anvendes som æglæggende høner og derfor overvejende stammer fra forædlingslinjer, som i modsætning til toformålsracer er avlet specielt til en høj ægproduktion. </w:t>
      </w:r>
    </w:p>
    <w:p w14:paraId="577E0AAE" w14:textId="77777777" w:rsidR="00795460" w:rsidRPr="00774080" w:rsidRDefault="00C37492" w:rsidP="00795460">
      <w:pPr>
        <w:pStyle w:val="Text"/>
      </w:pPr>
      <w:r>
        <w:t xml:space="preserve">I sådanne forædlingslinjer udklækkes ud over de 45 millioner "hundyr til æglægning" også cirka 45 millioner hanekyllinger. Disse hanekyllinger sorteres hos producenterne fra af økonomiske grunde, da hanekyllingerne vokser op og bliver til haner, som ikke kan lægge æg. Desuden har hanerne en dårligere opfedningsevne end hønerne og egner sig ikke som slagtekyllinger. Af denne grund bliver langt de fleste af hanekyllingerne i dag aflivet i rugerierne kort tid efter udklækningen. Aflivningen sker oftest ved indledning af høje koncentrationer af carbondioxid. </w:t>
      </w:r>
    </w:p>
    <w:p w14:paraId="196C8E27" w14:textId="77777777" w:rsidR="00795460" w:rsidRPr="00774080" w:rsidRDefault="00C37492" w:rsidP="00795460">
      <w:pPr>
        <w:pStyle w:val="Text"/>
      </w:pPr>
      <w:r>
        <w:t>Den tyske dyreværnslov fastsætter i § 1, stk. 1, at dyr skal beskyttes: "Formålet med nærværende lov er det ud fra menneskets ansvar for dyret som en medskabning at beskytte dets liv og velvære". Omvendt betyder § 1, stk. 2, i dyreværnsloven, at dyr alligevel må forvoldes smerte, lidelse eller skader, hvis der foreligger en fornuftig grund til dette. Den tyske forvaltningsdomstol har med dom af 13. juni 2019 (BVerwG 3 C 29.16, BVerwG 3 C 28.16) slået fast, at – på baggrund af det i grundloven indførte statsmål om dyrebeskyttelse (artikel 20a i grundloven) – aflivningen af hanekyllinger efter nutidens værdinormer ikke længere i sig selv beror på en fornuftig grund som defineret i § 1, stk. 2, i dyreværnsloven. Begrebet om en fornuftig grund er baseret på en balance mellem dyreholdernes retmæssigt beskyttede interesser og dyrevelfærden. Forvaltningsdomstolen har fastlagt, at det ved en afvejning af de modstridende interesser er dyrevelfærdens interesser, som vejer tungere end rugerierne økonomiske interesse i at undgå følgeomkostninger til hanekyllinger fra æglægningslinjer. At kyllinger fra æglægnings- og toformålslinjer er dårligere egnet til opfedning end kyllinger fra opfedningslinjer er en konsekvens af avl, som først og fremmest har haft et økonomisk perspektiv og en produktion, som er opbygget herefter. Den systematiske aflivning af hanekyllinger fra æglægningslinjer er ikke forenelig med principperne for dyrebeskyttelse om at sørge for en balance mellem dyrevelfærd og menneskelige brugsinteresser. Den i henhold til dyreværnslovens udformning etiske begrundede beskyttelse af liv udsættes ikke blot, men opgives derimod helt. Dyrene avles i den sikre viden om, at de omgående aflives igen (jf. BVerwG, domme af 13. juni 2019 – 3 C 28/16, 3 C 29/16 –, juris, præmis 26).</w:t>
      </w:r>
    </w:p>
    <w:p w14:paraId="749638F2" w14:textId="77777777" w:rsidR="00795460" w:rsidRPr="00774080" w:rsidRDefault="00795460" w:rsidP="00795460">
      <w:pPr>
        <w:pStyle w:val="Text"/>
      </w:pPr>
      <w:r>
        <w:t xml:space="preserve">Da begrebet om en fornuftig grund i § 1, stk. 2, i dyreværnsloven, er målrettet mod en balance mellem dyreholderens beskyttede interesser og dyrevelfærden, skal den hidtidige praksis og dyreholderens specifikke interesse ved en omstilling af driftsformen også tages i betragtning. Desuden kan det med rimelighed forventes, at en kønsbestemmelse i ægget i nærmeste fremtid er mulig, eller at en forbedring af anvendelsesmulighederne for høner tilhørende toformålsracer bliver mulig. I en sådan situation er der ikke tale om en rimelig balance mellem interesser som defineret i § 1, stk. 2, i dyreværnsloven, hvis rugerierne forbydes at gennemføre flere aflivninger af hanekyllinger uden en overgangsfrist, som gør det muligt at afvente den konkret forventelige mulighed for anvendelse af metoder til kønsbestemmelse i ægget og i mellemtiden også en mulig yderligere udvikling af toformålsracer. Uden sådan en overgangsfrist ville rugerierne være tvunget til først at muliggøre opdræt af hanekyllingerne for så kort tid efter at implementere en metode til </w:t>
      </w:r>
      <w:r>
        <w:lastRenderedPageBreak/>
        <w:t>kønsbestemmelse i ægget eller at omstille deres bedrift til udrugning af æg fra forbedrede toformålsracer. En undgåelse af sådan en dobbelt omstilling er i betragtning af de særlige omstændigheder en fornuftig grund til midlertidig at fortsætte den hidtidige praksis. Hvis en fornuftig grund til at aflive hanekyllinger ville blive afvist uden hensyntagen til bedrifternes tidsbehov til en omstilling, vil der ikke kunne tages tilstrækkeligt hensyn til dyreholdernes legitime interesser (jf. BVerwG, domme af 13. juni 2019 – 3 C 28/16, 3 C 29/16 –, juris, præmis 28-31).</w:t>
      </w:r>
    </w:p>
    <w:p w14:paraId="42138065" w14:textId="77777777" w:rsidR="00C37492" w:rsidRPr="00774080" w:rsidRDefault="00C37492" w:rsidP="00795460">
      <w:pPr>
        <w:pStyle w:val="Text"/>
      </w:pPr>
      <w:r>
        <w:t xml:space="preserve">Uafhængigt af begge domme og de tilhørende retssager er det gennem flere år fra politisk side blevet krævet af fjerkræbranchen at opgive aflivningerne af kyllinger. Hertil er for det første forskningsprojekter til anvendelse af høner fra toformålssracer blevet støttet. For det andet er det i lykkedes for forskningsprojekter, som også er støttet med offentlig støttemidler, at udvikle praktisk anvendelige metoder, som kan anvendes til at bestemme kyllingens køn, allerede før den udklækkes. På den måde kan æg frasorteres, som ville indeholde hanekyllinger, hvorved aflivningen af disse kyllinger bliver overflødig. </w:t>
      </w:r>
    </w:p>
    <w:p w14:paraId="01316C80" w14:textId="77777777" w:rsidR="00D178D1" w:rsidRPr="00774080" w:rsidRDefault="00B74AA8" w:rsidP="00795460">
      <w:pPr>
        <w:pStyle w:val="Text"/>
      </w:pPr>
      <w:r>
        <w:t>Ifølge den aktuelle videnskabelige viden er kyllingefosteret ikke i stand til at føle smerte før den syvende rugedag.</w:t>
      </w:r>
      <w:r w:rsidR="00106CCC" w:rsidRPr="00774080">
        <w:rPr>
          <w:rStyle w:val="FootnoteReference"/>
        </w:rPr>
        <w:footnoteReference w:id="3"/>
      </w:r>
      <w:r>
        <w:t xml:space="preserve"> Fra den syvende rugedag kan det ikke udelukkes, at udviklingen af smertefølelse er påbegyndt. Derfor forbydes indgreb på hønseægget eller afbrydelse af udrugningen fra den syvende rugedag ved eller efter anvendelsen af metoder til kønsbestemmelse i ægget, som forårsager kyllingefosterets død, herunder afbrydelse af udrugningen. Et kyllingefoster udvikler sig under rugetiden i ægget og udklækkes efter 20 til 21 dage. Ifølge den nuværende videnskabelige forståelse formodes et kyllingefoster ikke at føle nogen smerte før den syvende rugedag. Fra den sjette rugedag udvikles fosterets smertefølelse, og ifølge den aktuelle videnskabelige viden er den fuldt udviklet fra den 15. rugedag. For at beskytte dyrenes velfærd skal det derfor ikke kun afvises at aflive den udklækkede kylling, men derimod skal indgreb på hønseægget og afbrydelse af udrugningen, som forårsager kyllingefosterets død også afvises, da fosteret potentielt kan føle smerte. Jo længere fremskreden udrugningen er fra den syvende rugedag, desto sandsynligere er det, at der ikke er nogen eller nogen væsentlig forskel mellem forårsagelse af kyllingefosterets død og aflivning af den udklækkede kylling. Fosterudviklingens faser indtil kyllingens udklækning inddrages derfor i lovændringens regulerede område. I den forbindelse skal det undgås, at der med en lang overgangstid gives incitamenter til først at investere i metoder til kønsbestemmelse, som anvendes efter den syvende rugedag. </w:t>
      </w:r>
    </w:p>
    <w:p w14:paraId="601C1AC1" w14:textId="77777777" w:rsidR="002B6ABF" w:rsidRPr="00774080" w:rsidRDefault="00F62817" w:rsidP="00F62817">
      <w:pPr>
        <w:pStyle w:val="berschriftrmischBegrndung"/>
      </w:pPr>
      <w:r>
        <w:t xml:space="preserve">Udkastets væsentlige indhold </w:t>
      </w:r>
    </w:p>
    <w:p w14:paraId="313B370E" w14:textId="77777777" w:rsidR="00795460" w:rsidRPr="00774080" w:rsidRDefault="00795460" w:rsidP="00795460">
      <w:pPr>
        <w:pStyle w:val="Text"/>
      </w:pPr>
      <w:r>
        <w:t>For at sikre dyrevelfærden optages med nærværende lovudkast forbuddet mod aflivning af kyllinger i dyreværnsloven. Avls- og formeringsdyr er også omfattet af forbuddet.</w:t>
      </w:r>
    </w:p>
    <w:p w14:paraId="47BBEA54" w14:textId="77777777" w:rsidR="00451BE0" w:rsidRPr="00774080" w:rsidRDefault="00451BE0" w:rsidP="00451BE0">
      <w:pPr>
        <w:pStyle w:val="Text"/>
      </w:pPr>
      <w:r>
        <w:t>Desuden indføres forbud mod fra den syvende rugedag at udføre indgreb i et hønseægs udvikling og afbrydelse af udrugningen, som gennemføres på ægget ved eller efter anvendelse af metoder til kønsbestemmelse i ægget og forårsager kyllingefosterets død.</w:t>
      </w:r>
    </w:p>
    <w:p w14:paraId="0F1974FB" w14:textId="77777777" w:rsidR="00451BE0" w:rsidRPr="00774080" w:rsidRDefault="00451BE0" w:rsidP="00451BE0">
      <w:pPr>
        <w:pStyle w:val="Text"/>
      </w:pPr>
      <w:r>
        <w:t>De to forbud træder dog ikke kraft med det samme og heller ikke samtidig. Der fastsættes bestemmelser om en trinvis ikrafttrædelse: Forbuddet mod aflivning af kyllinger træder i kraft den 1. januar 2022, og forbuddet mod indgreb på hønseæg og afbrydelse af udrugningen træder i kraft den 1. januar 2024. På den måde får branchen tid til at tilpasse sig den nye retlige situation.</w:t>
      </w:r>
    </w:p>
    <w:p w14:paraId="5EA97A34" w14:textId="77777777" w:rsidR="002B6ABF" w:rsidRPr="00774080" w:rsidRDefault="002B6ABF" w:rsidP="00606ED5">
      <w:pPr>
        <w:pStyle w:val="berschriftrmischBegrndung"/>
      </w:pPr>
      <w:r>
        <w:lastRenderedPageBreak/>
        <w:t>Alternativer</w:t>
      </w:r>
    </w:p>
    <w:p w14:paraId="26C1FF80" w14:textId="77777777" w:rsidR="00AE798D" w:rsidRPr="00774080" w:rsidRDefault="00795460" w:rsidP="00AE798D">
      <w:pPr>
        <w:pStyle w:val="Text"/>
      </w:pPr>
      <w:r>
        <w:t>Med et afkald på indførelse af begge forbud eller med en bestemmelse, som blot konstaterer, at en fornuftig grund til aflivning af kyllinger og forårsagelse af kyllingefostres død ikke er givet, ville målet om at forhindre aflivning af kyllinger eller forårsagelse af kyllingefostres død og en effektiv overholdelse heraf ikke opnås. Der ses dermed ingen lovmæssige alternativer, som er lige så egnede. Bestemmelserne ledsages af foranstaltninger, hvis formål er at styrke avlen og anvendelsen af toformålsracer.</w:t>
      </w:r>
    </w:p>
    <w:p w14:paraId="7B738679" w14:textId="77777777" w:rsidR="002B6ABF" w:rsidRPr="00774080" w:rsidRDefault="002B6ABF" w:rsidP="00AE798D">
      <w:pPr>
        <w:pStyle w:val="berschriftrmischBegrndung"/>
      </w:pPr>
      <w:r>
        <w:t>Lovgivende kompetence</w:t>
      </w:r>
    </w:p>
    <w:p w14:paraId="19FAB9E9" w14:textId="0C80DDD3" w:rsidR="00795460" w:rsidRPr="00774080" w:rsidRDefault="00795460" w:rsidP="00795460">
      <w:pPr>
        <w:pStyle w:val="Text"/>
      </w:pPr>
      <w:r>
        <w:t>Forbundsstatens lovgivningskompetence følger de i loven indeholdte ændringer fra artikel 74, stk. 1, nr. 20), (dyrebeskyttelse, lovgivning om fødevarer herunder dyrene, som anvendes i fødevareproduktionen) i den tyske grundlov (GG). Forbundsstatens lovgivningskompetence for de nødvendige bødebestemmelser har sit grundlag i grundlovens artikel 74, stk. 1, nr. 1), 2. tilfælde (strafferet).</w:t>
      </w:r>
    </w:p>
    <w:p w14:paraId="42BACD20" w14:textId="77777777" w:rsidR="00795460" w:rsidRPr="00774080" w:rsidRDefault="00795460" w:rsidP="00795460">
      <w:pPr>
        <w:pStyle w:val="Text"/>
      </w:pPr>
      <w:r>
        <w:t>Der foreligger en forbundslovgivning om varetagelsen af den retslige og økonomiske enhed i forbundsstatens interesse som påkrævet i overensstemmelse med artikel 72, stk. 2, i GG, da bestemmelserne, som skal besluttes her, skal gælde ensartet for alle berørte dyr, som anvendes i fødevareproduktionen, og også for alle økonomiske aktører i forbundsområdet, så de berørte dyr i hele forbundsområdet får den samme beskyttelse, og så alle økonomiske aktører i forbundsområdet sikres de samme forudsætninger og betingelser for deres virke på dette område.</w:t>
      </w:r>
    </w:p>
    <w:p w14:paraId="135C2848" w14:textId="77777777" w:rsidR="002B6ABF" w:rsidRPr="00774080" w:rsidRDefault="002B6ABF" w:rsidP="00606ED5">
      <w:pPr>
        <w:pStyle w:val="berschriftrmischBegrndung"/>
      </w:pPr>
      <w:r>
        <w:t>Forenelighed med Den Europæiske Unions ret og folkeretlige traktater</w:t>
      </w:r>
    </w:p>
    <w:p w14:paraId="51821BF6" w14:textId="77777777" w:rsidR="00795460" w:rsidRPr="00774080" w:rsidRDefault="00795460" w:rsidP="00795460">
      <w:pPr>
        <w:pStyle w:val="Text"/>
      </w:pPr>
      <w:r>
        <w:t>Nærværende lovudkast er forenelig med Den Europæiske Unions ret og folkeretlige traktater, som Forbundsrepublikken Tyskland har indgået.</w:t>
      </w:r>
    </w:p>
    <w:p w14:paraId="077782FD" w14:textId="77777777" w:rsidR="002B6ABF" w:rsidRPr="00774080" w:rsidRDefault="00795460" w:rsidP="00795460">
      <w:pPr>
        <w:pStyle w:val="Text"/>
      </w:pPr>
      <w:r>
        <w:t>Lovudkastet er især i overensstemmelse med Rådets forordning (EF) nr. 1099/2009 om beskyttelse af dyr på aflivningstidspunktet, da denne forordning fastsætter bestemmelser om, hvordan dyr må og ikke må aflives, og om de må aflives. Derfor falder de foreslåede bestemmelser ikke inden for anvendelsesområdet for forordning (EF) nr. 1099/2009.</w:t>
      </w:r>
    </w:p>
    <w:p w14:paraId="0EE8D67D" w14:textId="77777777" w:rsidR="002B6ABF" w:rsidRPr="00774080" w:rsidRDefault="002B6ABF" w:rsidP="00606ED5">
      <w:pPr>
        <w:pStyle w:val="berschriftrmischBegrndung"/>
      </w:pPr>
      <w:r>
        <w:t>Lovmæssige konsekvenser</w:t>
      </w:r>
    </w:p>
    <w:p w14:paraId="15794431" w14:textId="77777777" w:rsidR="002B6ABF" w:rsidRPr="00774080" w:rsidRDefault="002B6ABF" w:rsidP="002B6ABF">
      <w:pPr>
        <w:pStyle w:val="berschriftarabischBegrndung"/>
      </w:pPr>
      <w:r>
        <w:t>Forenkling af lovgivning og forvaltning</w:t>
      </w:r>
    </w:p>
    <w:p w14:paraId="6839C9EA" w14:textId="77777777" w:rsidR="002B6ABF" w:rsidRPr="00774080" w:rsidRDefault="00151D1A" w:rsidP="00606ED5">
      <w:pPr>
        <w:pStyle w:val="Text"/>
      </w:pPr>
      <w:r>
        <w:t>Ingen reguleringer forenkles eller ophæves.</w:t>
      </w:r>
    </w:p>
    <w:p w14:paraId="0C04061B" w14:textId="77777777" w:rsidR="002B6ABF" w:rsidRPr="00774080" w:rsidRDefault="002B6ABF" w:rsidP="00606ED5">
      <w:pPr>
        <w:pStyle w:val="berschriftarabischBegrndung"/>
      </w:pPr>
      <w:r>
        <w:t>Bæredygtighedsaspekter</w:t>
      </w:r>
    </w:p>
    <w:p w14:paraId="116AE319" w14:textId="77777777" w:rsidR="00BA72BF" w:rsidRPr="00774080" w:rsidRDefault="007768AF" w:rsidP="00BA72BF">
      <w:pPr>
        <w:pStyle w:val="Text"/>
      </w:pPr>
      <w:r>
        <w:t xml:space="preserve">Bestemmelserne i dette lovudkast er bæredygtige i overensstemmelse med den tyske bæredygtighedsstrategi, som har dyrebeskyttelse og dermed et bæredygtigt landbrug til formål. Lovudkastets mål er afskaffe aflivningen af kyllinger, som frasorteres på grund af økonomiske interesser. </w:t>
      </w:r>
    </w:p>
    <w:p w14:paraId="4C96ECC7" w14:textId="77777777" w:rsidR="007768AF" w:rsidRPr="00774080" w:rsidRDefault="007768AF" w:rsidP="007768AF">
      <w:pPr>
        <w:pStyle w:val="Text"/>
      </w:pPr>
      <w:r>
        <w:t xml:space="preserve">Udkastet er dermed i overensstemmelse med principperne om en mere bæredygtig udvikling med hensyn til at varetage husdyrs dyrevelfærd og forbedringen af </w:t>
      </w:r>
      <w:r>
        <w:rPr>
          <w:rStyle w:val="acopre"/>
        </w:rPr>
        <w:t>ernæringsetikken</w:t>
      </w:r>
      <w:r>
        <w:t xml:space="preserve"> i samfundet, både med henblik på produktionen af fødevarer og med henblik på handlen. Loven fremmer derfor især opfyldelsen af det bæredygtige mål nr. 2) om at "udrydde sult, opnå fødevaresikkerhed og en bedre ernæring samt at fremme et bæredygtig landbrug". Desuden tages der højde for princip nummer 4 om en bæredygtig udvikling, "styrkelse af bæredygtige økonomier", især litra 4c) "Et bæredygtigt landbrug og </w:t>
      </w:r>
      <w:r>
        <w:lastRenderedPageBreak/>
        <w:t>fiskeri skal være produktivt, konkurrencedygtigt samt socialt og miljøvenligt", det skal især [...] overholde kravene til dyrevenlig husdyravl [...]".</w:t>
      </w:r>
    </w:p>
    <w:p w14:paraId="55067F0F" w14:textId="77777777" w:rsidR="002B6ABF" w:rsidRPr="00774080" w:rsidRDefault="002B6ABF" w:rsidP="002B6ABF">
      <w:pPr>
        <w:pStyle w:val="berschriftarabischBegrndung"/>
      </w:pPr>
      <w:r>
        <w:t>Budgetudgifter uden tilpasningsomkostninger</w:t>
      </w:r>
    </w:p>
    <w:p w14:paraId="75454A72" w14:textId="77777777" w:rsidR="002B6ABF" w:rsidRPr="00774080" w:rsidRDefault="00151D1A" w:rsidP="00606ED5">
      <w:pPr>
        <w:pStyle w:val="Text"/>
      </w:pPr>
      <w:r>
        <w:t>Med udkastet opstår der ingen budgetudgifter uden tilpasningsomkostninger.</w:t>
      </w:r>
    </w:p>
    <w:p w14:paraId="7E45FC1C" w14:textId="77777777" w:rsidR="00A75A00" w:rsidRPr="00774080" w:rsidRDefault="002B6ABF" w:rsidP="00A75A00">
      <w:pPr>
        <w:pStyle w:val="berschriftarabischBegrndung"/>
      </w:pPr>
      <w:r>
        <w:t>Tilpasningsomkostninger</w:t>
      </w:r>
    </w:p>
    <w:p w14:paraId="5DE5B262" w14:textId="77777777" w:rsidR="00A75A00" w:rsidRPr="00774080" w:rsidRDefault="00A75A00" w:rsidP="00275036">
      <w:pPr>
        <w:pStyle w:val="berschriftrmischBegrndung"/>
        <w:numPr>
          <w:ilvl w:val="0"/>
          <w:numId w:val="0"/>
        </w:numPr>
      </w:pPr>
      <w:r>
        <w:t>4.1. Tilpasningsomkostninger for borgere</w:t>
      </w:r>
    </w:p>
    <w:p w14:paraId="4FF94F50" w14:textId="77777777" w:rsidR="00A75A00" w:rsidRPr="00774080" w:rsidRDefault="00A75A00" w:rsidP="00A75A00">
      <w:pPr>
        <w:pStyle w:val="Text"/>
      </w:pPr>
      <w:r>
        <w:t>Der opstår ingen tilpasningsomkostninger for borgerne.</w:t>
      </w:r>
    </w:p>
    <w:p w14:paraId="2A64979D" w14:textId="77777777" w:rsidR="00A75A00" w:rsidRPr="00774080" w:rsidRDefault="00A75A00" w:rsidP="00774080">
      <w:pPr>
        <w:pStyle w:val="Text"/>
        <w:keepNext/>
        <w:rPr>
          <w:b/>
        </w:rPr>
      </w:pPr>
      <w:r>
        <w:rPr>
          <w:b/>
        </w:rPr>
        <w:t xml:space="preserve">4.2. Tilpasningsomkostninger for erhvervslivet </w:t>
      </w:r>
    </w:p>
    <w:p w14:paraId="70193CEC" w14:textId="77777777" w:rsidR="002B6ABF" w:rsidRPr="00774080" w:rsidRDefault="00D84EE7" w:rsidP="00606ED5">
      <w:pPr>
        <w:pStyle w:val="Text"/>
      </w:pPr>
      <w:r>
        <w:t>Lovudkastet medfører tilpasningsomkostninger for erhvervslivet. En ændring i tilpasningsomkostninger for borgerne og forvaltningen forventes ikke. Skønnet af tilpasningsomkostningerne er baseret på beregninger fra det statistiske forbundskontor. Oplysningerne om de anvendte faldtal og tidsforbruget er baseret på søgninger på internettet, data fra det statistiske forbundskontor og telefoninterview.</w:t>
      </w:r>
    </w:p>
    <w:p w14:paraId="1343103D" w14:textId="77777777" w:rsidR="00D84EE7" w:rsidRPr="00774080" w:rsidRDefault="00D84EE7" w:rsidP="00606ED5">
      <w:pPr>
        <w:pStyle w:val="Text"/>
      </w:pPr>
      <w:r>
        <w:t>Lovudkastet fører for erhvervslivet på grund af forbuddet mod aflivning af kyllinger til årlige tilpasningsomkostninger på omkring 147,5 millioner EUR.</w:t>
      </w:r>
    </w:p>
    <w:p w14:paraId="0ED2BA39" w14:textId="77777777" w:rsidR="00BF62F0" w:rsidRPr="00774080" w:rsidRDefault="00BF62F0" w:rsidP="00BF62F0">
      <w:pPr>
        <w:pStyle w:val="Text"/>
      </w:pPr>
      <w:r>
        <w:t>Virkningerne på de årlige tilpasningsomkostninger er afhængige af den konkrete procedure, som vælges af de enkelte rugerier som alternativ til aflivning af kyllingerne. Brugen af en metode til kønsbestemmelse i ægget som tjenesteydelse, det vil sige med en licensordning, fører til øgede omkostninger for fødevarehandlen og for videreforarbejdende virksomheder. Da der ikke kan drages konklusioner om licensgebyrernes nøjagtige størrelse, anvendes som tilnærmelse en merpris pr. æg med skal</w:t>
      </w:r>
      <w:r w:rsidRPr="00774080">
        <w:rPr>
          <w:rStyle w:val="FootnoteReference"/>
        </w:rPr>
        <w:footnoteReference w:id="4"/>
      </w:r>
      <w:r w:rsidRPr="00774080">
        <w:rPr>
          <w:rStyle w:val="FootnoteReference"/>
        </w:rPr>
        <w:t>)</w:t>
      </w:r>
      <w:r>
        <w:rPr>
          <w:rStyle w:val="FootnoteReference"/>
        </w:rPr>
        <w:t>)</w:t>
      </w:r>
      <w:r>
        <w:t xml:space="preserve">, som er skønnet af en udbyder af den hidtidige metode. Faldtallet udgøres dermed af antallet af æg, som produceres med betaling af licensgebyrerne. </w:t>
      </w:r>
    </w:p>
    <w:p w14:paraId="453EC9D0" w14:textId="77777777" w:rsidR="00CC02F5" w:rsidRPr="00774080" w:rsidRDefault="00BF62F0" w:rsidP="00CC02F5">
      <w:pPr>
        <w:pStyle w:val="Text"/>
      </w:pPr>
      <w:r>
        <w:t>De ekstra omkostninger pr. æg, som stammer fra en bedrift, der gør brug af en metode til kønsbestemmelse i rugeægget, skønnes at være et til tre cent pr. æg med skal</w:t>
      </w:r>
      <w:r w:rsidR="00DF31C3" w:rsidRPr="00774080">
        <w:rPr>
          <w:rStyle w:val="FootnoteReference"/>
        </w:rPr>
        <w:footnoteReference w:id="5"/>
      </w:r>
      <w:r w:rsidR="00DF31C3" w:rsidRPr="00774080">
        <w:rPr>
          <w:rStyle w:val="FootnoteReference"/>
        </w:rPr>
        <w:t>)</w:t>
      </w:r>
      <w:r>
        <w:rPr>
          <w:rStyle w:val="FootnoteReference"/>
        </w:rPr>
        <w:t>)</w:t>
      </w:r>
      <w:r>
        <w:t>. Denne metodes aktuelle form er målrettet mod handlen, da licensgebyrerne betales af såkaldte pakkerier. I tjenesteyderens beregning er omkostningerne til logistikken allerede medregnet.</w:t>
      </w:r>
    </w:p>
    <w:p w14:paraId="14D117BE" w14:textId="77777777" w:rsidR="001E35CB" w:rsidRPr="00774080" w:rsidRDefault="00BF62F0" w:rsidP="00BF62F0">
      <w:pPr>
        <w:pStyle w:val="Text"/>
      </w:pPr>
      <w:r>
        <w:t>I 2019 blev der i alt avlet omkring 15 milliarder æg i Tyskland</w:t>
      </w:r>
      <w:r w:rsidR="00A436AD" w:rsidRPr="00774080">
        <w:rPr>
          <w:rStyle w:val="FootnoteReference"/>
        </w:rPr>
        <w:footnoteReference w:id="6"/>
      </w:r>
      <w:r w:rsidR="00A436AD" w:rsidRPr="00774080">
        <w:rPr>
          <w:rStyle w:val="FootnoteReference"/>
        </w:rPr>
        <w:t>)</w:t>
      </w:r>
      <w:r>
        <w:rPr>
          <w:rStyle w:val="FootnoteReference"/>
        </w:rPr>
        <w:t>)</w:t>
      </w:r>
      <w:r>
        <w:t>. Fraregnes eksportmængden, produceres der i alt omkring 12 milliarder æg til det indenlandske forbrug</w:t>
      </w:r>
      <w:r w:rsidR="00A436AD" w:rsidRPr="00774080">
        <w:rPr>
          <w:rStyle w:val="FootnoteReference"/>
        </w:rPr>
        <w:footnoteReference w:id="7"/>
      </w:r>
      <w:r w:rsidR="00A436AD" w:rsidRPr="00774080">
        <w:rPr>
          <w:rStyle w:val="FootnoteReference"/>
        </w:rPr>
        <w:t>)</w:t>
      </w:r>
      <w:r>
        <w:rPr>
          <w:rStyle w:val="FootnoteReference"/>
        </w:rPr>
        <w:t>)</w:t>
      </w:r>
      <w:r>
        <w:t xml:space="preserve">. </w:t>
      </w:r>
    </w:p>
    <w:p w14:paraId="34888C12" w14:textId="77777777" w:rsidR="00CC02F5" w:rsidRPr="00774080" w:rsidRDefault="00CC02F5" w:rsidP="00CC02F5">
      <w:r>
        <w:t>Herved skal der tages hensyn til, at der i 2019 allerede blev anvendt metoder til kønsbestemmelse på ca. 3 millioner æg. Desuden bliver der lige nu opdrættet ca. 2,25 millioner haner. Disse 5,25 millioner æg skal fratrækkes.</w:t>
      </w:r>
    </w:p>
    <w:p w14:paraId="75726348" w14:textId="77777777" w:rsidR="00BF62F0" w:rsidRPr="00774080" w:rsidRDefault="00DF31C3" w:rsidP="00BF62F0">
      <w:pPr>
        <w:pStyle w:val="Text"/>
      </w:pPr>
      <w:r>
        <w:t xml:space="preserve">Dermed er der omkring 12 milliarder æg tilbage, som antages at blive solgt til fødevarehandlen eller -industrien. Hvis alle rugerier omlægges til den ovennævnte procedure, kan der på grund af licensgebyrer forventes årlige tilpasningsomkostninger </w:t>
      </w:r>
      <w:r>
        <w:lastRenderedPageBreak/>
        <w:t>mellem 120 millioner EUR (12 milliarder * 0,01 EUR) og 360 millioner EUR (12 milliarder * 0,03 EUR). Til ovennævnte skøn er gennemsnittet anvendt, dvs. 0,02 EUR.</w:t>
      </w:r>
    </w:p>
    <w:p w14:paraId="4057ABB4" w14:textId="77777777" w:rsidR="00BF62F0" w:rsidRPr="00774080" w:rsidRDefault="00BF62F0" w:rsidP="00BF62F0">
      <w:pPr>
        <w:pStyle w:val="Text"/>
      </w:pPr>
      <w:r>
        <w:t>Dette skøn er baseret på en antagelse om, at licensgebyrerne, som udbyderne kræver, kan afledes fuldstændigt af de ovenstående udledte ekstra omkostninger pr. æg. Desuden afhænger den samlede omkostningsforhøjelse af den prismæssige udformning af den tiltænkte licensprocedure.</w:t>
      </w:r>
    </w:p>
    <w:p w14:paraId="7E62FD9E" w14:textId="77777777" w:rsidR="00CC02F5" w:rsidRPr="00774080" w:rsidRDefault="00CC02F5" w:rsidP="00CC02F5">
      <w:pPr>
        <w:rPr>
          <w:rStyle w:val="acopre"/>
        </w:rPr>
      </w:pPr>
      <w:r>
        <w:t>Derimod forventes årlige besparelser for virksomhederne på 92,4 millioner EUR (12 milliarder æg * 0,0077 EUR). Indtægterne iberegnet besparelserne ved en metode til kønsbestemmelse er beregnet til at være 0,0077 pr. rugeæg</w:t>
      </w:r>
      <w:r w:rsidRPr="00774080">
        <w:rPr>
          <w:rStyle w:val="FootnoteReference"/>
        </w:rPr>
        <w:footnoteReference w:id="8"/>
      </w:r>
      <w:r w:rsidRPr="00774080">
        <w:rPr>
          <w:rStyle w:val="FootnoteReference"/>
        </w:rPr>
        <w:t>)</w:t>
      </w:r>
      <w:r>
        <w:rPr>
          <w:rStyle w:val="FootnoteReference"/>
        </w:rPr>
        <w:t>)</w:t>
      </w:r>
      <w:r>
        <w:t xml:space="preserve">. Dette indbefatter besparelser for personalet, som manuelt sorterer kyllingerne </w:t>
      </w:r>
      <w:r>
        <w:rPr>
          <w:rStyle w:val="acopre"/>
        </w:rPr>
        <w:t>umiddelbart efter udklækningen og besparelser på grund af et lavere behov for udrugningskapacitet og reduktion af energiomkostningerne til klækkemaskiner.</w:t>
      </w:r>
    </w:p>
    <w:p w14:paraId="36A87F73" w14:textId="77777777" w:rsidR="00CC02F5" w:rsidRPr="00774080" w:rsidRDefault="00CC02F5" w:rsidP="00CC02F5">
      <w:pPr>
        <w:rPr>
          <w:rFonts w:eastAsia="Times New Roman"/>
          <w:color w:val="000000"/>
        </w:rPr>
      </w:pPr>
      <w:r>
        <w:t xml:space="preserve">For omkring 12 milliarder æg forventes årlige tilpasningsomkostninger på grund af licensgebyrer fratrukket besparelserne på mellem </w:t>
      </w:r>
      <w:r>
        <w:rPr>
          <w:color w:val="000000"/>
        </w:rPr>
        <w:t xml:space="preserve">27,6 </w:t>
      </w:r>
      <w:r>
        <w:t xml:space="preserve">millioner EUR (12 milliarder * (0,01-0,0077 EUR)) og 267,5 </w:t>
      </w:r>
      <w:r>
        <w:rPr>
          <w:color w:val="000000"/>
        </w:rPr>
        <w:t>millioner</w:t>
      </w:r>
      <w:r>
        <w:t xml:space="preserve"> EUR (12 milliarder * (0,03 -0,0077 EUR)). Ved et skøn med gennemsnittet (0,02-0,0077 EUR) er de årlige tilpasningsomkostninger på </w:t>
      </w:r>
      <w:r>
        <w:rPr>
          <w:color w:val="000000"/>
        </w:rPr>
        <w:t>147,5 millioner EUR</w:t>
      </w:r>
      <w:r>
        <w:t>.</w:t>
      </w:r>
    </w:p>
    <w:p w14:paraId="792E2BBA" w14:textId="77777777" w:rsidR="00CC02F5" w:rsidRPr="00774080" w:rsidRDefault="00CC02F5" w:rsidP="00CC02F5">
      <w:pPr>
        <w:rPr>
          <w:rFonts w:eastAsia="Times New Roman"/>
        </w:rPr>
      </w:pPr>
      <w:r>
        <w:t>Virksomheder, som be- og forarbejder samt markedsfører animalske fødevarer, skal bortset fra definerede undtagelser godkendes af den ansvarlige myndighed. Aktuelt er der registreret og offentliggjort 2436 ægpakkerier i databasen i Tyskland.</w:t>
      </w:r>
      <w:r w:rsidRPr="00774080">
        <w:rPr>
          <w:rStyle w:val="FootnoteReference"/>
        </w:rPr>
        <w:footnoteReference w:id="9"/>
      </w:r>
      <w:r w:rsidRPr="00774080">
        <w:rPr>
          <w:rStyle w:val="FootnoteReference"/>
          <w:vertAlign w:val="baseline"/>
        </w:rPr>
        <w:t>)</w:t>
      </w:r>
      <w:r>
        <w:rPr>
          <w:rStyle w:val="FootnoteReference"/>
          <w:vertAlign w:val="baseline"/>
        </w:rPr>
        <w:t>)</w:t>
      </w:r>
      <w:r>
        <w:t xml:space="preserve">. Dermed er de gennemsnitlige årlige tilpasningsomkostninger pr. virksomhed ca. 60 600 EUR. </w:t>
      </w:r>
    </w:p>
    <w:p w14:paraId="7B506D50" w14:textId="77777777" w:rsidR="00CC02F5" w:rsidRPr="00774080" w:rsidRDefault="00CC02F5" w:rsidP="00CC02F5">
      <w:r>
        <w:t xml:space="preserve">Da der opstår løbende eksterne omkostninger til gennemførelsen af denne lovgivning har undersøgelsen af økonomisk egnethed og rimelighed for et gennemsnitligt pakkeri (ofte </w:t>
      </w:r>
      <w:r>
        <w:rPr>
          <w:rStyle w:val="highlight"/>
        </w:rPr>
        <w:t>små</w:t>
      </w:r>
      <w:r>
        <w:t xml:space="preserve"> og mellemstore virksomheder) en særlig betydning. Det skal dog også understreges, at rimelige omkostningsstigninger ikke medfører økonomisk urimelighed i at overholde reglerne, fordi de opstående omkostninger i produktionskæden gives videre til forbrugerne, uafhængigt af virksomhedens størrelse. En undtagelse for </w:t>
      </w:r>
      <w:r>
        <w:rPr>
          <w:rStyle w:val="highlight"/>
        </w:rPr>
        <w:t>små</w:t>
      </w:r>
      <w:r>
        <w:t xml:space="preserve"> og mellemstore virksomheder er ikke planlagt, fordi bestemmelsens formål om at afskaffe aflivningen af daggamle kyllinger kun kan opnås ved også at inddrage disse virksomheder.</w:t>
      </w:r>
    </w:p>
    <w:p w14:paraId="577E81E2" w14:textId="77777777" w:rsidR="00CC02F5" w:rsidRPr="00774080" w:rsidRDefault="00CC02F5" w:rsidP="00CC02F5">
      <w:pPr>
        <w:pStyle w:val="Text"/>
      </w:pPr>
      <w:r>
        <w:t>I overensstemmelse med forbundsregeringens "one in, one out"-regel udgør tilpasningsomkostningerne for erhvervslivet i dette bestemmelsesudkast et "In" på 147,5 mio. EUR. Heraf kan på nuværende tidspunkt kun en del af omkostningerne kompenseres af de aflastende bestemmelser fra forbundsministeriet for fødevarer og landbrug i denne valgperiode. Yderligere kompensationsmuligheder undersøges.</w:t>
      </w:r>
    </w:p>
    <w:p w14:paraId="431719E0" w14:textId="77777777" w:rsidR="00CC02F5" w:rsidRPr="00774080" w:rsidRDefault="00CC02F5" w:rsidP="00774080">
      <w:pPr>
        <w:pStyle w:val="Text"/>
        <w:keepNext/>
        <w:rPr>
          <w:b/>
        </w:rPr>
      </w:pPr>
      <w:r>
        <w:rPr>
          <w:b/>
        </w:rPr>
        <w:t>4.3. Tilpasningsomkostninger for forvaltningen</w:t>
      </w:r>
    </w:p>
    <w:p w14:paraId="68487DAA" w14:textId="77777777" w:rsidR="00CC02F5" w:rsidRPr="00774080" w:rsidRDefault="00CC02F5" w:rsidP="00CC02F5">
      <w:r>
        <w:t xml:space="preserve">En ændring i tilpasningsomkostninger for forvaltningen forventes ikke. Rugerierne er omfattet af regelmæssige kontroller i henhold til artikel 9 i Kommissionens forordning (EF) nr. 617/2008 af 27. juni 2008 om gennemførelsesbestemmelser til Rådets forordning (EF) nr. 1234/2007 for så vidt angår handelsnormer for rugeæg og kyllinger af fjerkræ (EUT L 168 af 28.6.2008, s. 5). De konkrete årlige kontroller udregnes på baggrund af en risikoanalyse. Desuden blev der i forvejen udført kontrolbesøg i virksomhederne på grund af dyreværnslovens bestemmelser, da de gennemfører aflivninger af kyllinger. Derfor forventes der ikke yderligere kontroller i forbindelse med gennemførelsen af denne lovgivning. Kontrolbyrden til at konstatere, at en aktivitet ikke længere udføres, skønnes at være den samme i forhold til den nuværende byrde. </w:t>
      </w:r>
    </w:p>
    <w:p w14:paraId="4009D40D" w14:textId="77777777" w:rsidR="002B6ABF" w:rsidRPr="00774080" w:rsidRDefault="002B6ABF" w:rsidP="00606ED5">
      <w:pPr>
        <w:pStyle w:val="berschriftarabischBegrndung"/>
      </w:pPr>
      <w:r>
        <w:lastRenderedPageBreak/>
        <w:t>Yderligere omkostninger</w:t>
      </w:r>
    </w:p>
    <w:p w14:paraId="5418C2C6" w14:textId="77777777" w:rsidR="00CC02F5" w:rsidRPr="00774080" w:rsidRDefault="00CC02F5" w:rsidP="00CC02F5">
      <w:pPr>
        <w:pStyle w:val="Text"/>
      </w:pPr>
      <w:r>
        <w:t>Det kan forventes, at erhvervslivet i det mindste delvist giver omkostningerne videre til forbrugerne, så de foreslåede bestemmelser eventuelt vil påvirke enkeltpriserne med op til 10 cent pr. pakning med 6 æg.</w:t>
      </w:r>
    </w:p>
    <w:p w14:paraId="54F50DC8" w14:textId="77777777" w:rsidR="002B6ABF" w:rsidRPr="00774080" w:rsidRDefault="002B6ABF" w:rsidP="00606ED5">
      <w:pPr>
        <w:pStyle w:val="berschriftarabischBegrndung"/>
      </w:pPr>
      <w:r>
        <w:t>Yderligere lovgivningsmæssige konsekvenser</w:t>
      </w:r>
    </w:p>
    <w:p w14:paraId="581E820E" w14:textId="77777777" w:rsidR="002B6ABF" w:rsidRPr="00774080" w:rsidRDefault="00A436AD" w:rsidP="00606ED5">
      <w:pPr>
        <w:pStyle w:val="Text"/>
      </w:pPr>
      <w:r>
        <w:t xml:space="preserve">Virkninger af ligestillingspolitisk betydning forventes ikke, da loven ikke indeholder bestemmelser, som specifikt påvirker mænds eller kvinders livssituation. </w:t>
      </w:r>
    </w:p>
    <w:p w14:paraId="2570291B" w14:textId="77777777" w:rsidR="002B6ABF" w:rsidRPr="00774080" w:rsidRDefault="002B6ABF" w:rsidP="00606ED5">
      <w:pPr>
        <w:pStyle w:val="berschriftrmischBegrndung"/>
      </w:pPr>
      <w:r>
        <w:t>Tidsbegrænsning, evaluering</w:t>
      </w:r>
    </w:p>
    <w:p w14:paraId="5AE5B85D" w14:textId="77777777" w:rsidR="002B6ABF" w:rsidRPr="00774080" w:rsidRDefault="00795460" w:rsidP="00606ED5">
      <w:pPr>
        <w:pStyle w:val="Text"/>
      </w:pPr>
      <w:r>
        <w:t>Lovens gyldighed er ikke begrænset.</w:t>
      </w:r>
    </w:p>
    <w:p w14:paraId="39DEB388" w14:textId="77777777" w:rsidR="00A436AD" w:rsidRPr="00774080" w:rsidRDefault="00A436AD" w:rsidP="00606ED5">
      <w:pPr>
        <w:pStyle w:val="Text"/>
      </w:pPr>
      <w:r>
        <w:t>Nærværende lov skal senest evalueres den 1. januar 2027. Herved skal det undersøges, om lovens mål om at forhindre aflivningen af kyllinger er opnået. Indikator for evalueringen er konstateringen af overtrædelser af forskrifterne ved kontroller udført af delstaterne. Som datagrundlag anvendes oplysninger fra delstaterne.</w:t>
      </w:r>
    </w:p>
    <w:p w14:paraId="2F9A49E4" w14:textId="77777777" w:rsidR="00261248" w:rsidRPr="00774080" w:rsidRDefault="002B6ABF" w:rsidP="00774080">
      <w:pPr>
        <w:pStyle w:val="BegrndungBesondererTeil"/>
      </w:pPr>
      <w:r>
        <w:t>B. Særlig del</w:t>
      </w:r>
    </w:p>
    <w:p w14:paraId="4D116F5E" w14:textId="160625C3" w:rsidR="00261248" w:rsidRPr="00774080" w:rsidRDefault="00261248" w:rsidP="00261248">
      <w:pPr>
        <w:pStyle w:val="VerweisBegrndung"/>
      </w:pPr>
      <w:r>
        <w:t xml:space="preserve">Ad </w:t>
      </w:r>
      <w:r>
        <w:rPr>
          <w:rStyle w:val="Binnenverweis"/>
        </w:rPr>
        <w:t>artikel 1</w:t>
      </w:r>
      <w:r>
        <w:t xml:space="preserve"> (ændring af dyreværnsloven)</w:t>
      </w:r>
    </w:p>
    <w:p w14:paraId="30EA4430" w14:textId="77777777" w:rsidR="00261248" w:rsidRPr="00774080" w:rsidRDefault="00261248" w:rsidP="00261248">
      <w:pPr>
        <w:pStyle w:val="Text"/>
      </w:pPr>
      <w:r>
        <w:t>§ 4c, stk. 1, indeholder et forbud mod aflivning af kyllinger. Dette forbud indføres på baggrund af domme fra forvaltningsdomstolens, ref. 3 C 28.16 og ref. 3 C 29.16, og med henblik på regeringskoalitionens målaftale i koalitionsaftalen om "at afskaffe aflivningen af kyllinger". Et forbud er nødvendigt for effektivt at forhindre aflivningen af kyllinger og for effektivt at kunne sikre overholdelsen af forbuddet. Forbuddet træder i kraft den 1. januar 2022.</w:t>
      </w:r>
    </w:p>
    <w:p w14:paraId="2646B384" w14:textId="77777777" w:rsidR="007A388E" w:rsidRPr="00774080" w:rsidRDefault="00FF67B0" w:rsidP="0031602C">
      <w:pPr>
        <w:pStyle w:val="PlainText"/>
        <w:jc w:val="both"/>
      </w:pPr>
      <w:r>
        <w:rPr>
          <w:rFonts w:ascii="Arial" w:hAnsi="Arial"/>
        </w:rPr>
        <w:t>Omfattet af forbuddet er alle kyllinger, som stammer fra avlslinjer, der er målrettet til ægproduktion. Avls- og opformeringsdyr er dermed også omfattet af forbuddet. Forbuddet omfatter aflivning af høne- og hanekyllinger. Systematisk aflivning af hanekyllinger i rugerier og aflivning af hane- eller hønekyllinger i bedrifter på avls- og formeringstrinnet er omfattet af bestemmelsens anvendelsesområde. Forbuddet dækker kyllinger, som avles til avls- og formeringsformål, fordi aflivning af hane- og hønekyllinger i fjerkræbranchens produktionssystem også forekommer inden for bedrifterne til avl og formering, når høne- eller hanekyllinger fra en bestemt linje ikke længere kan anvendes i den videre avl. Denne uetiske praksis på avls- og formeringstrinnet skal også forhindres.</w:t>
      </w:r>
    </w:p>
    <w:p w14:paraId="01618CC6" w14:textId="77777777" w:rsidR="00261248" w:rsidRPr="00774080" w:rsidRDefault="00261248" w:rsidP="00261248">
      <w:pPr>
        <w:pStyle w:val="Text"/>
      </w:pPr>
      <w:r>
        <w:t xml:space="preserve">Forbuddet mod aflivning af kyllinger er ikke i modstrid med grundlæggende rettigheder, særligt ejerne af rugerierne og avlernes erhvervsfrihed i henhold til artikel 12 i den tyske grundlov. Driften af et rugeri eller en avlsvirksomhed er som erhverv beskyttet af erhvervsfriheden, men udøvelsen af erhvervet kan reguleres ved lov eller på grund af en lov (artikel 12, stk. 1, andet punktum, i den tyske grundlov). Med forbuddet mod aflivning af kyllinger i dette lovudkast foreligger der intet indgreb i den frie erhvervsudøvelse for ejerne af rugerier eller avlsvirksomheder, da udøvelsen af dette erhverv, især udrugningen af æg fortsat er tilladt. Ejeren af rugeriet kan også fortsat frit vælge, om der i bedriften udruges æg fra æglægnings-, opfednings- eller toformålslinjer. Det forventes fortsat, at der som alternativ til aflivningen af kyllinger ud over anvendelsen af toformålsracer og opdræt og opfedning af hanekyllinger også inden den 1. januar 2022 findes anvendelige metoder til kønsbestemmelse i ægget, og at disse er tilgængelige på markedet. </w:t>
      </w:r>
    </w:p>
    <w:p w14:paraId="166235CA" w14:textId="77777777" w:rsidR="00261248" w:rsidRPr="00774080" w:rsidRDefault="00261248" w:rsidP="00261248">
      <w:pPr>
        <w:pStyle w:val="Text"/>
      </w:pPr>
      <w:r>
        <w:lastRenderedPageBreak/>
        <w:t>I tidsrummet fra 2008 til 2020 har den tyske stat stillet omkring 8 millioner EUR til rådighed til støtte af alle alternativer, deraf cirka 6,5 millioner EUR til udvikling af metoder til kønsbestemmelse i ægget.</w:t>
      </w:r>
    </w:p>
    <w:p w14:paraId="50B64027" w14:textId="77777777" w:rsidR="00261248" w:rsidRPr="00774080" w:rsidRDefault="00261248" w:rsidP="00261248">
      <w:pPr>
        <w:pStyle w:val="Text"/>
      </w:pPr>
      <w:r>
        <w:t>Med statens støtte er der opstået metoder, som med høj nøjagtighed kan bestemme kønnet på kyllingen, som udvikles i ægget. Forskellige metoder til bestemmelse, som er baseret på forskellige teknologiske grundlag, gør det muligt at kyllingens køn kan konstateres med sikkerhed. Ud over de endokrinologiske og spektroskopiske principper er der også etableret metoder med gentekniske analyser og embryonal farvesexing.</w:t>
      </w:r>
    </w:p>
    <w:p w14:paraId="7AC7FF3B" w14:textId="77777777" w:rsidR="00261248" w:rsidRPr="00774080" w:rsidRDefault="00261248" w:rsidP="00261248">
      <w:pPr>
        <w:pStyle w:val="Text"/>
      </w:pPr>
      <w:r>
        <w:t xml:space="preserve">Alle disse metoder er grundlæggende egnet til landsdækkende anvendelse i Tyskland, og nogle anvendes allerede i praksis. Yderligere procesoptimering af de pågældende teknologier er igangværende i virksomhedernes egen interesse. </w:t>
      </w:r>
    </w:p>
    <w:p w14:paraId="65976188" w14:textId="77777777" w:rsidR="000E691B" w:rsidRPr="00774080" w:rsidRDefault="007438BC" w:rsidP="00A1181A">
      <w:pPr>
        <w:pStyle w:val="Text"/>
      </w:pPr>
      <w:r>
        <w:t xml:space="preserve">Siden forbundsforvaltningens ovennævnte domme af juni 2019 er metoderne til kønsbestemmelse i ægget blevet videreudviklet. </w:t>
      </w:r>
    </w:p>
    <w:p w14:paraId="7B859C35" w14:textId="77777777" w:rsidR="000E691B" w:rsidRPr="00774080" w:rsidRDefault="00351C68" w:rsidP="000E691B">
      <w:pPr>
        <w:pStyle w:val="Text"/>
      </w:pPr>
      <w:r>
        <w:t xml:space="preserve">Metoderne til kønsbestemmelse kan grundlæggende installeres i selve rugerierne eller kønsbestemmelse kan udbydes som en tjenesteydelse. Brugen af tjenesteydelser egner sig især for rugerier, hvor en installation af teknikken til kønsbestemmelse økonomisk ikke er rentabel i forhold til antallet af rugeæg. Dermed er det garanteret, at en metode til kønsbestemmelse kan gennemføres i rugeriet uafhængigt af produktionsmængden. </w:t>
      </w:r>
    </w:p>
    <w:p w14:paraId="4FC69C7B" w14:textId="77777777" w:rsidR="007C3950" w:rsidRPr="00774080" w:rsidRDefault="007C3950" w:rsidP="007C3950">
      <w:pPr>
        <w:pStyle w:val="Text"/>
      </w:pPr>
      <w:r>
        <w:t xml:space="preserve">Ved allerede i ægget at bestemme kønnet på kyllingen, som er ved at udvikle sig, er det muligt at forhindre den videre udvikling og udklækningen af en hanekylling. Hertil er det nødvendigt med ændringer i udrugningsprocesserne. I modsætning til de andre alternativer kræver kønsbestemmelsen meget få tilpasninger i de forudgående og efterfølgende avlstrin. Med metoden til kønsbestemmelse opstår der besparelser i rugerierne, som er højere jo tidligere kønsbestemmelsen i ægget foretages. Ved at frasortere æggene, som indeholder hanekyllinger, bliver der frigivet rugekapaciteter. Med kønsbestemmelsen i ægget behøver rugerierne kun en tredjedel af deres kapaciteter, da den resterende udrugning under alle omstændigheder med metoden, hvor kønsbestemmelse tilbydes som en tjenesteydelse, sker i de såkaldte kønsbestemmelsescentre. Desuden bortfalder omkostninger til kønsbestemmelse på de levende kyllinger samt deres aflivning og genanvendelse. </w:t>
      </w:r>
    </w:p>
    <w:p w14:paraId="116E0503" w14:textId="77777777" w:rsidR="000E691B" w:rsidRPr="00774080" w:rsidRDefault="000E691B" w:rsidP="000E691B">
      <w:pPr>
        <w:pStyle w:val="Text"/>
      </w:pPr>
      <w:r>
        <w:t>Forbuddet mod aflivning af kyllinger berører ikke bekæmpelsen af dyresygdomme samt nødaflivninger af dyr, som er syge eller skadede ved udklækningen. Desuden skal forbuddet ikke gælde for dyr, som ikke kan udklækkes, og for poussiner. Begrebet poussiner er i overensstemmelse med begrebet i artikel 1, nr. 1), litra a) i Kommissionens forordning (EF) nr. 543/2008 af 16. juni 2008, med gennemførelsesbestemmelser til Rådets forordning (EØF) nr. 1234/2007, for så vidt angår handelsnormer for fjerkrækød. I henhold til dette er en poussin en kylling på under 650 g (uden spiselig indmad, hoved og fødder) eller kyllinger på 650-750 g, hvis slagtealderen ikke er over 28 dage. Til undtagelserne medtages også dyreforsøg, fordi forbuddet er målrettet mod systematisk aflivning af kyllinger og fostre i ægproduktionen. Forsøg på kyllinger eller fostre med et videnskabeligt formål skal derimod ikke omfattes af forbuddet.</w:t>
      </w:r>
    </w:p>
    <w:p w14:paraId="44C2EDE6" w14:textId="77777777" w:rsidR="00261248" w:rsidRPr="00774080" w:rsidRDefault="000E691B" w:rsidP="0031602C">
      <w:pPr>
        <w:pStyle w:val="PlainText"/>
        <w:jc w:val="both"/>
      </w:pPr>
      <w:r>
        <w:rPr>
          <w:rFonts w:ascii="Arial" w:hAnsi="Arial"/>
        </w:rPr>
        <w:t>Udover metoden til kønsbestemmelse i ægget står opdræt af hanerne eller anvendelsen af toformålsracer også til rådighed som</w:t>
      </w:r>
      <w:bookmarkStart w:id="1" w:name="_GoBack"/>
      <w:bookmarkEnd w:id="1"/>
      <w:r>
        <w:rPr>
          <w:rFonts w:ascii="Arial" w:hAnsi="Arial"/>
        </w:rPr>
        <w:t xml:space="preserve"> alternativer til aflivningen. Avlen og anvendelsen af toformålsracer støttes og fremmes særligt af forbundsregeringen i de kommende år. De hertil egnede foranstaltninger skal drøftes i forbindelse med drøftelser i forbundsministeriet for fødevarer og landbrugs kompetencenetværk for området husdyravl.</w:t>
      </w:r>
    </w:p>
    <w:p w14:paraId="052D7809" w14:textId="0338CF53" w:rsidR="009623BC" w:rsidRPr="00774080" w:rsidRDefault="009623BC" w:rsidP="009623BC">
      <w:pPr>
        <w:pStyle w:val="VerweisBegrndung"/>
      </w:pPr>
      <w:r>
        <w:lastRenderedPageBreak/>
        <w:t xml:space="preserve">Ad </w:t>
      </w:r>
      <w:r>
        <w:rPr>
          <w:rStyle w:val="Binnenverweis"/>
        </w:rPr>
        <w:t>artikel 2</w:t>
      </w:r>
      <w:r>
        <w:t xml:space="preserve"> (Yderligere ændring af dyreværnsloven)</w:t>
      </w:r>
    </w:p>
    <w:p w14:paraId="3C629ED4" w14:textId="1A8DDE58" w:rsidR="00C47526" w:rsidRPr="00774080" w:rsidRDefault="00C47526" w:rsidP="00C47526">
      <w:pPr>
        <w:pStyle w:val="VerweisBegrndung"/>
      </w:pPr>
      <w:r>
        <w:t xml:space="preserve">Ad </w:t>
      </w:r>
      <w:r>
        <w:rPr>
          <w:rStyle w:val="Binnenverweis"/>
        </w:rPr>
        <w:t>nummer 1)</w:t>
      </w:r>
    </w:p>
    <w:p w14:paraId="2E73EF47" w14:textId="7C550B49" w:rsidR="009623BC" w:rsidRPr="00774080" w:rsidRDefault="009623BC" w:rsidP="009623BC">
      <w:pPr>
        <w:pStyle w:val="VerweisBegrndung"/>
      </w:pPr>
      <w:r>
        <w:t xml:space="preserve">Ad </w:t>
      </w:r>
      <w:r>
        <w:rPr>
          <w:rStyle w:val="Binnenverweis"/>
        </w:rPr>
        <w:t>litra a)</w:t>
      </w:r>
    </w:p>
    <w:p w14:paraId="30AF3C7A" w14:textId="77777777" w:rsidR="009623BC" w:rsidRPr="00774080" w:rsidRDefault="00E20922" w:rsidP="002536AC">
      <w:pPr>
        <w:pStyle w:val="Text"/>
      </w:pPr>
      <w:r>
        <w:t>Forbudsbestemmelsen i § 4c underinddeles i stykker, hvorfor der redaktionelt tilføjes en stykkebetegnelse.</w:t>
      </w:r>
    </w:p>
    <w:p w14:paraId="4DAFEB50" w14:textId="3EB46BC3" w:rsidR="009623BC" w:rsidRPr="00774080" w:rsidRDefault="009623BC" w:rsidP="009623BC">
      <w:pPr>
        <w:pStyle w:val="VerweisBegrndung"/>
        <w:rPr>
          <w:rStyle w:val="Binnenverweis"/>
        </w:rPr>
      </w:pPr>
      <w:r>
        <w:t xml:space="preserve">Ad </w:t>
      </w:r>
      <w:r>
        <w:rPr>
          <w:rStyle w:val="Binnenverweis"/>
        </w:rPr>
        <w:t>litra b)</w:t>
      </w:r>
    </w:p>
    <w:p w14:paraId="70E3317A" w14:textId="77777777" w:rsidR="009623BC" w:rsidRPr="00774080" w:rsidRDefault="009623BC" w:rsidP="009623BC">
      <w:pPr>
        <w:pStyle w:val="Text"/>
      </w:pPr>
      <w:r>
        <w:t>Med § 4c, stk. 2, bliver det forbudt fra den syvende rugedag at udføre indgreb i et hønseægs udvikling og afbrydelse af udrugningen, som gennemføres på ægget ved eller efter anvendelse af metoder til kønsbestemmelse i ægget og forårsager kyllingefosterets død. Den bevidste eller den ikke målrettede forårsagede aflivning af kyllingefosteret ved eller efter anvendelse af en metode til kønsbestemmelse skal falde ind under formuleringerne i nr. 1) og 2). Den syvende dag fastlægges som afgørende, fordi det fra denne dag ifølge den aktuelle viden ikke kan udelukkes, at kyllingefosteret har udviklet evnen til at føle smerte.</w:t>
      </w:r>
    </w:p>
    <w:p w14:paraId="56EE1838" w14:textId="77777777" w:rsidR="00BF203A" w:rsidRPr="00774080" w:rsidRDefault="0029532E" w:rsidP="003555E9">
      <w:pPr>
        <w:pStyle w:val="CommentText"/>
      </w:pPr>
      <w:r>
        <w:rPr>
          <w:sz w:val="22"/>
        </w:rPr>
        <w:t>Med forbuddet mod fra den syvende rugedag at udføre indgreb i et hønseægs udvikling og afbrydelse af udrugningen, som gennemføres på ægget ved eller efter anvendelse af metoder til kønsbestemmelse i ægget og forårsager kyllingefosterets død, foreligger der intet indgreb i den frie erhvervsudøvelse for virksomhederne, som udvikler metoder til kønsbestemmelse, som ikke kan retfærdiggøres. Udøvelsen af aktiviteten, især forbedringen af den eksisterende metode eller udforskningen og udviklingen af metoder til kønsbestemmelse, som bestemmer kønnet før den 7. rugedag, forbliver uberørt.</w:t>
      </w:r>
    </w:p>
    <w:p w14:paraId="072402C6" w14:textId="77777777" w:rsidR="009623BC" w:rsidRPr="00774080" w:rsidRDefault="009623BC" w:rsidP="009623BC">
      <w:pPr>
        <w:pStyle w:val="Text"/>
      </w:pPr>
      <w:r>
        <w:t xml:space="preserve">For dyrefostre, som løbende udvikler evnen til at føle smerte, det vil for kyllingefostre sige et tidspunkt efter den sjette rugedag, gælder beskyttelsen fra statsmålet om dyrebeskyttelse i henhold til artikel 20a i grundloven allerede før udklækningen eller fødslen. Inden udgangen af 2023 skal metoder være anvendelige og klar til brug, hvormed kyllingefosterets køn allerede kan bestemmes før den syvende rugedag. I den forbindelse skal det undgås, at der med en lang overgangstid gives incitamenter til først at investere i metoder til kønsbestemmelse, som anvendes efter den syvende rugedag. </w:t>
      </w:r>
    </w:p>
    <w:p w14:paraId="0B8B2506" w14:textId="2B737270" w:rsidR="009623BC" w:rsidRPr="00774080" w:rsidRDefault="009623BC" w:rsidP="009623BC">
      <w:pPr>
        <w:pStyle w:val="VerweisBegrndung"/>
      </w:pPr>
      <w:r>
        <w:t xml:space="preserve">Ad </w:t>
      </w:r>
      <w:r>
        <w:rPr>
          <w:rStyle w:val="Binnenverweis"/>
        </w:rPr>
        <w:t>nummer 2)</w:t>
      </w:r>
    </w:p>
    <w:p w14:paraId="74180868" w14:textId="77777777" w:rsidR="009623BC" w:rsidRPr="00774080" w:rsidRDefault="009623BC" w:rsidP="009623BC">
      <w:pPr>
        <w:pStyle w:val="Text"/>
      </w:pPr>
      <w:r>
        <w:t>I § 18, stk. 1, nr. 6a), reguleres et lovovertrædelsesforhold for overtrædelser af forbuddet i § 4c, stk. 2.</w:t>
      </w:r>
    </w:p>
    <w:p w14:paraId="59076495" w14:textId="273F277D" w:rsidR="00261248" w:rsidRPr="00774080" w:rsidRDefault="00261248" w:rsidP="00261248">
      <w:pPr>
        <w:pStyle w:val="VerweisBegrndung"/>
      </w:pPr>
      <w:r>
        <w:t xml:space="preserve">Til </w:t>
      </w:r>
      <w:r>
        <w:rPr>
          <w:rStyle w:val="Binnenverweis"/>
        </w:rPr>
        <w:t>artikel 3</w:t>
      </w:r>
      <w:r>
        <w:t xml:space="preserve"> (ikrafttrædelse)</w:t>
      </w:r>
    </w:p>
    <w:p w14:paraId="0BAA8A10" w14:textId="77777777" w:rsidR="00E20922" w:rsidRPr="00774080" w:rsidRDefault="000E691B" w:rsidP="002536AC">
      <w:r>
        <w:t xml:space="preserve">Artikel 3 regulerer lovens trinvise ikrafttræden. </w:t>
      </w:r>
    </w:p>
    <w:p w14:paraId="287F4ACD" w14:textId="3050158A" w:rsidR="00C47526" w:rsidRPr="00774080" w:rsidRDefault="00C47526" w:rsidP="00C47526">
      <w:pPr>
        <w:pStyle w:val="VerweisBegrndung"/>
      </w:pPr>
      <w:r>
        <w:t xml:space="preserve">Ad </w:t>
      </w:r>
      <w:r>
        <w:rPr>
          <w:rStyle w:val="Binnenverweis"/>
        </w:rPr>
        <w:t>stk. 1</w:t>
      </w:r>
    </w:p>
    <w:p w14:paraId="36655CC9" w14:textId="77777777" w:rsidR="002536AC" w:rsidRPr="00774080" w:rsidRDefault="00E20922" w:rsidP="002536AC">
      <w:r>
        <w:t xml:space="preserve">Artikel 1 skal træde i kraft den 1. januar 2022. For hurtigt at reducere antallet af aflivede kyllinger og så vidt angår den tekniske udvikling, som allerede har fundet sted, anses en kort frist indtil brugen af forbuddet mod aflivning af kyllinger som rimelig. Med det aktuelle tekniske niveau kan det forventes, at det er muligt at etablere alternativer inden udgangen af 2021. </w:t>
      </w:r>
    </w:p>
    <w:p w14:paraId="69A55B57" w14:textId="77777777" w:rsidR="002536AC" w:rsidRPr="00774080" w:rsidRDefault="002536AC" w:rsidP="002536AC">
      <w:r>
        <w:t>Den nødvendige omstilling af driftsformen er rimelig at forvente af de berørte virksomheder inden for perioden mellem offentliggørelse og ikrafttræden. Efter forvaltningsdomstolens domme og udviklingen af alternative metoder kan den hidtidige praksis med at aflive kyllinger af dyrevelfærdsmæssige grunde ikke længere videreføres.</w:t>
      </w:r>
    </w:p>
    <w:p w14:paraId="07AE0E06" w14:textId="51A48719" w:rsidR="00C47526" w:rsidRPr="00774080" w:rsidRDefault="00C47526" w:rsidP="00C47526">
      <w:pPr>
        <w:pStyle w:val="VerweisBegrndung"/>
      </w:pPr>
      <w:r>
        <w:lastRenderedPageBreak/>
        <w:t xml:space="preserve">Ad </w:t>
      </w:r>
      <w:r>
        <w:rPr>
          <w:rStyle w:val="Binnenverweis"/>
        </w:rPr>
        <w:t>stk. 2</w:t>
      </w:r>
    </w:p>
    <w:p w14:paraId="3B5CA17F" w14:textId="77777777" w:rsidR="00E20922" w:rsidRPr="00774080" w:rsidRDefault="00E20922" w:rsidP="002536AC">
      <w:r>
        <w:t>Artikel 2 skal træde i kraft den 1. januar 2024.</w:t>
      </w:r>
    </w:p>
    <w:p w14:paraId="6BAC4A25" w14:textId="77777777" w:rsidR="002B6ABF" w:rsidRPr="00774080" w:rsidRDefault="002536AC" w:rsidP="00C47526">
      <w:r>
        <w:t xml:space="preserve">Da kønsbestemmelse i ægget kan føre til en efterfølgende aflivning af de kyllingefostre, som viser sig at være af hankøn, medfører den planlagte bestemmelse i § 4c, stk. 2, at der i fremtiden kun kan anvendes metoder, som bestemmer kyllingefosterets køn før den syvende rugedag. Dette krav opfyldes på nuværende tidspunkt endnu ikke af metoderne til kønsbestemmelse, men burde blive muligt inden udgangen af 2023. Derfor skal § 4c, stk. 2, først træde i kraft den 1. januar 2024. Metoder, som anvendes til at bestemme kønnet efter den sjette rugedag, er dermed kun tilladt som en overgangsteknologi indtil denne dato.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70E64" w14:textId="77777777" w:rsidR="00395BC6" w:rsidRDefault="00395BC6" w:rsidP="005D1540">
      <w:pPr>
        <w:spacing w:before="0" w:after="0"/>
      </w:pPr>
      <w:r>
        <w:separator/>
      </w:r>
    </w:p>
    <w:p w14:paraId="19A01887" w14:textId="77777777" w:rsidR="00395BC6" w:rsidRDefault="00395BC6"/>
    <w:p w14:paraId="2DD9B2CF" w14:textId="77777777" w:rsidR="00395BC6" w:rsidRDefault="00395BC6" w:rsidP="000D500B"/>
  </w:endnote>
  <w:endnote w:type="continuationSeparator" w:id="0">
    <w:p w14:paraId="00FF525F" w14:textId="77777777" w:rsidR="00395BC6" w:rsidRDefault="00395BC6" w:rsidP="005D1540">
      <w:pPr>
        <w:spacing w:before="0" w:after="0"/>
      </w:pPr>
      <w:r>
        <w:continuationSeparator/>
      </w:r>
    </w:p>
    <w:p w14:paraId="5E07C573" w14:textId="77777777" w:rsidR="00395BC6" w:rsidRDefault="00395BC6"/>
    <w:p w14:paraId="6B2EBCCB" w14:textId="77777777" w:rsidR="00395BC6" w:rsidRDefault="00395BC6" w:rsidP="000D500B"/>
  </w:endnote>
  <w:endnote w:type="continuationNotice" w:id="1">
    <w:p w14:paraId="577C40DA" w14:textId="77777777" w:rsidR="00395BC6" w:rsidRDefault="00395BC6">
      <w:pPr>
        <w:spacing w:before="0" w:after="0"/>
      </w:pPr>
    </w:p>
    <w:p w14:paraId="54D0D1EC" w14:textId="77777777" w:rsidR="00395BC6" w:rsidRDefault="00395BC6"/>
    <w:p w14:paraId="6A1225B2" w14:textId="77777777" w:rsidR="00395BC6" w:rsidRDefault="00395BC6"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396AA" w14:textId="77777777" w:rsidR="00395BC6" w:rsidRDefault="00395BC6" w:rsidP="005D1540">
      <w:pPr>
        <w:spacing w:before="0" w:after="0"/>
      </w:pPr>
      <w:r>
        <w:separator/>
      </w:r>
    </w:p>
  </w:footnote>
  <w:footnote w:type="continuationSeparator" w:id="0">
    <w:p w14:paraId="2D4BEB6C" w14:textId="77777777" w:rsidR="00395BC6" w:rsidRDefault="00395BC6" w:rsidP="005D1540">
      <w:pPr>
        <w:spacing w:before="0" w:after="0"/>
      </w:pPr>
      <w:r>
        <w:continuationSeparator/>
      </w:r>
    </w:p>
  </w:footnote>
  <w:footnote w:type="continuationNotice" w:id="1">
    <w:p w14:paraId="355A3A98" w14:textId="77777777" w:rsidR="00395BC6" w:rsidRDefault="00395BC6">
      <w:pPr>
        <w:spacing w:before="0" w:after="0"/>
      </w:pPr>
    </w:p>
    <w:p w14:paraId="6186A592" w14:textId="77777777" w:rsidR="00395BC6" w:rsidRDefault="00395BC6"/>
    <w:p w14:paraId="058AAF67" w14:textId="77777777" w:rsidR="00395BC6" w:rsidRDefault="00395BC6"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vertAlign w:val="baseline"/>
        </w:rPr>
        <w:t>)</w:t>
      </w:r>
      <w:r>
        <w:tab/>
        <w:t>Notificeret i henhold til Europa-Parlamentets og Rådets direktiv (EU) 2015/1535 af 9. september 2015 om en informationsprocedure med hensyn til tekniske forskrifter samt forskrifter for informationssamfundets tjenester (EUT L 241 af 17.9.2015, s. 1).</w:t>
      </w:r>
    </w:p>
  </w:footnote>
  <w:footnote w:id="3">
    <w:p w14:paraId="69D49864" w14:textId="26696907"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sidRPr="00361DEC">
        <w:rPr>
          <w:rFonts w:ascii="Arial" w:hAnsi="Arial"/>
          <w:sz w:val="18"/>
          <w:lang w:val="de-DE"/>
        </w:rPr>
        <w:t>)</w:t>
      </w:r>
      <w:r w:rsidRPr="00361DEC">
        <w:rPr>
          <w:rFonts w:ascii="Arial" w:hAnsi="Arial"/>
          <w:sz w:val="18"/>
          <w:lang w:val="de-DE"/>
        </w:rPr>
        <w:tab/>
        <w:t xml:space="preserve">Bartels, Thomas/Wilk, Inga/Schrader, Lars: Entwicklung von Nozizeption und Schmerzempfinden bei Hühnerembryonen. </w:t>
      </w:r>
      <w:r>
        <w:rPr>
          <w:rFonts w:ascii="Arial" w:hAnsi="Arial"/>
          <w:sz w:val="18"/>
        </w:rPr>
        <w:t>[Bemærkninger fra FLI]. Greifswald - Insel Riems 2020. Friedrich-Loeffler-I</w:t>
      </w:r>
      <w:r>
        <w:rPr>
          <w:rStyle w:val="oa-notelocationcorp-meta"/>
          <w:rFonts w:ascii="Arial" w:hAnsi="Arial"/>
          <w:sz w:val="18"/>
        </w:rPr>
        <w:t>nstitut, Institut für Tierschutz und Tierhaltung.</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vertAlign w:val="baseline"/>
        </w:rPr>
        <w:t>)</w:t>
      </w:r>
      <w:r>
        <w:tab/>
        <w:t>https</w:t>
      </w:r>
      <w:r>
        <w:rPr>
          <w:u w:val="single"/>
        </w:rPr>
        <w:t>:</w:t>
      </w:r>
      <w:r>
        <w:t>//www.seleggt.de/wp-content/uploads/2018/04/SELEGGT_FAQs_D.pdf.</w:t>
      </w:r>
    </w:p>
  </w:footnote>
  <w:footnote w:id="5">
    <w:p w14:paraId="0D5613EC" w14:textId="77777777" w:rsidR="00B35BD4" w:rsidRPr="00DC4328" w:rsidRDefault="00B35BD4" w:rsidP="00DC4328">
      <w:pPr>
        <w:pStyle w:val="FootnoteText"/>
        <w:rPr>
          <w:szCs w:val="18"/>
        </w:rPr>
      </w:pPr>
      <w:r>
        <w:rPr>
          <w:rStyle w:val="FootnoteReference"/>
          <w:szCs w:val="18"/>
        </w:rPr>
        <w:footnoteRef/>
      </w:r>
      <w:r w:rsidRPr="00361DEC">
        <w:rPr>
          <w:rStyle w:val="FootnoteReference"/>
          <w:vertAlign w:val="baseline"/>
          <w:lang w:val="de-DE"/>
        </w:rPr>
        <w:t>)</w:t>
      </w:r>
      <w:r w:rsidRPr="00361DEC">
        <w:rPr>
          <w:lang w:val="de-DE"/>
        </w:rPr>
        <w:tab/>
        <w:t xml:space="preserve">Von der Crone, Caspar &amp; Gault, Matthias &amp; Mau, Markus &amp; Lang, Horst. (2020). Gazdaság &amp; Társadalom - Journal of Economy &amp; Society - 11. </w:t>
      </w:r>
      <w:r>
        <w:t>ÉVFOLYAM 2018. 3–4. SZÁM Ausstieg aus dem Verfahren des Tötens männlicher Küken Umsetzung und Möglichkeiten, Kriterien und Standards für ökologische und konventionelle Aufzucht. 11. ÉVFOLYAM. 108. 10.21637/GT.2018.3-4.07.</w:t>
      </w:r>
    </w:p>
  </w:footnote>
  <w:footnote w:id="6">
    <w:p w14:paraId="3A46F60A" w14:textId="77777777" w:rsidR="00B35BD4" w:rsidRPr="00DC4328" w:rsidRDefault="00B35BD4" w:rsidP="00DC4328">
      <w:pPr>
        <w:pStyle w:val="FootnoteText"/>
        <w:rPr>
          <w:szCs w:val="18"/>
        </w:rPr>
      </w:pPr>
      <w:r>
        <w:rPr>
          <w:rStyle w:val="FootnoteReference"/>
          <w:szCs w:val="18"/>
        </w:rPr>
        <w:footnoteRef/>
      </w:r>
      <w:r>
        <w:rPr>
          <w:rStyle w:val="FootnoteReference"/>
          <w:vertAlign w:val="baseline"/>
        </w:rPr>
        <w:t>)</w:t>
      </w:r>
      <w:r>
        <w:tab/>
        <w:t>https://www.bmel-statistik.de/fileadmin/daten/DFB-0100200-2019.pdf, S.3.</w:t>
      </w:r>
    </w:p>
  </w:footnote>
  <w:footnote w:id="7">
    <w:p w14:paraId="4F59A50A" w14:textId="77777777" w:rsidR="00B35BD4" w:rsidRPr="00DC4328" w:rsidRDefault="00B35BD4" w:rsidP="00DC4328">
      <w:pPr>
        <w:pStyle w:val="FootnoteText"/>
        <w:rPr>
          <w:szCs w:val="18"/>
        </w:rPr>
      </w:pPr>
      <w:r>
        <w:rPr>
          <w:rStyle w:val="FootnoteReference"/>
          <w:szCs w:val="18"/>
        </w:rPr>
        <w:footnoteRef/>
      </w:r>
      <w:r>
        <w:rPr>
          <w:rStyle w:val="FootnoteReference"/>
          <w:vertAlign w:val="baseline"/>
        </w:rPr>
        <w:t>)</w:t>
      </w:r>
      <w:r>
        <w:tab/>
        <w:t>https://www.bmel-statistik.de/fileadmin/daten/DFB-0100200-2019.pdf, S.3.</w:t>
      </w:r>
    </w:p>
  </w:footnote>
  <w:footnote w:id="8">
    <w:p w14:paraId="3D1D4E72" w14:textId="77777777" w:rsidR="00CC02F5" w:rsidRPr="00DC4328" w:rsidRDefault="00CC02F5" w:rsidP="00DC4328">
      <w:pPr>
        <w:pStyle w:val="FootnoteText"/>
        <w:rPr>
          <w:szCs w:val="18"/>
        </w:rPr>
      </w:pPr>
      <w:r>
        <w:rPr>
          <w:rStyle w:val="FootnoteReference"/>
          <w:szCs w:val="18"/>
        </w:rPr>
        <w:footnoteRef/>
      </w:r>
      <w:r>
        <w:rPr>
          <w:rStyle w:val="FootnoteReference"/>
          <w:vertAlign w:val="baseline"/>
        </w:rPr>
        <w:t>)</w:t>
      </w:r>
      <w:r>
        <w:tab/>
        <w:t xml:space="preserve">Stellungnahme des Thünen-Institutes 2017 (Einzelbetriebliche Auswirkungen einer spektroskopischen Methode zur Geschlechtsbestimmung von befruchteten Hühnereiern). </w:t>
      </w:r>
    </w:p>
  </w:footnote>
  <w:footnote w:id="9">
    <w:p w14:paraId="28572EC7" w14:textId="77777777"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rPr>
        <w:t>)</w:t>
      </w:r>
      <w:r>
        <w:rPr>
          <w:rFonts w:ascii="Arial" w:hAnsi="Arial"/>
          <w:sz w:val="18"/>
        </w:rPr>
        <w:tab/>
        <w:t>http://apps2.bvl.bund.de/bltu.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D9839" w14:textId="5493E58F" w:rsidR="00B35BD4" w:rsidRPr="00955160" w:rsidRDefault="00955160" w:rsidP="00955160">
    <w:pPr>
      <w:pStyle w:val="Header"/>
    </w:pPr>
    <w:r>
      <w:tab/>
      <w:t xml:space="preserve">- </w:t>
    </w:r>
    <w:r>
      <w:fldChar w:fldCharType="begin"/>
    </w:r>
    <w:r>
      <w:instrText xml:space="preserve"> PAGE  \* MERGEFORMAT </w:instrText>
    </w:r>
    <w:r>
      <w:fldChar w:fldCharType="separate"/>
    </w:r>
    <w:r w:rsidR="0031602C">
      <w:rPr>
        <w:noProof/>
      </w:rPr>
      <w:t>14</w:t>
    </w:r>
    <w:r>
      <w:fldChar w:fldCharType="end"/>
    </w:r>
    <w:r>
      <w:t xml:space="preserve"> -</w:t>
    </w:r>
    <w:r>
      <w:tab/>
    </w:r>
    <w:r>
      <w:rPr>
        <w:sz w:val="18"/>
      </w:rPr>
      <w:t>Revideret: 6.1.2021 kl. 9:47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B2D9" w14:textId="00A64B91" w:rsidR="00B35BD4" w:rsidRPr="00955160" w:rsidRDefault="00955160" w:rsidP="00DC4328">
    <w:pPr>
      <w:pStyle w:val="Header"/>
      <w:jc w:val="right"/>
    </w:pPr>
    <w:r>
      <w:rPr>
        <w:sz w:val="18"/>
      </w:rPr>
      <w:t>Revideret: 6.1.2021 kl. 9:47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20B040F4"/>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A0DA5290"/>
    <w:lvl w:ilvl="0" w:tplc="04090011">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90A48390"/>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395"/>
        </w:tabs>
        <w:ind w:left="439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AD73202"/>
    <w:multiLevelType w:val="multilevel"/>
    <w:tmpl w:val="630C2424"/>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395"/>
        </w:tabs>
        <w:ind w:left="4395" w:hanging="425"/>
      </w:pPr>
      <w:rPr>
        <w:rFonts w:hint="default"/>
      </w:rPr>
    </w:lvl>
    <w:lvl w:ilvl="4">
      <w:start w:val="1"/>
      <w:numFmt w:val="decimal"/>
      <w:lvlText w:val="%5)"/>
      <w:lvlJc w:val="left"/>
      <w:pPr>
        <w:tabs>
          <w:tab w:val="num" w:pos="850"/>
        </w:tabs>
        <w:ind w:left="850" w:hanging="425"/>
      </w:pPr>
      <w:rPr>
        <w:rFonts w:hint="default"/>
      </w:rPr>
    </w:lvl>
    <w:lvl w:ilvl="5">
      <w:start w:val="1"/>
      <w:numFmt w:val="lowerLetter"/>
      <w:lvlText w:val="%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6"/>
  </w:num>
  <w:num w:numId="5">
    <w:abstractNumId w:val="17"/>
  </w:num>
  <w:num w:numId="6">
    <w:abstractNumId w:val="3"/>
  </w:num>
  <w:num w:numId="7">
    <w:abstractNumId w:val="10"/>
  </w:num>
  <w:num w:numId="8">
    <w:abstractNumId w:val="0"/>
  </w:num>
  <w:num w:numId="9">
    <w:abstractNumId w:val="25"/>
  </w:num>
  <w:num w:numId="10">
    <w:abstractNumId w:val="12"/>
  </w:num>
  <w:num w:numId="11">
    <w:abstractNumId w:val="21"/>
  </w:num>
  <w:num w:numId="12">
    <w:abstractNumId w:val="2"/>
  </w:num>
  <w:num w:numId="13">
    <w:abstractNumId w:val="16"/>
  </w:num>
  <w:num w:numId="14">
    <w:abstractNumId w:val="7"/>
  </w:num>
  <w:num w:numId="15">
    <w:abstractNumId w:val="6"/>
  </w:num>
  <w:num w:numId="16">
    <w:abstractNumId w:val="15"/>
  </w:num>
  <w:num w:numId="17">
    <w:abstractNumId w:val="22"/>
  </w:num>
  <w:num w:numId="18">
    <w:abstractNumId w:val="8"/>
  </w:num>
  <w:num w:numId="19">
    <w:abstractNumId w:val="13"/>
  </w:num>
  <w:num w:numId="20">
    <w:abstractNumId w:val="1"/>
  </w:num>
  <w:num w:numId="21">
    <w:abstractNumId w:val="14"/>
  </w:num>
  <w:num w:numId="22">
    <w:abstractNumId w:val="4"/>
  </w:num>
  <w:num w:numId="23">
    <w:abstractNumId w:val="24"/>
  </w:num>
  <w:num w:numId="24">
    <w:abstractNumId w:val="23"/>
  </w:num>
  <w:num w:numId="25">
    <w:abstractNumId w:val="9"/>
  </w:num>
  <w:num w:numId="26">
    <w:abstractNumId w:val="2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BC5"/>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1602C"/>
    <w:rsid w:val="00321A38"/>
    <w:rsid w:val="00327DC3"/>
    <w:rsid w:val="00331D5E"/>
    <w:rsid w:val="00332190"/>
    <w:rsid w:val="0033244A"/>
    <w:rsid w:val="00335C3A"/>
    <w:rsid w:val="00346282"/>
    <w:rsid w:val="00351C68"/>
    <w:rsid w:val="003555E9"/>
    <w:rsid w:val="00361DEC"/>
    <w:rsid w:val="003662FD"/>
    <w:rsid w:val="00373723"/>
    <w:rsid w:val="00373744"/>
    <w:rsid w:val="00374761"/>
    <w:rsid w:val="00374A13"/>
    <w:rsid w:val="00387B35"/>
    <w:rsid w:val="00395427"/>
    <w:rsid w:val="00395BC6"/>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9F6F1D"/>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tabs>
        <w:tab w:val="clear" w:pos="4395"/>
        <w:tab w:val="num" w:pos="425"/>
      </w:tabs>
      <w:ind w:left="425"/>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8685-4A5A-45B9-821B-A1D125B1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5299</Words>
  <Characters>30206</Characters>
  <Application>Microsoft Office Word</Application>
  <DocSecurity>0</DocSecurity>
  <Lines>251</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Ke, Tingting</cp:lastModifiedBy>
  <cp:revision>5</cp:revision>
  <cp:lastPrinted>2021-01-05T15:59:00Z</cp:lastPrinted>
  <dcterms:created xsi:type="dcterms:W3CDTF">2021-01-25T15:32:00Z</dcterms:created>
  <dcterms:modified xsi:type="dcterms:W3CDTF">2021-01-27T02:26:00Z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