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Layout w:type="fixed"/>
        <w:tblCellMar>
          <w:left w:w="10" w:type="dxa"/>
          <w:right w:w="10" w:type="dxa"/>
        </w:tblCellMar>
        <w:tblLook w:val="04A0" w:firstRow="1" w:lastRow="0" w:firstColumn="1" w:lastColumn="0" w:noHBand="0" w:noVBand="1"/>
      </w:tblPr>
      <w:tblGrid>
        <w:gridCol w:w="1527"/>
        <w:gridCol w:w="968"/>
        <w:gridCol w:w="1487"/>
      </w:tblGrid>
      <w:tr w:rsidR="003221AE" w14:paraId="16EB613D" w14:textId="77777777" w:rsidTr="0075398C">
        <w:tc>
          <w:tcPr>
            <w:tcW w:w="3982" w:type="dxa"/>
            <w:gridSpan w:val="3"/>
            <w:tcMar>
              <w:top w:w="57" w:type="dxa"/>
              <w:left w:w="57" w:type="dxa"/>
              <w:bottom w:w="57" w:type="dxa"/>
              <w:right w:w="57" w:type="dxa"/>
            </w:tcMar>
          </w:tcPr>
          <w:p w14:paraId="5A0BEF62" w14:textId="77777777" w:rsidR="003221AE" w:rsidRDefault="003221AE" w:rsidP="00AE4D15">
            <w:pPr>
              <w:pStyle w:val="SNREPUBLIQUE"/>
              <w:snapToGrid w:val="0"/>
            </w:pPr>
            <w:r>
              <w:t xml:space="preserve">РЕПУБЛИКА ФРАНЦИЯ</w:t>
            </w:r>
          </w:p>
        </w:tc>
      </w:tr>
      <w:tr w:rsidR="003221AE" w14:paraId="0F821592" w14:textId="77777777" w:rsidTr="0075398C">
        <w:trPr>
          <w:trHeight w:hRule="exact" w:val="113"/>
        </w:trPr>
        <w:tc>
          <w:tcPr>
            <w:tcW w:w="1527" w:type="dxa"/>
            <w:tcMar>
              <w:top w:w="57" w:type="dxa"/>
              <w:left w:w="57" w:type="dxa"/>
              <w:bottom w:w="57" w:type="dxa"/>
              <w:right w:w="57" w:type="dxa"/>
            </w:tcMar>
          </w:tcPr>
          <w:p w14:paraId="5EFE2472" w14:textId="77777777" w:rsidR="003221AE" w:rsidRDefault="003221AE" w:rsidP="00AE4D15">
            <w:pPr>
              <w:pStyle w:val="Standard"/>
              <w:snapToGrid w:val="0"/>
              <w:rPr>
                <w:rFonts w:cs="Tahoma"/>
              </w:rPr>
            </w:pPr>
          </w:p>
        </w:tc>
        <w:tc>
          <w:tcPr>
            <w:tcW w:w="968" w:type="dxa"/>
            <w:tcBorders>
              <w:bottom w:val="single" w:sz="2" w:space="0" w:color="000000"/>
            </w:tcBorders>
            <w:tcMar>
              <w:top w:w="57" w:type="dxa"/>
              <w:left w:w="57" w:type="dxa"/>
              <w:bottom w:w="57" w:type="dxa"/>
              <w:right w:w="57" w:type="dxa"/>
            </w:tcMar>
          </w:tcPr>
          <w:p w14:paraId="56C90799" w14:textId="77777777" w:rsidR="003221AE" w:rsidRDefault="003221AE" w:rsidP="00AE4D15">
            <w:pPr>
              <w:pStyle w:val="Standard"/>
              <w:snapToGrid w:val="0"/>
            </w:pPr>
          </w:p>
        </w:tc>
        <w:tc>
          <w:tcPr>
            <w:tcW w:w="1487" w:type="dxa"/>
            <w:tcMar>
              <w:top w:w="57" w:type="dxa"/>
              <w:left w:w="57" w:type="dxa"/>
              <w:bottom w:w="57" w:type="dxa"/>
              <w:right w:w="57" w:type="dxa"/>
            </w:tcMar>
          </w:tcPr>
          <w:p w14:paraId="79355EC8" w14:textId="77777777" w:rsidR="003221AE" w:rsidRDefault="003221AE" w:rsidP="00AE4D15">
            <w:pPr>
              <w:pStyle w:val="Standard"/>
              <w:snapToGrid w:val="0"/>
            </w:pPr>
          </w:p>
        </w:tc>
      </w:tr>
      <w:tr w:rsidR="003221AE" w14:paraId="7BD2C909" w14:textId="77777777" w:rsidTr="0075398C">
        <w:tc>
          <w:tcPr>
            <w:tcW w:w="3982" w:type="dxa"/>
            <w:gridSpan w:val="3"/>
            <w:tcMar>
              <w:top w:w="57" w:type="dxa"/>
              <w:left w:w="57" w:type="dxa"/>
              <w:bottom w:w="57" w:type="dxa"/>
              <w:right w:w="57" w:type="dxa"/>
            </w:tcMar>
          </w:tcPr>
          <w:p w14:paraId="0C823FB5" w14:textId="25B19FC2" w:rsidR="003221AE" w:rsidRDefault="003221AE" w:rsidP="00E25026">
            <w:pPr>
              <w:pStyle w:val="SNTimbre"/>
            </w:pPr>
            <w:r>
              <w:t xml:space="preserve">Министерство на екологичния преход</w:t>
            </w:r>
            <w:r>
              <w:t xml:space="preserve"> </w:t>
            </w:r>
          </w:p>
        </w:tc>
      </w:tr>
      <w:tr w:rsidR="003221AE" w14:paraId="59866560" w14:textId="77777777" w:rsidTr="0075398C">
        <w:trPr>
          <w:trHeight w:hRule="exact" w:val="227"/>
        </w:trPr>
        <w:tc>
          <w:tcPr>
            <w:tcW w:w="1527" w:type="dxa"/>
            <w:tcMar>
              <w:top w:w="57" w:type="dxa"/>
              <w:left w:w="57" w:type="dxa"/>
              <w:bottom w:w="57" w:type="dxa"/>
              <w:right w:w="57" w:type="dxa"/>
            </w:tcMar>
          </w:tcPr>
          <w:p w14:paraId="607746A5" w14:textId="77777777" w:rsidR="003221AE" w:rsidRDefault="003221AE" w:rsidP="00AE4D15">
            <w:pPr>
              <w:pStyle w:val="Standard"/>
              <w:snapToGrid w:val="0"/>
            </w:pPr>
          </w:p>
        </w:tc>
        <w:tc>
          <w:tcPr>
            <w:tcW w:w="968" w:type="dxa"/>
            <w:tcBorders>
              <w:bottom w:val="single" w:sz="2" w:space="0" w:color="000000"/>
            </w:tcBorders>
            <w:tcMar>
              <w:top w:w="57" w:type="dxa"/>
              <w:left w:w="57" w:type="dxa"/>
              <w:bottom w:w="57" w:type="dxa"/>
              <w:right w:w="57" w:type="dxa"/>
            </w:tcMar>
          </w:tcPr>
          <w:p w14:paraId="5ADE02D4" w14:textId="77777777" w:rsidR="003221AE" w:rsidRDefault="003221AE" w:rsidP="00AE4D15">
            <w:pPr>
              <w:pStyle w:val="Standard"/>
              <w:snapToGrid w:val="0"/>
            </w:pPr>
          </w:p>
        </w:tc>
        <w:tc>
          <w:tcPr>
            <w:tcW w:w="1487" w:type="dxa"/>
            <w:tcMar>
              <w:top w:w="57" w:type="dxa"/>
              <w:left w:w="57" w:type="dxa"/>
              <w:bottom w:w="57" w:type="dxa"/>
              <w:right w:w="57" w:type="dxa"/>
            </w:tcMar>
          </w:tcPr>
          <w:p w14:paraId="121F6585" w14:textId="77777777" w:rsidR="003221AE" w:rsidRDefault="003221AE" w:rsidP="00AE4D15">
            <w:pPr>
              <w:pStyle w:val="Standard"/>
              <w:snapToGrid w:val="0"/>
            </w:pPr>
          </w:p>
        </w:tc>
      </w:tr>
      <w:tr w:rsidR="003221AE" w14:paraId="74FE36F0" w14:textId="77777777" w:rsidTr="0075398C">
        <w:trPr>
          <w:trHeight w:hRule="exact" w:val="227"/>
        </w:trPr>
        <w:tc>
          <w:tcPr>
            <w:tcW w:w="1527" w:type="dxa"/>
            <w:tcMar>
              <w:top w:w="57" w:type="dxa"/>
              <w:left w:w="57" w:type="dxa"/>
              <w:bottom w:w="57" w:type="dxa"/>
              <w:right w:w="57" w:type="dxa"/>
            </w:tcMar>
          </w:tcPr>
          <w:p w14:paraId="13EBE759" w14:textId="77777777" w:rsidR="003221AE" w:rsidRDefault="003221AE" w:rsidP="00AE4D15">
            <w:pPr>
              <w:pStyle w:val="Standard"/>
              <w:snapToGrid w:val="0"/>
            </w:pPr>
          </w:p>
        </w:tc>
        <w:tc>
          <w:tcPr>
            <w:tcW w:w="968" w:type="dxa"/>
            <w:tcMar>
              <w:top w:w="57" w:type="dxa"/>
              <w:left w:w="57" w:type="dxa"/>
              <w:bottom w:w="57" w:type="dxa"/>
              <w:right w:w="57" w:type="dxa"/>
            </w:tcMar>
          </w:tcPr>
          <w:p w14:paraId="5C170225" w14:textId="77777777" w:rsidR="003221AE" w:rsidRDefault="003221AE" w:rsidP="00AE4D15">
            <w:pPr>
              <w:pStyle w:val="Standard"/>
              <w:snapToGrid w:val="0"/>
            </w:pPr>
          </w:p>
        </w:tc>
        <w:tc>
          <w:tcPr>
            <w:tcW w:w="1487" w:type="dxa"/>
            <w:tcMar>
              <w:top w:w="57" w:type="dxa"/>
              <w:left w:w="57" w:type="dxa"/>
              <w:bottom w:w="57" w:type="dxa"/>
              <w:right w:w="57" w:type="dxa"/>
            </w:tcMar>
          </w:tcPr>
          <w:p w14:paraId="79BA23D9" w14:textId="77777777" w:rsidR="003221AE" w:rsidRDefault="003221AE" w:rsidP="00AE4D15">
            <w:pPr>
              <w:pStyle w:val="Standard"/>
              <w:snapToGrid w:val="0"/>
            </w:pPr>
          </w:p>
        </w:tc>
      </w:tr>
    </w:tbl>
    <w:p w14:paraId="578E7FCF" w14:textId="77777777" w:rsidR="003221AE" w:rsidRDefault="003221AE" w:rsidP="00AE4D15">
      <w:pPr>
        <w:pStyle w:val="SNNature"/>
      </w:pPr>
      <w:r>
        <w:t xml:space="preserve">Заповед</w:t>
      </w:r>
      <w:r>
        <w:t xml:space="preserve"> </w:t>
      </w:r>
    </w:p>
    <w:p w14:paraId="10CA1453" w14:textId="2A9E372B" w:rsidR="003221AE" w:rsidRDefault="003221AE" w:rsidP="00AE4D15">
      <w:pPr>
        <w:pStyle w:val="NormalWeb"/>
        <w:spacing w:after="284"/>
        <w:jc w:val="center"/>
        <w:rPr>
          <w:rStyle w:val="StrongEmphasis"/>
          <w:rFonts w:ascii="Times New Roman" w:hAnsi="Times New Roman" w:cs="Times New Roman"/>
        </w:rPr>
      </w:pPr>
      <w:r>
        <w:rPr>
          <w:rStyle w:val="StrongEmphasis"/>
          <w:rFonts w:ascii="Times New Roman" w:hAnsi="Times New Roman"/>
        </w:rPr>
        <w:t xml:space="preserve"> </w:t>
      </w:r>
      <w:r>
        <w:rPr>
          <w:rStyle w:val="StrongEmphasis"/>
          <w:rFonts w:ascii="Times New Roman" w:hAnsi="Times New Roman"/>
        </w:rPr>
        <w:t xml:space="preserve">Относно максимално допустимото съдържание на пластмаса в пластмасови чаши за еднократна употреба</w:t>
      </w:r>
    </w:p>
    <w:p w14:paraId="337A6BC0" w14:textId="47338536" w:rsidR="003221AE" w:rsidRDefault="003221AE" w:rsidP="00AE4D15">
      <w:pPr>
        <w:spacing w:line="240" w:lineRule="auto"/>
        <w:jc w:val="center"/>
        <w:rPr>
          <w:b/>
        </w:rPr>
      </w:pPr>
      <w:r>
        <w:t xml:space="preserve">NOR:</w:t>
      </w:r>
      <w:r>
        <w:t xml:space="preserve"> </w:t>
      </w:r>
      <w:r>
        <w:t xml:space="preserve">TREP2112058A</w:t>
      </w:r>
    </w:p>
    <w:p w14:paraId="7A84760B" w14:textId="77777777" w:rsidR="003D00E7" w:rsidRDefault="003D00E7" w:rsidP="00AE4D15">
      <w:pPr>
        <w:spacing w:line="240" w:lineRule="auto"/>
      </w:pPr>
    </w:p>
    <w:p w14:paraId="46B18745" w14:textId="4B5D19CF"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Засегнати групи</w:t>
      </w:r>
      <w:r>
        <w:rPr>
          <w:i/>
          <w:sz w:val="24"/>
          <w:rFonts w:ascii="Times New Roman" w:hAnsi="Times New Roman"/>
        </w:rPr>
        <w:t xml:space="preserve">:</w:t>
      </w:r>
      <w:r>
        <w:t xml:space="preserve"> </w:t>
      </w:r>
      <w:r>
        <w:rPr>
          <w:i/>
          <w:sz w:val="24"/>
          <w:rFonts w:ascii="Times New Roman" w:hAnsi="Times New Roman"/>
        </w:rPr>
        <w:t xml:space="preserve">физически или юридически лица, които снабдяват, използват, разпространяват или предоставят, срещу заплащане или безплатно, за целите на икономическата си дейност, чаши за еднократна употреба, състоящи се изцяло или частично от пластмасов материал.</w:t>
      </w:r>
      <w:r>
        <w:rPr>
          <w:i/>
          <w:sz w:val="24"/>
          <w:rFonts w:ascii="Times New Roman" w:hAnsi="Times New Roman"/>
        </w:rPr>
        <w:t xml:space="preserve"> </w:t>
      </w:r>
    </w:p>
    <w:p w14:paraId="239F44E6" w14:textId="17F5440F" w:rsidR="009D19F3"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Цел</w:t>
      </w:r>
      <w:r>
        <w:rPr>
          <w:i/>
          <w:sz w:val="24"/>
          <w:rFonts w:ascii="Times New Roman" w:hAnsi="Times New Roman"/>
        </w:rPr>
        <w:t xml:space="preserve">: траектория за прогресивно намаляване на максимално допустимото съдържание на пластмаса в пластмасовите чаши за еднократна употреба.</w:t>
      </w:r>
    </w:p>
    <w:p w14:paraId="3022F56F" w14:textId="0D90C636" w:rsidR="00763273"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Влизане в сила</w:t>
      </w:r>
      <w:r>
        <w:rPr>
          <w:i/>
          <w:sz w:val="24"/>
          <w:rFonts w:ascii="Times New Roman" w:hAnsi="Times New Roman"/>
        </w:rPr>
        <w:t xml:space="preserve">: в деня след датата на публикуване на Заповедта в “Официален вестник”.</w:t>
      </w:r>
    </w:p>
    <w:p w14:paraId="482E80E9" w14:textId="6D6083EB" w:rsidR="003D00E7" w:rsidRPr="003221AE" w:rsidRDefault="00763273" w:rsidP="00AE4D15">
      <w:pPr>
        <w:spacing w:line="240" w:lineRule="auto"/>
        <w:jc w:val="both"/>
        <w:rPr>
          <w:i/>
          <w:sz w:val="24"/>
          <w:szCs w:val="24"/>
          <w:rFonts w:ascii="Times New Roman" w:hAnsi="Times New Roman" w:cs="Times New Roman"/>
        </w:rPr>
      </w:pPr>
      <w:r>
        <w:rPr>
          <w:i/>
          <w:sz w:val="24"/>
          <w:b/>
          <w:rFonts w:ascii="Times New Roman" w:hAnsi="Times New Roman"/>
        </w:rPr>
        <w:t xml:space="preserve">Бележка:</w:t>
      </w:r>
      <w:r>
        <w:rPr>
          <w:i/>
          <w:sz w:val="24"/>
          <w:rFonts w:ascii="Times New Roman" w:hAnsi="Times New Roman"/>
        </w:rPr>
        <w:t xml:space="preserve"> </w:t>
      </w:r>
      <w:r>
        <w:rPr>
          <w:i/>
          <w:sz w:val="24"/>
          <w:rFonts w:ascii="Times New Roman" w:hAnsi="Times New Roman"/>
        </w:rPr>
        <w:t xml:space="preserve">Тази заповед определя максималното съдържание на пластмаса, разрешено в пластмасови чаши за еднократна употреба, считано от 3 юли 2021 г.</w:t>
      </w:r>
      <w:r>
        <w:rPr>
          <w:i/>
          <w:sz w:val="24"/>
          <w:rFonts w:ascii="Times New Roman" w:hAnsi="Times New Roman"/>
        </w:rPr>
        <w:t xml:space="preserve"> </w:t>
      </w:r>
      <w:r>
        <w:rPr>
          <w:i/>
          <w:sz w:val="24"/>
          <w:rFonts w:ascii="Times New Roman" w:hAnsi="Times New Roman"/>
        </w:rPr>
        <w:t xml:space="preserve">Максимално допустимото количество ще се понижава постепенно до нулева стойност на 1 януари 2026 г.</w:t>
      </w:r>
      <w:r>
        <w:rPr>
          <w:i/>
          <w:sz w:val="24"/>
          <w:rFonts w:ascii="Times New Roman" w:hAnsi="Times New Roman"/>
        </w:rPr>
        <w:t xml:space="preserve"> </w:t>
      </w:r>
      <w:r>
        <w:rPr>
          <w:i/>
          <w:sz w:val="24"/>
          <w:rFonts w:ascii="Times New Roman" w:hAnsi="Times New Roman"/>
        </w:rPr>
        <w:t xml:space="preserve">През 2024 г. ще бъде изготвен доклад за напредъка по отношение на алтернативните решения на чашите за еднократна употреба.</w:t>
      </w:r>
      <w:r>
        <w:rPr>
          <w:i/>
          <w:sz w:val="24"/>
          <w:rFonts w:ascii="Times New Roman" w:hAnsi="Times New Roman"/>
        </w:rPr>
        <w:t xml:space="preserve">  </w:t>
      </w:r>
      <w:r>
        <w:rPr>
          <w:i/>
          <w:sz w:val="24"/>
          <w:rFonts w:ascii="Times New Roman" w:hAnsi="Times New Roman"/>
        </w:rPr>
        <w:t xml:space="preserve">Предвиден е краен срок за унищожаване на складови наличности от чаши, произведени или внесени в определените срокове.</w:t>
      </w:r>
    </w:p>
    <w:p w14:paraId="3B143F77" w14:textId="1EE9F5B5" w:rsidR="003221AE" w:rsidRPr="00AE4D15" w:rsidRDefault="003221AE" w:rsidP="00AE4D15">
      <w:pPr>
        <w:pStyle w:val="Standard"/>
        <w:autoSpaceDE w:val="0"/>
        <w:jc w:val="both"/>
        <w:rPr>
          <w:i/>
          <w:kern w:val="0"/>
          <w:rFonts w:eastAsiaTheme="minorHAnsi"/>
        </w:rPr>
      </w:pPr>
      <w:r>
        <w:rPr>
          <w:i/>
          <w:b/>
        </w:rPr>
        <w:t xml:space="preserve">Позовавания:</w:t>
      </w:r>
      <w:r>
        <w:rPr>
          <w:i/>
        </w:rPr>
        <w:t xml:space="preserve"> Заповедта е издадена съгласно член D. 541-330, изменен с Наредба № 2020-1828 от 31 декември 2020 г. относно забраната на някои пластмасови продукти за еднократна употреба.</w:t>
      </w:r>
    </w:p>
    <w:p w14:paraId="12D38363" w14:textId="77777777" w:rsidR="002B354A" w:rsidRPr="00AE4D15" w:rsidRDefault="002B354A" w:rsidP="00AE4D15">
      <w:pPr>
        <w:pStyle w:val="Standard"/>
        <w:autoSpaceDE w:val="0"/>
        <w:jc w:val="both"/>
        <w:rPr>
          <w:rFonts w:eastAsiaTheme="minorHAnsi"/>
          <w:i/>
          <w:kern w:val="0"/>
          <w:lang w:eastAsia="en-US"/>
        </w:rPr>
      </w:pPr>
    </w:p>
    <w:p w14:paraId="384E7470" w14:textId="3647BEE2" w:rsidR="00106A26" w:rsidRPr="00AE4D15" w:rsidRDefault="002B354A" w:rsidP="00AE4D15">
      <w:pPr>
        <w:pStyle w:val="Standard"/>
        <w:autoSpaceDE w:val="0"/>
        <w:jc w:val="both"/>
        <w:rPr>
          <w:i/>
          <w:kern w:val="0"/>
          <w:rFonts w:eastAsiaTheme="minorHAnsi"/>
        </w:rPr>
      </w:pPr>
      <w:r>
        <w:t xml:space="preserve">Тази Заповед е достъпна на уеб сайта на </w:t>
      </w:r>
      <w:r>
        <w:rPr>
          <w:i/>
        </w:rPr>
        <w:t xml:space="preserve">Légifrance</w:t>
      </w:r>
      <w:r>
        <w:t xml:space="preserve"> (</w:t>
      </w:r>
      <w:hyperlink r:id="rId5" w:history="1">
        <w:r>
          <w:rPr>
            <w:i/>
          </w:rPr>
          <w:t xml:space="preserve">https://www.legifrance.gouv.fr</w:t>
        </w:r>
      </w:hyperlink>
      <w:r>
        <w:t xml:space="preserve">).</w:t>
      </w:r>
      <w:r>
        <w:rPr>
          <w:i/>
        </w:rPr>
        <w:t xml:space="preserve"> </w:t>
      </w:r>
    </w:p>
    <w:p w14:paraId="34D5BE36" w14:textId="77777777" w:rsidR="003221AE" w:rsidRPr="00AE4D15" w:rsidRDefault="003221AE" w:rsidP="00AE4D15">
      <w:pPr>
        <w:spacing w:line="240" w:lineRule="auto"/>
        <w:jc w:val="both"/>
        <w:rPr>
          <w:rFonts w:ascii="Times New Roman" w:hAnsi="Times New Roman" w:cs="Times New Roman"/>
          <w:i/>
          <w:sz w:val="24"/>
          <w:szCs w:val="24"/>
        </w:rPr>
      </w:pPr>
    </w:p>
    <w:p w14:paraId="06EEE913" w14:textId="7701491E" w:rsidR="00763273" w:rsidRDefault="00763273" w:rsidP="007B4BDD">
      <w:pPr>
        <w:spacing w:line="240" w:lineRule="auto"/>
        <w:jc w:val="both"/>
        <w:rPr>
          <w:sz w:val="24"/>
          <w:szCs w:val="24"/>
          <w:rFonts w:ascii="Times New Roman" w:hAnsi="Times New Roman" w:cs="Times New Roman"/>
        </w:rPr>
      </w:pPr>
      <w:r>
        <w:rPr>
          <w:sz w:val="24"/>
          <w:rFonts w:ascii="Times New Roman" w:hAnsi="Times New Roman"/>
        </w:rPr>
        <w:t xml:space="preserve">Министърът на екологичния преход и министърът на икономиката, финансите и възстановяването;</w:t>
      </w:r>
    </w:p>
    <w:p w14:paraId="723E0A3D" w14:textId="6366A89B" w:rsidR="007B4BDD"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като взеха предвид Директива (ЕС) 2015/1535 на Европейския парламент и на Съвета от 9 септември 2015 г., установяваща процедурата за предоставянето на информация в сферата на техническите регламенти и правилата относно услугите на информационното общество, и по-специално нотификация № xx до Европейската комисия xx;</w:t>
      </w:r>
    </w:p>
    <w:p w14:paraId="4F350E60" w14:textId="12FEDB29" w:rsidR="007B4BDD" w:rsidRPr="00AE4D15" w:rsidRDefault="007B4BDD" w:rsidP="00AE4D15">
      <w:pPr>
        <w:spacing w:line="240" w:lineRule="auto"/>
        <w:jc w:val="both"/>
        <w:rPr>
          <w:sz w:val="24"/>
          <w:szCs w:val="24"/>
          <w:rFonts w:ascii="Times New Roman" w:hAnsi="Times New Roman" w:cs="Times New Roman"/>
        </w:rPr>
      </w:pPr>
      <w:r>
        <w:rPr>
          <w:sz w:val="24"/>
          <w:rFonts w:ascii="Times New Roman" w:hAnsi="Times New Roman"/>
        </w:rPr>
        <w:t xml:space="preserve">като взеха предвид Директива (ЕС) 2019/904 на Европейския парламент и на Съвета от 5 юни 2019 г. относно намаляването на въздействието на някои пластмасови продукти върху околната среда, и по-специално член 4;</w:t>
      </w:r>
    </w:p>
    <w:p w14:paraId="16702E02" w14:textId="6FC60A7A" w:rsidR="00763273" w:rsidRPr="00733AFF" w:rsidRDefault="00763273" w:rsidP="00AE4D15">
      <w:pPr>
        <w:spacing w:line="240" w:lineRule="auto"/>
        <w:jc w:val="both"/>
        <w:rPr>
          <w:sz w:val="24"/>
          <w:szCs w:val="24"/>
          <w:rFonts w:ascii="Times New Roman" w:hAnsi="Times New Roman" w:cs="Times New Roman"/>
        </w:rPr>
      </w:pPr>
      <w:r>
        <w:rPr>
          <w:sz w:val="24"/>
          <w:rFonts w:ascii="Times New Roman" w:hAnsi="Times New Roman"/>
        </w:rPr>
        <w:t xml:space="preserve">като взеха предвид Кодекса за околната среда, по-специално член L. 541-15-10 и член D. 541-330 (7°);</w:t>
      </w:r>
      <w:r>
        <w:rPr>
          <w:sz w:val="24"/>
          <w:rFonts w:ascii="Times New Roman" w:hAnsi="Times New Roman"/>
        </w:rPr>
        <w:t xml:space="preserve"> </w:t>
      </w:r>
    </w:p>
    <w:p w14:paraId="177AE15F" w14:textId="68514660" w:rsidR="00EE18AF" w:rsidRDefault="00763273" w:rsidP="008C49D1">
      <w:pPr>
        <w:spacing w:line="240" w:lineRule="auto"/>
        <w:jc w:val="both"/>
      </w:pPr>
      <w:r>
        <w:rPr>
          <w:sz w:val="24"/>
          <w:rFonts w:ascii="Times New Roman" w:hAnsi="Times New Roman"/>
        </w:rPr>
        <w:t xml:space="preserve">като взеха предвид декрет № 2020-1828 от 31 декември 2020 г. относно забраната на някои пластмасови продукти за еднократна употреба, и по-специално член 3 от него;</w:t>
      </w:r>
      <w:r>
        <w:rPr>
          <w:sz w:val="24"/>
          <w:rFonts w:ascii="Times New Roman" w:hAnsi="Times New Roman"/>
        </w:rPr>
        <w:t xml:space="preserve"> </w:t>
      </w:r>
    </w:p>
    <w:p w14:paraId="55A5E3C4" w14:textId="0B8B113B" w:rsidR="00F17B54" w:rsidRPr="00AB2D96" w:rsidRDefault="007B4BDD" w:rsidP="00F17B54">
      <w:pPr>
        <w:spacing w:line="240" w:lineRule="auto"/>
        <w:jc w:val="both"/>
        <w:rPr>
          <w:sz w:val="24"/>
          <w:szCs w:val="24"/>
          <w:highlight w:val="yellow"/>
          <w:rFonts w:ascii="Times New Roman" w:hAnsi="Times New Roman" w:cs="Times New Roman"/>
        </w:rPr>
      </w:pPr>
      <w:r>
        <w:rPr>
          <w:sz w:val="24"/>
          <w:rFonts w:ascii="Times New Roman" w:hAnsi="Times New Roman"/>
        </w:rPr>
        <w:t xml:space="preserve">като взеха предвид забележките, направени по време на обществената консултация между </w:t>
      </w:r>
      <w:r>
        <w:rPr>
          <w:sz w:val="24"/>
          <w:highlight w:val="yellow"/>
          <w:rFonts w:ascii="Times New Roman" w:hAnsi="Times New Roman"/>
        </w:rPr>
        <w:t xml:space="preserve">x</w:t>
      </w:r>
      <w:r>
        <w:rPr>
          <w:sz w:val="24"/>
          <w:highlight w:val="yellow"/>
          <w:highlight w:val="yellow"/>
          <w:rFonts w:ascii="Times New Roman" w:hAnsi="Times New Roman"/>
        </w:rPr>
        <w:t xml:space="preserve">x</w:t>
      </w:r>
      <w:r>
        <w:rPr>
          <w:sz w:val="24"/>
          <w:rFonts w:ascii="Times New Roman" w:hAnsi="Times New Roman"/>
        </w:rPr>
        <w:t xml:space="preserve"> и </w:t>
      </w:r>
      <w:r>
        <w:rPr>
          <w:sz w:val="24"/>
          <w:highlight w:val="yellow"/>
          <w:rFonts w:ascii="Times New Roman" w:hAnsi="Times New Roman"/>
        </w:rPr>
        <w:t xml:space="preserve">x</w:t>
      </w:r>
      <w:r>
        <w:rPr>
          <w:sz w:val="24"/>
          <w:highlight w:val="yellow"/>
          <w:rFonts w:ascii="Times New Roman" w:hAnsi="Times New Roman"/>
        </w:rPr>
        <w:t xml:space="preserve">x</w:t>
      </w:r>
      <w:r>
        <w:rPr>
          <w:sz w:val="24"/>
          <w:rFonts w:ascii="Times New Roman" w:hAnsi="Times New Roman"/>
        </w:rPr>
        <w:t xml:space="preserve">, съгласно член L123-19-1 от Кодекса за околната среда;</w:t>
      </w:r>
    </w:p>
    <w:p w14:paraId="581FC3D2" w14:textId="77777777" w:rsidR="00AE4D15" w:rsidRPr="00733AFF" w:rsidRDefault="00AE4D15" w:rsidP="00AE4D15">
      <w:pPr>
        <w:spacing w:line="240" w:lineRule="auto"/>
        <w:jc w:val="both"/>
        <w:rPr>
          <w:rFonts w:ascii="Times New Roman" w:hAnsi="Times New Roman" w:cs="Times New Roman"/>
          <w:sz w:val="24"/>
          <w:szCs w:val="24"/>
        </w:rPr>
      </w:pPr>
    </w:p>
    <w:p w14:paraId="55A84586" w14:textId="1BD79584" w:rsidR="00763273" w:rsidRDefault="00763273" w:rsidP="00AE4D15">
      <w:pPr>
        <w:spacing w:line="240" w:lineRule="auto"/>
        <w:jc w:val="center"/>
        <w:rPr>
          <w:b/>
          <w:sz w:val="24"/>
          <w:szCs w:val="24"/>
          <w:rFonts w:ascii="Times New Roman" w:hAnsi="Times New Roman" w:cs="Times New Roman"/>
        </w:rPr>
      </w:pPr>
      <w:r>
        <w:rPr>
          <w:b/>
          <w:sz w:val="24"/>
          <w:rFonts w:ascii="Times New Roman" w:hAnsi="Times New Roman"/>
        </w:rPr>
        <w:t xml:space="preserve">с настоящото решиха:</w:t>
      </w:r>
    </w:p>
    <w:p w14:paraId="338017A6" w14:textId="77777777" w:rsidR="00AE4D15" w:rsidRPr="00AE4D15" w:rsidRDefault="00AE4D15" w:rsidP="00AE4D15">
      <w:pPr>
        <w:spacing w:line="240" w:lineRule="auto"/>
        <w:jc w:val="center"/>
        <w:rPr>
          <w:rFonts w:ascii="Times New Roman" w:hAnsi="Times New Roman" w:cs="Times New Roman"/>
          <w:b/>
          <w:sz w:val="24"/>
          <w:szCs w:val="24"/>
        </w:rPr>
      </w:pPr>
    </w:p>
    <w:p w14:paraId="5417F958" w14:textId="77777777" w:rsidR="009A22DE" w:rsidRPr="00733AFF" w:rsidRDefault="009A22DE" w:rsidP="00AE4D15">
      <w:pPr>
        <w:spacing w:line="240" w:lineRule="auto"/>
        <w:jc w:val="center"/>
        <w:rPr>
          <w:b/>
          <w:sz w:val="24"/>
          <w:szCs w:val="24"/>
          <w:rFonts w:ascii="Times New Roman" w:hAnsi="Times New Roman" w:cs="Times New Roman"/>
        </w:rPr>
      </w:pPr>
      <w:r>
        <w:rPr>
          <w:b/>
          <w:sz w:val="24"/>
          <w:rFonts w:ascii="Times New Roman" w:hAnsi="Times New Roman"/>
        </w:rPr>
        <w:t xml:space="preserve">Член 1</w:t>
      </w:r>
    </w:p>
    <w:p w14:paraId="18A02092" w14:textId="415925EE" w:rsidR="00D1255D" w:rsidRDefault="002B1AAC" w:rsidP="00AE4D15">
      <w:pPr>
        <w:spacing w:line="240" w:lineRule="auto"/>
        <w:jc w:val="both"/>
        <w:rPr>
          <w:sz w:val="24"/>
          <w:szCs w:val="24"/>
          <w:rFonts w:ascii="Times New Roman" w:hAnsi="Times New Roman" w:cs="Times New Roman"/>
        </w:rPr>
      </w:pPr>
      <w:r>
        <w:rPr>
          <w:sz w:val="24"/>
          <w:rFonts w:ascii="Times New Roman" w:hAnsi="Times New Roman"/>
        </w:rPr>
        <w:t xml:space="preserve">За целите на прилагането на член D. 541-330 от Кодекса на околната среда 7° „максимално съдържание на пластмаса“ означава максималният процент на масата на пластмаси.</w:t>
      </w:r>
      <w:r>
        <w:rPr>
          <w:sz w:val="24"/>
          <w:rFonts w:ascii="Times New Roman" w:hAnsi="Times New Roman"/>
        </w:rPr>
        <w:t xml:space="preserve">  </w:t>
      </w:r>
    </w:p>
    <w:p w14:paraId="07F42030" w14:textId="77777777" w:rsidR="00D1255D" w:rsidRDefault="00D1255D" w:rsidP="00AE4D15">
      <w:pPr>
        <w:spacing w:line="240" w:lineRule="auto"/>
        <w:jc w:val="both"/>
        <w:rPr>
          <w:rFonts w:ascii="Times New Roman" w:hAnsi="Times New Roman" w:cs="Times New Roman"/>
          <w:sz w:val="24"/>
          <w:szCs w:val="24"/>
        </w:rPr>
      </w:pPr>
    </w:p>
    <w:p w14:paraId="2D115219" w14:textId="77777777" w:rsidR="006B27B9" w:rsidRPr="00AE4D15"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Член 2</w:t>
      </w:r>
    </w:p>
    <w:p w14:paraId="42BB73FD" w14:textId="3BBAD050" w:rsidR="00D61223" w:rsidRDefault="00D70EFE" w:rsidP="00AE4D15">
      <w:pPr>
        <w:spacing w:line="240" w:lineRule="auto"/>
        <w:jc w:val="both"/>
        <w:rPr>
          <w:sz w:val="24"/>
          <w:szCs w:val="24"/>
          <w:rFonts w:ascii="Times New Roman" w:hAnsi="Times New Roman" w:cs="Times New Roman"/>
        </w:rPr>
      </w:pPr>
      <w:r>
        <w:rPr>
          <w:sz w:val="24"/>
          <w:rFonts w:ascii="Times New Roman" w:hAnsi="Times New Roman"/>
        </w:rPr>
        <w:t xml:space="preserve">I. — максимално допустимото съдържание на пластмаса в чашите, посочени в буква б) от 7° D. 541-330, е:</w:t>
      </w:r>
    </w:p>
    <w:p w14:paraId="3E115AD9" w14:textId="35646C56" w:rsidR="007E2794" w:rsidRDefault="007E2794"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15% от 3 юли 2021 г.;</w:t>
      </w:r>
    </w:p>
    <w:p w14:paraId="23F6E32F" w14:textId="0D6E8369" w:rsidR="005260E4" w:rsidRDefault="00BD68E9" w:rsidP="007E2794">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8% от 1 януари 2024 г.;</w:t>
      </w:r>
    </w:p>
    <w:p w14:paraId="0C81AF8F" w14:textId="35CB6EF0" w:rsidR="006B27B9" w:rsidRDefault="00AE012F" w:rsidP="00206988">
      <w:pPr>
        <w:pStyle w:val="ListParagraph"/>
        <w:numPr>
          <w:ilvl w:val="0"/>
          <w:numId w:val="2"/>
        </w:numPr>
        <w:spacing w:line="240" w:lineRule="auto"/>
        <w:jc w:val="both"/>
        <w:rPr>
          <w:sz w:val="24"/>
          <w:szCs w:val="24"/>
          <w:rFonts w:ascii="Times New Roman" w:hAnsi="Times New Roman" w:cs="Times New Roman"/>
        </w:rPr>
      </w:pPr>
      <w:r>
        <w:rPr>
          <w:sz w:val="24"/>
          <w:rFonts w:ascii="Times New Roman" w:hAnsi="Times New Roman"/>
        </w:rPr>
        <w:t xml:space="preserve">В зависимост от заключенията в доклада за напредъка, посочен в II, тъй като считано от 1 януари 2026 г. чашите, които остават разрешени, са такива, които не съдържат пластмаса или остатъчни елементи.</w:t>
      </w:r>
      <w:r>
        <w:rPr>
          <w:sz w:val="24"/>
          <w:rFonts w:ascii="Times New Roman" w:hAnsi="Times New Roman"/>
        </w:rPr>
        <w:t xml:space="preserve"> </w:t>
      </w:r>
      <w:r>
        <w:rPr>
          <w:sz w:val="24"/>
          <w:rFonts w:ascii="Times New Roman" w:hAnsi="Times New Roman"/>
        </w:rPr>
        <w:t xml:space="preserve">Този срок може да бъде преразгледан в съответствие със заключенията от доклада за напредъка.</w:t>
      </w:r>
    </w:p>
    <w:p w14:paraId="73A2C6A4" w14:textId="71C39E8F" w:rsidR="00DD2217" w:rsidRDefault="00D70EFE" w:rsidP="002B5FC6">
      <w:pPr>
        <w:spacing w:line="240" w:lineRule="auto"/>
        <w:jc w:val="both"/>
        <w:rPr>
          <w:sz w:val="24"/>
          <w:szCs w:val="24"/>
          <w:rFonts w:ascii="Times New Roman" w:hAnsi="Times New Roman" w:cs="Times New Roman"/>
        </w:rPr>
      </w:pPr>
      <w:r>
        <w:rPr>
          <w:sz w:val="24"/>
          <w:rFonts w:ascii="Times New Roman" w:hAnsi="Times New Roman"/>
        </w:rPr>
        <w:t xml:space="preserve">II. — През 2004 г. трябва да бъде изготвен доклад за напредъка, след консултация със заинтересованите страни относно напредъка, постигнат при алтернативните решения за пластмасови чаши за еднократна употреба, за да се оцени техническата осъществимост на отсъствието на пластмаса в чашите, които остават разрешени от 1 януари 2026 г.</w:t>
      </w:r>
      <w:r>
        <w:rPr>
          <w:sz w:val="24"/>
          <w:rFonts w:ascii="Times New Roman" w:hAnsi="Times New Roman"/>
        </w:rPr>
        <w:t xml:space="preserve"> </w:t>
      </w:r>
    </w:p>
    <w:p w14:paraId="6F380BA2" w14:textId="417EA6CD" w:rsidR="00F311C2" w:rsidRPr="00F311C2" w:rsidRDefault="00FB6B46" w:rsidP="00F311C2">
      <w:pPr>
        <w:spacing w:line="240" w:lineRule="auto"/>
        <w:jc w:val="both"/>
        <w:rPr>
          <w:sz w:val="24"/>
          <w:szCs w:val="24"/>
          <w:rFonts w:ascii="Times New Roman" w:hAnsi="Times New Roman" w:cs="Times New Roman"/>
        </w:rPr>
      </w:pPr>
      <w:r>
        <w:rPr>
          <w:sz w:val="24"/>
          <w:rFonts w:ascii="Times New Roman" w:hAnsi="Times New Roman"/>
        </w:rPr>
        <w:t xml:space="preserve">III. — За чаши, произведени или внесени преди всеки от сроковете, посочени в I, и които са в съответствие с максимално допустимото съдържание на пластмаса преди тези срокове, се предоставя 6-месечен период след тези срокове за унищожаване на запасите.</w:t>
      </w:r>
    </w:p>
    <w:p w14:paraId="6638B9F8" w14:textId="48B576AE" w:rsidR="006B27B9" w:rsidRPr="00733AFF" w:rsidRDefault="006B27B9" w:rsidP="00AE4D15">
      <w:pPr>
        <w:spacing w:line="240" w:lineRule="auto"/>
        <w:jc w:val="center"/>
        <w:rPr>
          <w:b/>
          <w:sz w:val="24"/>
          <w:szCs w:val="24"/>
          <w:rFonts w:ascii="Times New Roman" w:hAnsi="Times New Roman" w:cs="Times New Roman"/>
        </w:rPr>
      </w:pPr>
      <w:r>
        <w:rPr>
          <w:b/>
          <w:sz w:val="24"/>
          <w:rFonts w:ascii="Times New Roman" w:hAnsi="Times New Roman"/>
        </w:rPr>
        <w:t xml:space="preserve">Член 3</w:t>
      </w:r>
    </w:p>
    <w:p w14:paraId="294341B3" w14:textId="39CAC495"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Генералният директор на дирекция „Превенция на риска“ и генералният директор на Предприятията отговарят за изпълнението на настоящата заповед, която се публикува в “Официален вестник на Френската република”.</w:t>
      </w:r>
    </w:p>
    <w:p w14:paraId="143C4B5E" w14:textId="77777777" w:rsidR="006B27B9" w:rsidRDefault="006B27B9" w:rsidP="00AE4D15">
      <w:pPr>
        <w:spacing w:line="240" w:lineRule="auto"/>
        <w:jc w:val="both"/>
        <w:rPr>
          <w:rFonts w:ascii="Times New Roman" w:hAnsi="Times New Roman" w:cs="Times New Roman"/>
          <w:sz w:val="24"/>
          <w:szCs w:val="24"/>
        </w:rPr>
      </w:pPr>
    </w:p>
    <w:p w14:paraId="682418BB" w14:textId="77777777" w:rsidR="006B27B9" w:rsidRDefault="006B27B9" w:rsidP="00AE4D15">
      <w:pPr>
        <w:spacing w:line="240" w:lineRule="auto"/>
        <w:jc w:val="both"/>
        <w:rPr>
          <w:sz w:val="24"/>
          <w:szCs w:val="24"/>
          <w:rFonts w:ascii="Times New Roman" w:hAnsi="Times New Roman" w:cs="Times New Roman"/>
        </w:rPr>
      </w:pPr>
      <w:r>
        <w:rPr>
          <w:sz w:val="24"/>
          <w:rFonts w:ascii="Times New Roman" w:hAnsi="Times New Roman"/>
        </w:rPr>
        <w:t xml:space="preserve">От дата</w:t>
      </w:r>
      <w:r>
        <w:rPr>
          <w:sz w:val="24"/>
          <w:rFonts w:ascii="Times New Roman" w:hAnsi="Times New Roman"/>
        </w:rPr>
        <w:t xml:space="preserve"> </w:t>
      </w:r>
    </w:p>
    <w:p w14:paraId="4BD5B7FE"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Министърът на екологичния преход,</w:t>
      </w:r>
    </w:p>
    <w:p w14:paraId="610060FD" w14:textId="77777777" w:rsidR="005F2B32" w:rsidRP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За и от името на министъра:</w:t>
      </w:r>
    </w:p>
    <w:p w14:paraId="6695C251" w14:textId="77777777" w:rsidR="005F2B32" w:rsidRDefault="005F2B32" w:rsidP="005F2B32">
      <w:pPr>
        <w:spacing w:line="240" w:lineRule="auto"/>
        <w:rPr>
          <w:sz w:val="24"/>
          <w:szCs w:val="24"/>
          <w:rFonts w:ascii="Times New Roman" w:hAnsi="Times New Roman" w:cs="Times New Roman"/>
        </w:rPr>
      </w:pPr>
      <w:r>
        <w:rPr>
          <w:sz w:val="24"/>
          <w:rFonts w:ascii="Times New Roman" w:hAnsi="Times New Roman"/>
        </w:rPr>
        <w:t xml:space="preserve">Генералният директор на дирекция „Превенция на риска“</w:t>
      </w:r>
      <w:r>
        <w:rPr>
          <w:sz w:val="24"/>
          <w:rFonts w:ascii="Times New Roman" w:hAnsi="Times New Roman"/>
        </w:rPr>
        <w:t xml:space="preserve"> </w:t>
      </w:r>
    </w:p>
    <w:p w14:paraId="1A4C99A9" w14:textId="77777777" w:rsidR="005F2B32" w:rsidRDefault="005F2B32" w:rsidP="005F2B32">
      <w:pPr>
        <w:spacing w:line="240" w:lineRule="auto"/>
        <w:rPr>
          <w:rFonts w:ascii="Times New Roman" w:hAnsi="Times New Roman" w:cs="Times New Roman"/>
          <w:sz w:val="24"/>
          <w:szCs w:val="24"/>
        </w:rPr>
      </w:pPr>
    </w:p>
    <w:p w14:paraId="07AFA205" w14:textId="77777777" w:rsidR="00F6699E" w:rsidRDefault="00F6699E" w:rsidP="005F2B32">
      <w:pPr>
        <w:spacing w:line="240" w:lineRule="auto"/>
        <w:rPr>
          <w:rFonts w:ascii="Times New Roman" w:hAnsi="Times New Roman" w:cs="Times New Roman"/>
          <w:sz w:val="24"/>
          <w:szCs w:val="24"/>
        </w:rPr>
      </w:pPr>
    </w:p>
    <w:p w14:paraId="3991007D" w14:textId="6872ADF5" w:rsidR="007B4BDD" w:rsidRPr="007B4BDD" w:rsidRDefault="007B4BDD" w:rsidP="00AB2D96">
      <w:pPr>
        <w:spacing w:line="240" w:lineRule="auto"/>
        <w:ind w:left="4248"/>
        <w:rPr>
          <w:sz w:val="24"/>
          <w:szCs w:val="24"/>
          <w:rFonts w:ascii="Times New Roman" w:hAnsi="Times New Roman" w:cs="Times New Roman"/>
        </w:rPr>
      </w:pPr>
      <w:r>
        <w:rPr>
          <w:sz w:val="24"/>
          <w:rFonts w:ascii="Times New Roman" w:hAnsi="Times New Roman"/>
        </w:rPr>
        <w:t xml:space="preserve">Министърът на икономиката и финансите и възстановяването</w:t>
      </w:r>
    </w:p>
    <w:p w14:paraId="0ACC9840" w14:textId="77777777" w:rsidR="007B4BDD" w:rsidRPr="007B4BDD"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За и от името на министъра:</w:t>
      </w:r>
    </w:p>
    <w:p w14:paraId="77E74113" w14:textId="65F984BF" w:rsidR="00F6699E" w:rsidRDefault="007B4BDD" w:rsidP="00AB2D96">
      <w:pPr>
        <w:spacing w:line="240" w:lineRule="auto"/>
        <w:ind w:left="3540" w:firstLine="708"/>
        <w:rPr>
          <w:sz w:val="24"/>
          <w:szCs w:val="24"/>
          <w:rFonts w:ascii="Times New Roman" w:hAnsi="Times New Roman" w:cs="Times New Roman"/>
        </w:rPr>
      </w:pPr>
      <w:r>
        <w:rPr>
          <w:sz w:val="24"/>
          <w:rFonts w:ascii="Times New Roman" w:hAnsi="Times New Roman"/>
        </w:rPr>
        <w:t xml:space="preserve">Генералният директор на Предприятията</w:t>
      </w:r>
    </w:p>
    <w:p w14:paraId="7DB87CFF" w14:textId="77777777" w:rsidR="00F6699E" w:rsidRDefault="00F6699E" w:rsidP="005F2B32">
      <w:pPr>
        <w:spacing w:line="240" w:lineRule="auto"/>
        <w:rPr>
          <w:rFonts w:ascii="Times New Roman" w:hAnsi="Times New Roman" w:cs="Times New Roman"/>
          <w:sz w:val="24"/>
          <w:szCs w:val="24"/>
        </w:rPr>
      </w:pPr>
    </w:p>
    <w:p w14:paraId="357FB061" w14:textId="17A63B86" w:rsidR="00BF637F" w:rsidRPr="00733AFF" w:rsidRDefault="008E73A1" w:rsidP="00AB2D96">
      <w:pPr>
        <w:rPr>
          <w:rFonts w:ascii="Times New Roman" w:hAnsi="Times New Roman" w:cs="Times New Roman"/>
          <w:sz w:val="24"/>
          <w:szCs w:val="24"/>
        </w:rPr>
      </w:pPr>
    </w:p>
    <w:sectPr w:rsidR="00BF637F" w:rsidRPr="00733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3A6"/>
    <w:multiLevelType w:val="hybridMultilevel"/>
    <w:tmpl w:val="34F6495C"/>
    <w:lvl w:ilvl="0" w:tplc="020254B0">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604BA1"/>
    <w:multiLevelType w:val="hybridMultilevel"/>
    <w:tmpl w:val="5CF6D830"/>
    <w:lvl w:ilvl="0" w:tplc="901AA7A8">
      <w:start w:val="2"/>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D14EBC"/>
    <w:multiLevelType w:val="hybridMultilevel"/>
    <w:tmpl w:val="3EF46994"/>
    <w:lvl w:ilvl="0" w:tplc="4E78E7C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3"/>
    <w:rsid w:val="00000EC1"/>
    <w:rsid w:val="000077F1"/>
    <w:rsid w:val="0004588F"/>
    <w:rsid w:val="000A6EB2"/>
    <w:rsid w:val="000F5F9F"/>
    <w:rsid w:val="00106A26"/>
    <w:rsid w:val="00117C37"/>
    <w:rsid w:val="00121371"/>
    <w:rsid w:val="00122D87"/>
    <w:rsid w:val="00141A34"/>
    <w:rsid w:val="00162611"/>
    <w:rsid w:val="0018140A"/>
    <w:rsid w:val="0018241B"/>
    <w:rsid w:val="001B237F"/>
    <w:rsid w:val="00215ADA"/>
    <w:rsid w:val="002273B6"/>
    <w:rsid w:val="002678E0"/>
    <w:rsid w:val="00283922"/>
    <w:rsid w:val="002A01C4"/>
    <w:rsid w:val="002B1AAC"/>
    <w:rsid w:val="002B1CA6"/>
    <w:rsid w:val="002B354A"/>
    <w:rsid w:val="002B5FC6"/>
    <w:rsid w:val="002D74EA"/>
    <w:rsid w:val="002E6B39"/>
    <w:rsid w:val="003221AE"/>
    <w:rsid w:val="00342219"/>
    <w:rsid w:val="00363F2D"/>
    <w:rsid w:val="00370790"/>
    <w:rsid w:val="003723F8"/>
    <w:rsid w:val="00387990"/>
    <w:rsid w:val="00387BAA"/>
    <w:rsid w:val="003D00E7"/>
    <w:rsid w:val="003D5107"/>
    <w:rsid w:val="003E4344"/>
    <w:rsid w:val="003F12A6"/>
    <w:rsid w:val="00401482"/>
    <w:rsid w:val="0040286F"/>
    <w:rsid w:val="00423474"/>
    <w:rsid w:val="004354EB"/>
    <w:rsid w:val="00482B59"/>
    <w:rsid w:val="004B6799"/>
    <w:rsid w:val="004F292D"/>
    <w:rsid w:val="004F6DBE"/>
    <w:rsid w:val="00513845"/>
    <w:rsid w:val="00524256"/>
    <w:rsid w:val="005260E4"/>
    <w:rsid w:val="0055159D"/>
    <w:rsid w:val="0059117B"/>
    <w:rsid w:val="005C6909"/>
    <w:rsid w:val="005C6D5F"/>
    <w:rsid w:val="005E274E"/>
    <w:rsid w:val="005E3324"/>
    <w:rsid w:val="005F110E"/>
    <w:rsid w:val="005F2B32"/>
    <w:rsid w:val="0064736D"/>
    <w:rsid w:val="006722D5"/>
    <w:rsid w:val="006919E7"/>
    <w:rsid w:val="00694BF3"/>
    <w:rsid w:val="006A52C5"/>
    <w:rsid w:val="006B24DB"/>
    <w:rsid w:val="006B2699"/>
    <w:rsid w:val="006B27B9"/>
    <w:rsid w:val="006B2E1F"/>
    <w:rsid w:val="006C2446"/>
    <w:rsid w:val="006D1241"/>
    <w:rsid w:val="007066BD"/>
    <w:rsid w:val="00733AFF"/>
    <w:rsid w:val="00742BBE"/>
    <w:rsid w:val="00762BB1"/>
    <w:rsid w:val="00763273"/>
    <w:rsid w:val="00774498"/>
    <w:rsid w:val="007A654B"/>
    <w:rsid w:val="007B4BDD"/>
    <w:rsid w:val="007D66FD"/>
    <w:rsid w:val="007E2794"/>
    <w:rsid w:val="007E6DA3"/>
    <w:rsid w:val="008048BC"/>
    <w:rsid w:val="0080503C"/>
    <w:rsid w:val="00805A4E"/>
    <w:rsid w:val="00822DAC"/>
    <w:rsid w:val="00823A6B"/>
    <w:rsid w:val="00853577"/>
    <w:rsid w:val="00861DF6"/>
    <w:rsid w:val="00866C7A"/>
    <w:rsid w:val="0088162F"/>
    <w:rsid w:val="008A2977"/>
    <w:rsid w:val="008C49D1"/>
    <w:rsid w:val="008C7286"/>
    <w:rsid w:val="008D0D3B"/>
    <w:rsid w:val="008E73A1"/>
    <w:rsid w:val="008F57A1"/>
    <w:rsid w:val="00911E42"/>
    <w:rsid w:val="009477DF"/>
    <w:rsid w:val="00952CB3"/>
    <w:rsid w:val="009838D9"/>
    <w:rsid w:val="009A22DE"/>
    <w:rsid w:val="009A7FB3"/>
    <w:rsid w:val="009B665B"/>
    <w:rsid w:val="009D19F3"/>
    <w:rsid w:val="00A14D1B"/>
    <w:rsid w:val="00A20387"/>
    <w:rsid w:val="00A22D8F"/>
    <w:rsid w:val="00A36DEC"/>
    <w:rsid w:val="00A659BB"/>
    <w:rsid w:val="00A75B5E"/>
    <w:rsid w:val="00AA45AC"/>
    <w:rsid w:val="00AB2D96"/>
    <w:rsid w:val="00AE012F"/>
    <w:rsid w:val="00AE4D15"/>
    <w:rsid w:val="00AF321C"/>
    <w:rsid w:val="00B143B7"/>
    <w:rsid w:val="00B30F08"/>
    <w:rsid w:val="00B44787"/>
    <w:rsid w:val="00B506B2"/>
    <w:rsid w:val="00B738C5"/>
    <w:rsid w:val="00B74B3E"/>
    <w:rsid w:val="00BD68E9"/>
    <w:rsid w:val="00C22CF3"/>
    <w:rsid w:val="00C2576F"/>
    <w:rsid w:val="00C33C40"/>
    <w:rsid w:val="00C92B4A"/>
    <w:rsid w:val="00CC06F9"/>
    <w:rsid w:val="00CC6E54"/>
    <w:rsid w:val="00CD723B"/>
    <w:rsid w:val="00CE5CDB"/>
    <w:rsid w:val="00CE6194"/>
    <w:rsid w:val="00D11BF2"/>
    <w:rsid w:val="00D1255D"/>
    <w:rsid w:val="00D15AED"/>
    <w:rsid w:val="00D61223"/>
    <w:rsid w:val="00D70EFE"/>
    <w:rsid w:val="00D816DF"/>
    <w:rsid w:val="00DA4A7C"/>
    <w:rsid w:val="00DD2217"/>
    <w:rsid w:val="00DE1B9A"/>
    <w:rsid w:val="00E11BA6"/>
    <w:rsid w:val="00E20959"/>
    <w:rsid w:val="00E25026"/>
    <w:rsid w:val="00E45DCE"/>
    <w:rsid w:val="00E6194F"/>
    <w:rsid w:val="00E91183"/>
    <w:rsid w:val="00E96C41"/>
    <w:rsid w:val="00EA477A"/>
    <w:rsid w:val="00EB3F63"/>
    <w:rsid w:val="00EC0E2C"/>
    <w:rsid w:val="00ED674D"/>
    <w:rsid w:val="00EE1824"/>
    <w:rsid w:val="00EE18AF"/>
    <w:rsid w:val="00EE5A5D"/>
    <w:rsid w:val="00F17B54"/>
    <w:rsid w:val="00F27F08"/>
    <w:rsid w:val="00F311C2"/>
    <w:rsid w:val="00F6699E"/>
    <w:rsid w:val="00FB34D8"/>
    <w:rsid w:val="00FB69AD"/>
    <w:rsid w:val="00FB6B46"/>
    <w:rsid w:val="00FD1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D5D6"/>
  <w15:chartTrackingRefBased/>
  <w15:docId w15:val="{E401B12C-71C5-4C58-9F5F-84CE2690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221A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NREPUBLIQUE">
    <w:name w:val="SNREPUBLIQUE"/>
    <w:basedOn w:val="Standard"/>
    <w:rsid w:val="003221AE"/>
    <w:pPr>
      <w:jc w:val="center"/>
    </w:pPr>
    <w:rPr>
      <w:b/>
      <w:bCs/>
      <w:szCs w:val="20"/>
    </w:rPr>
  </w:style>
  <w:style w:type="paragraph" w:customStyle="1" w:styleId="SNTimbre">
    <w:name w:val="SNTimbre"/>
    <w:basedOn w:val="Standard"/>
    <w:rsid w:val="003221AE"/>
    <w:pPr>
      <w:widowControl w:val="0"/>
      <w:snapToGrid w:val="0"/>
      <w:spacing w:before="120"/>
      <w:jc w:val="center"/>
    </w:pPr>
    <w:rPr>
      <w:rFonts w:eastAsia="Lucida Sans Unicode"/>
    </w:rPr>
  </w:style>
  <w:style w:type="paragraph" w:customStyle="1" w:styleId="SNNature">
    <w:name w:val="SNNature"/>
    <w:basedOn w:val="Standard"/>
    <w:next w:val="Normal"/>
    <w:rsid w:val="003221AE"/>
    <w:pPr>
      <w:widowControl w:val="0"/>
      <w:suppressLineNumbers/>
      <w:spacing w:before="720" w:after="120"/>
      <w:jc w:val="center"/>
    </w:pPr>
    <w:rPr>
      <w:rFonts w:eastAsia="Lucida Sans Unicode"/>
      <w:b/>
      <w:bCs/>
    </w:rPr>
  </w:style>
  <w:style w:type="paragraph" w:styleId="NormalWeb">
    <w:name w:val="Normal (Web)"/>
    <w:basedOn w:val="Standard"/>
    <w:rsid w:val="003221AE"/>
    <w:pPr>
      <w:spacing w:before="280" w:after="119"/>
    </w:pPr>
    <w:rPr>
      <w:rFonts w:ascii="Arial Unicode MS" w:eastAsia="Arial Unicode MS" w:hAnsi="Arial Unicode MS" w:cs="Arial Unicode MS"/>
    </w:rPr>
  </w:style>
  <w:style w:type="character" w:customStyle="1" w:styleId="StrongEmphasis">
    <w:name w:val="Strong Emphasis"/>
    <w:basedOn w:val="DefaultParagraphFont"/>
    <w:rsid w:val="003221AE"/>
    <w:rPr>
      <w:b/>
      <w:bCs/>
    </w:rPr>
  </w:style>
  <w:style w:type="character" w:customStyle="1" w:styleId="Internetlink">
    <w:name w:val="Internet link"/>
    <w:basedOn w:val="DefaultParagraphFont"/>
    <w:rsid w:val="003221AE"/>
    <w:rPr>
      <w:color w:val="0000FF"/>
      <w:u w:val="single"/>
    </w:rPr>
  </w:style>
  <w:style w:type="paragraph" w:styleId="BalloonText">
    <w:name w:val="Balloon Text"/>
    <w:basedOn w:val="Normal"/>
    <w:link w:val="BalloonTextChar"/>
    <w:uiPriority w:val="99"/>
    <w:semiHidden/>
    <w:unhideWhenUsed/>
    <w:rsid w:val="00B14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3B7"/>
    <w:rPr>
      <w:rFonts w:ascii="Segoe UI" w:hAnsi="Segoe UI" w:cs="Segoe UI"/>
      <w:sz w:val="18"/>
      <w:szCs w:val="18"/>
    </w:rPr>
  </w:style>
  <w:style w:type="paragraph" w:styleId="ListParagraph">
    <w:name w:val="List Paragraph"/>
    <w:basedOn w:val="Normal"/>
    <w:uiPriority w:val="34"/>
    <w:qFormat/>
    <w:rsid w:val="00866C7A"/>
    <w:pPr>
      <w:ind w:left="720"/>
      <w:contextualSpacing/>
    </w:pPr>
  </w:style>
  <w:style w:type="paragraph" w:customStyle="1" w:styleId="Default">
    <w:name w:val="Default"/>
    <w:rsid w:val="00EE18A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354A"/>
    <w:rPr>
      <w:color w:val="0563C1" w:themeColor="hyperlink"/>
      <w:u w:val="single"/>
    </w:rPr>
  </w:style>
  <w:style w:type="character" w:styleId="CommentReference">
    <w:name w:val="annotation reference"/>
    <w:basedOn w:val="DefaultParagraphFont"/>
    <w:uiPriority w:val="99"/>
    <w:semiHidden/>
    <w:unhideWhenUsed/>
    <w:rsid w:val="004F292D"/>
    <w:rPr>
      <w:sz w:val="16"/>
      <w:szCs w:val="16"/>
    </w:rPr>
  </w:style>
  <w:style w:type="paragraph" w:styleId="CommentText">
    <w:name w:val="annotation text"/>
    <w:basedOn w:val="Normal"/>
    <w:link w:val="CommentTextChar"/>
    <w:uiPriority w:val="99"/>
    <w:semiHidden/>
    <w:unhideWhenUsed/>
    <w:rsid w:val="004F292D"/>
    <w:pPr>
      <w:spacing w:line="240" w:lineRule="auto"/>
    </w:pPr>
    <w:rPr>
      <w:sz w:val="20"/>
      <w:szCs w:val="20"/>
    </w:rPr>
  </w:style>
  <w:style w:type="character" w:customStyle="1" w:styleId="CommentTextChar">
    <w:name w:val="Comment Text Char"/>
    <w:basedOn w:val="DefaultParagraphFont"/>
    <w:link w:val="CommentText"/>
    <w:uiPriority w:val="99"/>
    <w:semiHidden/>
    <w:rsid w:val="004F292D"/>
    <w:rPr>
      <w:sz w:val="20"/>
      <w:szCs w:val="20"/>
    </w:rPr>
  </w:style>
  <w:style w:type="paragraph" w:styleId="CommentSubject">
    <w:name w:val="annotation subject"/>
    <w:basedOn w:val="CommentText"/>
    <w:next w:val="CommentText"/>
    <w:link w:val="CommentSubjectChar"/>
    <w:uiPriority w:val="99"/>
    <w:semiHidden/>
    <w:unhideWhenUsed/>
    <w:rsid w:val="004F292D"/>
    <w:rPr>
      <w:b/>
      <w:bCs/>
    </w:rPr>
  </w:style>
  <w:style w:type="character" w:customStyle="1" w:styleId="CommentSubjectChar">
    <w:name w:val="Comment Subject Char"/>
    <w:basedOn w:val="CommentTextChar"/>
    <w:link w:val="CommentSubject"/>
    <w:uiPriority w:val="99"/>
    <w:semiHidden/>
    <w:rsid w:val="004F292D"/>
    <w:rPr>
      <w:b/>
      <w:bCs/>
      <w:sz w:val="20"/>
      <w:szCs w:val="20"/>
    </w:rPr>
  </w:style>
  <w:style w:type="paragraph" w:styleId="Revision">
    <w:name w:val="Revision"/>
    <w:hidden/>
    <w:uiPriority w:val="99"/>
    <w:semiHidden/>
    <w:rsid w:val="008C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083">
      <w:bodyDiv w:val="1"/>
      <w:marLeft w:val="0"/>
      <w:marRight w:val="0"/>
      <w:marTop w:val="0"/>
      <w:marBottom w:val="0"/>
      <w:divBdr>
        <w:top w:val="none" w:sz="0" w:space="0" w:color="auto"/>
        <w:left w:val="none" w:sz="0" w:space="0" w:color="auto"/>
        <w:bottom w:val="none" w:sz="0" w:space="0" w:color="auto"/>
        <w:right w:val="none" w:sz="0" w:space="0" w:color="auto"/>
      </w:divBdr>
    </w:div>
    <w:div w:id="470564562">
      <w:bodyDiv w:val="1"/>
      <w:marLeft w:val="0"/>
      <w:marRight w:val="0"/>
      <w:marTop w:val="0"/>
      <w:marBottom w:val="0"/>
      <w:divBdr>
        <w:top w:val="none" w:sz="0" w:space="0" w:color="auto"/>
        <w:left w:val="none" w:sz="0" w:space="0" w:color="auto"/>
        <w:bottom w:val="none" w:sz="0" w:space="0" w:color="auto"/>
        <w:right w:val="none" w:sz="0" w:space="0" w:color="auto"/>
      </w:divBdr>
      <w:divsChild>
        <w:div w:id="83691809">
          <w:marLeft w:val="0"/>
          <w:marRight w:val="0"/>
          <w:marTop w:val="0"/>
          <w:marBottom w:val="0"/>
          <w:divBdr>
            <w:top w:val="none" w:sz="0" w:space="0" w:color="auto"/>
            <w:left w:val="none" w:sz="0" w:space="0" w:color="auto"/>
            <w:bottom w:val="none" w:sz="0" w:space="0" w:color="auto"/>
            <w:right w:val="none" w:sz="0" w:space="0" w:color="auto"/>
          </w:divBdr>
        </w:div>
        <w:div w:id="1245409056">
          <w:marLeft w:val="0"/>
          <w:marRight w:val="0"/>
          <w:marTop w:val="0"/>
          <w:marBottom w:val="0"/>
          <w:divBdr>
            <w:top w:val="none" w:sz="0" w:space="0" w:color="auto"/>
            <w:left w:val="none" w:sz="0" w:space="0" w:color="auto"/>
            <w:bottom w:val="none" w:sz="0" w:space="0" w:color="auto"/>
            <w:right w:val="none" w:sz="0" w:space="0" w:color="auto"/>
          </w:divBdr>
        </w:div>
        <w:div w:id="1243639165">
          <w:marLeft w:val="0"/>
          <w:marRight w:val="0"/>
          <w:marTop w:val="0"/>
          <w:marBottom w:val="0"/>
          <w:divBdr>
            <w:top w:val="none" w:sz="0" w:space="0" w:color="auto"/>
            <w:left w:val="none" w:sz="0" w:space="0" w:color="auto"/>
            <w:bottom w:val="none" w:sz="0" w:space="0" w:color="auto"/>
            <w:right w:val="none" w:sz="0" w:space="0" w:color="auto"/>
          </w:divBdr>
        </w:div>
        <w:div w:id="2057001583">
          <w:marLeft w:val="0"/>
          <w:marRight w:val="0"/>
          <w:marTop w:val="0"/>
          <w:marBottom w:val="0"/>
          <w:divBdr>
            <w:top w:val="none" w:sz="0" w:space="0" w:color="auto"/>
            <w:left w:val="none" w:sz="0" w:space="0" w:color="auto"/>
            <w:bottom w:val="none" w:sz="0" w:space="0" w:color="auto"/>
            <w:right w:val="none" w:sz="0" w:space="0" w:color="auto"/>
          </w:divBdr>
        </w:div>
        <w:div w:id="156073837">
          <w:marLeft w:val="0"/>
          <w:marRight w:val="0"/>
          <w:marTop w:val="0"/>
          <w:marBottom w:val="0"/>
          <w:divBdr>
            <w:top w:val="none" w:sz="0" w:space="0" w:color="auto"/>
            <w:left w:val="none" w:sz="0" w:space="0" w:color="auto"/>
            <w:bottom w:val="none" w:sz="0" w:space="0" w:color="auto"/>
            <w:right w:val="none" w:sz="0" w:space="0" w:color="auto"/>
          </w:divBdr>
        </w:div>
      </w:divsChild>
    </w:div>
    <w:div w:id="856384575">
      <w:bodyDiv w:val="1"/>
      <w:marLeft w:val="0"/>
      <w:marRight w:val="0"/>
      <w:marTop w:val="0"/>
      <w:marBottom w:val="0"/>
      <w:divBdr>
        <w:top w:val="none" w:sz="0" w:space="0" w:color="auto"/>
        <w:left w:val="none" w:sz="0" w:space="0" w:color="auto"/>
        <w:bottom w:val="none" w:sz="0" w:space="0" w:color="auto"/>
        <w:right w:val="none" w:sz="0" w:space="0" w:color="auto"/>
      </w:divBdr>
    </w:div>
    <w:div w:id="987709881">
      <w:bodyDiv w:val="1"/>
      <w:marLeft w:val="0"/>
      <w:marRight w:val="0"/>
      <w:marTop w:val="0"/>
      <w:marBottom w:val="0"/>
      <w:divBdr>
        <w:top w:val="none" w:sz="0" w:space="0" w:color="auto"/>
        <w:left w:val="none" w:sz="0" w:space="0" w:color="auto"/>
        <w:bottom w:val="none" w:sz="0" w:space="0" w:color="auto"/>
        <w:right w:val="none" w:sz="0" w:space="0" w:color="auto"/>
      </w:divBdr>
    </w:div>
    <w:div w:id="1027409159">
      <w:bodyDiv w:val="1"/>
      <w:marLeft w:val="0"/>
      <w:marRight w:val="0"/>
      <w:marTop w:val="0"/>
      <w:marBottom w:val="0"/>
      <w:divBdr>
        <w:top w:val="none" w:sz="0" w:space="0" w:color="auto"/>
        <w:left w:val="none" w:sz="0" w:space="0" w:color="auto"/>
        <w:bottom w:val="none" w:sz="0" w:space="0" w:color="auto"/>
        <w:right w:val="none" w:sz="0" w:space="0" w:color="auto"/>
      </w:divBdr>
    </w:div>
    <w:div w:id="1216240748">
      <w:bodyDiv w:val="1"/>
      <w:marLeft w:val="0"/>
      <w:marRight w:val="0"/>
      <w:marTop w:val="0"/>
      <w:marBottom w:val="0"/>
      <w:divBdr>
        <w:top w:val="none" w:sz="0" w:space="0" w:color="auto"/>
        <w:left w:val="none" w:sz="0" w:space="0" w:color="auto"/>
        <w:bottom w:val="none" w:sz="0" w:space="0" w:color="auto"/>
        <w:right w:val="none" w:sz="0" w:space="0" w:color="auto"/>
      </w:divBdr>
    </w:div>
    <w:div w:id="173231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Dimitris Dimitriadis</cp:lastModifiedBy>
  <cp:revision>4</cp:revision>
  <cp:lastPrinted>2020-07-07T16:39:00Z</cp:lastPrinted>
  <dcterms:created xsi:type="dcterms:W3CDTF">2021-04-28T09:13:00Z</dcterms:created>
  <dcterms:modified xsi:type="dcterms:W3CDTF">2021-04-30T09:23:00Z</dcterms:modified>
</cp:coreProperties>
</file>