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 xml:space="preserve">FRANSKE REPUBLIK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Ministeriet for økologisk omstilling</w:t>
            </w:r>
            <w:r>
              <w:t xml:space="preserve">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Bekendtgørelse</w:t>
      </w:r>
      <w:r>
        <w:t xml:space="preserve">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Om det maksimalt tilladte plastindhold i engangsplastbægre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 xml:space="preserve">Nummer:</w:t>
      </w:r>
      <w:r>
        <w:t xml:space="preserve"> </w:t>
      </w:r>
      <w:r>
        <w:t xml:space="preserve">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bCs/>
          <w:rFonts w:ascii="Times New Roman" w:hAnsi="Times New Roman"/>
        </w:rPr>
        <w:t xml:space="preserve">Berørte grupper:</w:t>
      </w:r>
      <w:r>
        <w:t xml:space="preserve"> </w:t>
      </w:r>
      <w:r>
        <w:rPr>
          <w:i/>
          <w:sz w:val="24"/>
          <w:rFonts w:ascii="Times New Roman" w:hAnsi="Times New Roman"/>
        </w:rPr>
        <w:t xml:space="preserve">fysiske eller juridiske personer, der leverer, anvender, distribuerer eller tilgængeliggør, mod eller uden vederlag, med henblik på deres økonomiske virksomhed, engangsbægre, der helt eller delvis består af plastmateriale.</w:t>
      </w:r>
      <w:r>
        <w:rPr>
          <w:i/>
          <w:sz w:val="24"/>
          <w:rFonts w:ascii="Times New Roman" w:hAnsi="Times New Roman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bCs/>
          <w:rFonts w:ascii="Times New Roman" w:hAnsi="Times New Roman"/>
        </w:rPr>
        <w:t xml:space="preserve">Formål:</w:t>
      </w:r>
      <w:r>
        <w:rPr>
          <w:i/>
          <w:sz w:val="24"/>
          <w:rFonts w:ascii="Times New Roman" w:hAnsi="Times New Roman"/>
        </w:rPr>
        <w:t xml:space="preserve"> progressiv reduktionskurs for det maksimalt tilladte plastindhold i engangsplastbægre.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bCs/>
          <w:rFonts w:ascii="Times New Roman" w:hAnsi="Times New Roman"/>
        </w:rPr>
        <w:t xml:space="preserve">Ikrafttræden:</w:t>
      </w:r>
      <w:r>
        <w:rPr>
          <w:i/>
          <w:sz w:val="24"/>
          <w:rFonts w:ascii="Times New Roman" w:hAnsi="Times New Roman"/>
        </w:rPr>
        <w:t xml:space="preserve"> dagen efter offentliggørelsen af bekendtgørelsen i det officielle tidende.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Bemærkning: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Denne bekendtgørelse definerer det maksimale plastindhold, der er tilladt i engangsplastbægre fra den 3. juli 2021.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Det maksimalt tilladte niveau sænkes gradvis til en nulværdi fra 1. januar 2026.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Der skal udarbejdes en statusrapport i 2024 med henblik på at overvåge fremskridtene med hensyn til alternative løsninger for engangsbægre.</w:t>
      </w:r>
      <w:r>
        <w:rPr>
          <w:i/>
          <w:sz w:val="24"/>
          <w:rFonts w:ascii="Times New Roman" w:hAnsi="Times New Roman"/>
        </w:rPr>
        <w:t xml:space="preserve">  </w:t>
      </w:r>
      <w:r>
        <w:rPr>
          <w:i/>
          <w:sz w:val="24"/>
          <w:rFonts w:ascii="Times New Roman" w:hAnsi="Times New Roman"/>
        </w:rPr>
        <w:t xml:space="preserve">Der er fastsat en frist for bortskaffelse af lagre for bægre, der fremstilles eller importeres fra de fastsatte frister.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b/>
        </w:rPr>
        <w:t xml:space="preserve">Referencer:</w:t>
      </w:r>
      <w:r>
        <w:rPr>
          <w:i/>
        </w:rPr>
        <w:t xml:space="preserve"> Bekendtgørelsen er udstedt i henhold til artikel D. 541-330, som ændret ved dekret nr. 2020-1828 af 31. december 2020 om forbud mod visse engangsplastprodukter.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iCs/>
        </w:rPr>
        <w:t xml:space="preserve">Denne bekendtgørelse er tilgængelig på Légifrance-hjemmesiden</w:t>
      </w:r>
      <w:r>
        <w:t xml:space="preserve"> (</w:t>
      </w:r>
      <w:hyperlink r:id="rId5" w:history="1">
        <w:r>
          <w:rPr>
            <w:i/>
          </w:rPr>
          <w:t xml:space="preserve">https://www.legifrance.gouv.fr</w:t>
        </w:r>
      </w:hyperlink>
      <w:r>
        <w:t xml:space="preserve"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økologisk omstilling og ministeren for økonomi, finans og genopretning</w:t>
      </w:r>
    </w:p>
    <w:p w14:paraId="723E0A3D" w14:textId="6366A89B" w:rsidR="007B4BDD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Europa-Parlamentets og Rådets direktiv (EU) 2015/1535 af 9. september 2015 om en informationsprocedure med hensyn til tekniske forskrifter samt forskrifter for informationssamfundets tjenester og meddelelse nr. xx til Europa-Kommissionen xx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Europa-Parlamentets og Rådets direktiv (EU) 2019/904 af 5. juni 2019 om reduktion af visse plastprodukters miljøpåvirkning, navnlig artikel 4,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miljøloven, navnlig artikel L. 541-15-10 og artikel D. 541-330 (7°),</w:t>
      </w:r>
      <w:r>
        <w:rPr>
          <w:sz w:val="24"/>
          <w:rFonts w:ascii="Times New Roman" w:hAnsi="Times New Roman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sz w:val="24"/>
          <w:rFonts w:ascii="Times New Roman" w:hAnsi="Times New Roman"/>
        </w:rPr>
        <w:t xml:space="preserve">Under henvisning til dekret nr. 2020-1828 af 31. december 2020 om forbud mod visse engangsplastprodukter, særlig artikel 3,</w:t>
      </w:r>
      <w:r>
        <w:rPr>
          <w:sz w:val="24"/>
          <w:rFonts w:ascii="Times New Roman" w:hAnsi="Times New Roman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sz w:val="24"/>
          <w:szCs w:val="24"/>
          <w:highlight w:val="yellow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bemærkningerne under den offentlige høring mellem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og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, i henhold til artikel L123-19-1 i miljøloven,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Bestemmes hermed følgende: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 1</w:t>
      </w:r>
    </w:p>
    <w:p w14:paraId="18A02092" w14:textId="415925EE" w:rsidR="00D1255D" w:rsidRDefault="002B1AAC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Ved anvendelse af artikel D. 541-330 i miljøloven 7° forstås ved "maksimale plastindhold" den maksimale masseprocent af plast.</w:t>
      </w:r>
      <w:r>
        <w:rPr>
          <w:sz w:val="24"/>
          <w:rFonts w:ascii="Times New Roman" w:hAnsi="Times New Roman"/>
        </w:rPr>
        <w:t xml:space="preserve">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 2</w:t>
      </w:r>
    </w:p>
    <w:p w14:paraId="42BB73FD" w14:textId="3BBAD050" w:rsidR="00D61223" w:rsidRDefault="00D70EFE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I. — Det maksimalt tilladte plastindhold i de i litra b) nævnte bægre på 7 ° i D. 541-330 er: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15 % fra den 3. juli 2021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8 % fra den 1. januar 2024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Med forbehold af konklusionerne i den statusrapport, der er nævnt i II, er der fra den 1. januar 2026 fortsat tilladt bægre, der ikke indeholder plast eller sporstoffer.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Denne frist kan revideres i overensstemmelse med konklusionerne i statusrapporten.</w:t>
      </w:r>
    </w:p>
    <w:p w14:paraId="73A2C6A4" w14:textId="71C39E8F" w:rsidR="00DD2217" w:rsidRDefault="00D70EFE" w:rsidP="002B5FC6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 — Der skal udarbejdes en statusrapport i 2024 i samråd med de berørte parter om de fremskridt, der er gjort med hensyn til alternative løsninger for engangsplastbægre med henblik på at vurdere den tekniske gennemførlighed af fraværet af plast i de resterende bægre, der er godkendt fra den 1. januar 2026.</w:t>
      </w:r>
      <w:r>
        <w:rPr>
          <w:sz w:val="24"/>
          <w:rFonts w:ascii="Times New Roman" w:hAnsi="Times New Roman"/>
        </w:rPr>
        <w:t xml:space="preserve">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— Bægre, der er fremstillet eller importeret inden hver af de frister, der er nævnt i I, og som overholder det maksimalt tilladte plastindhold inden disse frister, indrømmes en 6-måneders periode til bortskaffelse af lagre fra disse frister.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 3</w:t>
      </w:r>
    </w:p>
    <w:p w14:paraId="294341B3" w14:textId="39CAC495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Generaldirektøren for risikoforebyggelse og generaldirektøren for virksomheder er hver især ansvarlig for gennemførelsen af denne bekendtgørelse, der offentliggøres i Den Franske Republiks officielle tidende.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Dateret</w:t>
      </w:r>
      <w:r>
        <w:rPr>
          <w:sz w:val="24"/>
          <w:rFonts w:ascii="Times New Roman" w:hAnsi="Times New Roman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den økologiske omstilling,</w:t>
      </w:r>
    </w:p>
    <w:p w14:paraId="610060FD" w14:textId="77777777" w:rsidR="005F2B32" w:rsidRP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For og på ministerens vegne:</w:t>
      </w:r>
    </w:p>
    <w:p w14:paraId="6695C251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Generaldirektøren for risikoforebyggelse</w:t>
      </w:r>
      <w:r>
        <w:rPr>
          <w:sz w:val="24"/>
          <w:rFonts w:ascii="Times New Roman" w:hAnsi="Times New Roman"/>
        </w:rPr>
        <w:t xml:space="preserve">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økonomi, finans og genopretning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For og på ministerens vegne: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Generaldirektøren for virksomheder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