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 xml:space="preserve">ΓΑΛΛΙΚΗ ΔΗΜΟΚΡΑΤΙΑ</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Υπουργείο Οικολογικής Μετάβασης</w:t>
            </w:r>
            <w:r>
              <w:t xml:space="preserve">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Διάταγμα της</w:t>
      </w:r>
      <w:r>
        <w:t xml:space="preserv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w:t>
      </w:r>
      <w:r>
        <w:rPr>
          <w:rStyle w:val="StrongEmphasis"/>
          <w:rFonts w:ascii="Times New Roman" w:hAnsi="Times New Roman"/>
        </w:rPr>
        <w:t xml:space="preserve">Σχετικά με τη μέγιστη επιτρεπόμενη περιεκτικότητα σε πλαστικά κύπελλα μίας χρήσης</w:t>
      </w:r>
    </w:p>
    <w:p w14:paraId="337A6BC0" w14:textId="47338536" w:rsidR="003221AE" w:rsidRDefault="003221AE" w:rsidP="00AE4D15">
      <w:pPr>
        <w:spacing w:line="240" w:lineRule="auto"/>
        <w:jc w:val="center"/>
        <w:rPr>
          <w:b/>
        </w:rPr>
      </w:pPr>
      <w:r>
        <w:t xml:space="preserve">ΑΡΙΘ. ΑΝΑΦΟΡΑΣ:</w:t>
      </w:r>
      <w:r>
        <w:t xml:space="preserve"> </w:t>
      </w:r>
      <w:r>
        <w:t xml:space="preserve">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i/>
          <w:sz w:val="24"/>
          <w:szCs w:val="24"/>
          <w:rFonts w:ascii="Times New Roman" w:hAnsi="Times New Roman" w:cs="Times New Roman"/>
        </w:rPr>
      </w:pPr>
      <w:r>
        <w:rPr>
          <w:i/>
          <w:sz w:val="24"/>
          <w:b/>
          <w:bCs/>
          <w:rFonts w:ascii="Times New Roman" w:hAnsi="Times New Roman"/>
        </w:rPr>
        <w:t xml:space="preserve">Οι ενδιαφερόμενες ομάδες:</w:t>
      </w:r>
      <w:r>
        <w:t xml:space="preserve"> </w:t>
      </w:r>
      <w:r>
        <w:rPr>
          <w:i/>
          <w:sz w:val="24"/>
          <w:rFonts w:ascii="Times New Roman" w:hAnsi="Times New Roman"/>
        </w:rPr>
        <w:t xml:space="preserve">φυσικά ή νομικά πρόσωπα που προμηθεύουν, χρησιμοποιούν, διανέμουν ή διαθέτουν, έναντι πληρωμής ή δωρεάν, για τους σκοπούς της οικονομικής τους δραστηριότητας, κύπελλα μίας χρήσης που αποτελούνται εξ ολοκλήρου ή εν μέρει από πλαστικό υλικό.</w:t>
      </w:r>
      <w:r>
        <w:rPr>
          <w:i/>
          <w:sz w:val="24"/>
          <w:rFonts w:ascii="Times New Roman" w:hAnsi="Times New Roman"/>
        </w:rPr>
        <w:t xml:space="preserve"> </w:t>
      </w:r>
    </w:p>
    <w:p w14:paraId="239F44E6" w14:textId="17F5440F" w:rsidR="009D19F3"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Αντικείμενο</w:t>
      </w:r>
      <w:r>
        <w:rPr>
          <w:i/>
          <w:sz w:val="24"/>
          <w:rFonts w:ascii="Times New Roman" w:hAnsi="Times New Roman"/>
        </w:rPr>
        <w:t xml:space="preserve">: προοδευτική πορεία μείωσης της μέγιστης επιτρεπόμενης περιεκτικότητας σε πλαστικά κύπελλα μίας χρήσης.</w:t>
      </w:r>
    </w:p>
    <w:p w14:paraId="3022F56F" w14:textId="0D90C636"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Έναρξη ισχύος</w:t>
      </w:r>
      <w:r>
        <w:rPr>
          <w:i/>
          <w:sz w:val="24"/>
          <w:rFonts w:ascii="Times New Roman" w:hAnsi="Times New Roman"/>
        </w:rPr>
        <w:t xml:space="preserve">: την επομένη της ημερομηνίας δημοσίευσης του Διατάγματος στην Επίσημη Εφημερίδα.</w:t>
      </w:r>
    </w:p>
    <w:p w14:paraId="482E80E9" w14:textId="6D6083EB" w:rsidR="003D00E7"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Γνωστοποίηση:</w:t>
      </w:r>
      <w:r>
        <w:rPr>
          <w:i/>
          <w:sz w:val="24"/>
          <w:rFonts w:ascii="Times New Roman" w:hAnsi="Times New Roman"/>
        </w:rPr>
        <w:t xml:space="preserve"> </w:t>
      </w:r>
      <w:r>
        <w:rPr>
          <w:i/>
          <w:sz w:val="24"/>
          <w:rFonts w:ascii="Times New Roman" w:hAnsi="Times New Roman"/>
        </w:rPr>
        <w:t xml:space="preserve">Το παρόν διάταγμα ορίζει τη μέγιστη επιτρεπόμενη περιεκτικότητα σε πλαστικό των πλαστικών κυπέλλων μίας χρήσης από την 3η Ιουλίου 2021.</w:t>
      </w:r>
      <w:r>
        <w:rPr>
          <w:i/>
          <w:sz w:val="24"/>
          <w:rFonts w:ascii="Times New Roman" w:hAnsi="Times New Roman"/>
        </w:rPr>
        <w:t xml:space="preserve"> </w:t>
      </w:r>
      <w:r>
        <w:rPr>
          <w:i/>
          <w:sz w:val="24"/>
          <w:rFonts w:ascii="Times New Roman" w:hAnsi="Times New Roman"/>
        </w:rPr>
        <w:t xml:space="preserve">Το μέγιστο επιτρεπόμενο επίπεδο θα μειώνεται προοδευτικά προς μηδενική τιμή από την 1η Ιανουαρίου 2026.</w:t>
      </w:r>
      <w:r>
        <w:rPr>
          <w:i/>
          <w:sz w:val="24"/>
          <w:rFonts w:ascii="Times New Roman" w:hAnsi="Times New Roman"/>
        </w:rPr>
        <w:t xml:space="preserve"> </w:t>
      </w:r>
      <w:r>
        <w:rPr>
          <w:i/>
          <w:sz w:val="24"/>
          <w:rFonts w:ascii="Times New Roman" w:hAnsi="Times New Roman"/>
        </w:rPr>
        <w:t xml:space="preserve">Το 2024 θα καταρτιστεί έκθεση προόδου για την παρακολούθηση της προόδου αναφορικά με τις εναλλακτικές λύσεις για τα κύπελλα μίας χρήσης.</w:t>
      </w:r>
      <w:r>
        <w:rPr>
          <w:i/>
          <w:sz w:val="24"/>
          <w:rFonts w:ascii="Times New Roman" w:hAnsi="Times New Roman"/>
        </w:rPr>
        <w:t xml:space="preserve">  </w:t>
      </w:r>
      <w:r>
        <w:rPr>
          <w:i/>
          <w:sz w:val="24"/>
          <w:rFonts w:ascii="Times New Roman" w:hAnsi="Times New Roman"/>
        </w:rPr>
        <w:t xml:space="preserve">Προβλέπεται προθεσμία για τη διάθεση των αποθεμάτων για τα κύπελλα που κατασκευάζονται ή εισάγονται από τις καθορισμένες προθεσμίες.</w:t>
      </w:r>
    </w:p>
    <w:p w14:paraId="3B143F77" w14:textId="1EE9F5B5" w:rsidR="003221AE" w:rsidRPr="00AE4D15" w:rsidRDefault="003221AE" w:rsidP="00AE4D15">
      <w:pPr>
        <w:pStyle w:val="Standard"/>
        <w:autoSpaceDE w:val="0"/>
        <w:jc w:val="both"/>
        <w:rPr>
          <w:i/>
          <w:kern w:val="0"/>
          <w:rFonts w:eastAsiaTheme="minorHAnsi"/>
        </w:rPr>
      </w:pPr>
      <w:r>
        <w:rPr>
          <w:i/>
          <w:b/>
        </w:rPr>
        <w:t xml:space="preserve">Παραπομπές:</w:t>
      </w:r>
      <w:r>
        <w:rPr>
          <w:i/>
        </w:rPr>
        <w:t xml:space="preserve"> το Διάταγμα εκδίδεται σύμφωνα με το άρθρο Δ. 541-330 όπως τροποποιήθηκε με το διάταγμα αριθ. 2020-1828 της 31ης Δεκεμβρίου 2020 αναφορικά με την απαγόρευση ορισμένων πλαστικών προϊόντων μίας χρήσης.</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i/>
          <w:kern w:val="0"/>
          <w:rFonts w:eastAsiaTheme="minorHAnsi"/>
        </w:rPr>
      </w:pPr>
      <w:r>
        <w:rPr>
          <w:i/>
        </w:rPr>
        <w:t xml:space="preserve">Αυτό το Διάταγμα είναι διαθέσιμο στην ιστοσελίδα Légifrance</w:t>
      </w:r>
      <w:r>
        <w:t xml:space="preserve"> (</w:t>
      </w:r>
      <w:hyperlink r:id="rId5" w:history="1">
        <w:r>
          <w:rPr>
            <w:i/>
          </w:rPr>
          <w:t xml:space="preserve">https://www.legifrance.gouv.fr</w:t>
        </w:r>
      </w:hyperlink>
      <w:r>
        <w:t xml:space="preserve">).</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sz w:val="24"/>
          <w:szCs w:val="24"/>
          <w:rFonts w:ascii="Times New Roman" w:hAnsi="Times New Roman" w:cs="Times New Roman"/>
        </w:rPr>
      </w:pPr>
      <w:r>
        <w:rPr>
          <w:sz w:val="24"/>
          <w:rFonts w:ascii="Times New Roman" w:hAnsi="Times New Roman"/>
        </w:rPr>
        <w:t xml:space="preserve">Ο Υπουργός Οικολογικής Μετάβασης και ο Υπουργός Οικονομίας, Οικονομικών και Ανάκαμψης·</w:t>
      </w:r>
    </w:p>
    <w:p w14:paraId="723E0A3D" w14:textId="6366A89B" w:rsidR="007B4BDD"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Έχοντας υπόψη την οδηγία (ΕΕ) 2015/1535 του Ευρωπαϊκού Κοινοβουλίου και του Συμβουλίου, της 9ης Σεπτεμβρίου 2015, για τη θέσπιση διαδικασίας πληροφόρησης στον τομέα των τεχνικών κανονισμών και των κανόνων σχετικά με τις υπηρεσίες της κοινωνίας των πληροφοριών και την κοινοποίηση αριθ. xx προς την Ευρωπαϊκή Επιτροπή xx</w:t>
      </w:r>
    </w:p>
    <w:p w14:paraId="4F350E60" w14:textId="12FEDB29" w:rsidR="007B4BDD" w:rsidRPr="00AE4D15"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Έχοντας υπόψη την Οδηγία (ΕΕ) 2019/904 του Ευρωπαϊκού Κοινοβουλίου και του Συμβουλίου, της 5ης Ιουνίου 2019, για τη μείωση των επιπτώσεων ορισμένων πλαστικών προϊόντων στο περιβάλλον, και ιδίως το άρθρο 4·</w:t>
      </w:r>
    </w:p>
    <w:p w14:paraId="16702E02" w14:textId="6FC60A7A" w:rsidR="00763273" w:rsidRPr="00733AFF" w:rsidRDefault="00763273" w:rsidP="00AE4D15">
      <w:pPr>
        <w:spacing w:line="240" w:lineRule="auto"/>
        <w:jc w:val="both"/>
        <w:rPr>
          <w:sz w:val="24"/>
          <w:szCs w:val="24"/>
          <w:rFonts w:ascii="Times New Roman" w:hAnsi="Times New Roman" w:cs="Times New Roman"/>
        </w:rPr>
      </w:pPr>
      <w:r>
        <w:rPr>
          <w:sz w:val="24"/>
          <w:rFonts w:ascii="Times New Roman" w:hAnsi="Times New Roman"/>
        </w:rPr>
        <w:t xml:space="preserve">Έχοντας υπόψη τον περιβαλλοντικό κώδικα, ιδίως το άρθρο L. 541-15-10 και το άρθρο D. 541-330 (7°)·</w:t>
      </w:r>
      <w:r>
        <w:rPr>
          <w:sz w:val="24"/>
          <w:rFonts w:ascii="Times New Roman" w:hAnsi="Times New Roman"/>
        </w:rPr>
        <w:t xml:space="preserve"> </w:t>
      </w:r>
    </w:p>
    <w:p w14:paraId="177AE15F" w14:textId="68514660" w:rsidR="00EE18AF" w:rsidRDefault="00763273" w:rsidP="008C49D1">
      <w:pPr>
        <w:spacing w:line="240" w:lineRule="auto"/>
        <w:jc w:val="both"/>
      </w:pPr>
      <w:r>
        <w:rPr>
          <w:sz w:val="24"/>
          <w:rFonts w:ascii="Times New Roman" w:hAnsi="Times New Roman"/>
        </w:rPr>
        <w:t xml:space="preserve">Έχοντας υπόψη το διάταγμα αριθ. 2020-1828 της 31ης Δεκεμβρίου 2020 για την απαγόρευση ορισμένων πλαστικών προϊόντων μίας χρήσης, και ιδίως το άρθρο 3 αυτού·</w:t>
      </w:r>
      <w:r>
        <w:rPr>
          <w:sz w:val="24"/>
          <w:rFonts w:ascii="Times New Roman" w:hAnsi="Times New Roman"/>
        </w:rPr>
        <w:t xml:space="preserve"> </w:t>
      </w:r>
    </w:p>
    <w:p w14:paraId="55A5E3C4" w14:textId="0B8B113B" w:rsidR="00F17B54" w:rsidRPr="00AB2D96" w:rsidRDefault="007B4BDD" w:rsidP="00F17B54">
      <w:pPr>
        <w:spacing w:line="240" w:lineRule="auto"/>
        <w:jc w:val="both"/>
        <w:rPr>
          <w:sz w:val="24"/>
          <w:szCs w:val="24"/>
          <w:highlight w:val="yellow"/>
          <w:rFonts w:ascii="Times New Roman" w:hAnsi="Times New Roman" w:cs="Times New Roman"/>
        </w:rPr>
      </w:pPr>
      <w:r>
        <w:rPr>
          <w:sz w:val="24"/>
          <w:rFonts w:ascii="Times New Roman" w:hAnsi="Times New Roman"/>
        </w:rPr>
        <w:t xml:space="preserve">Έχοντας υπόψη τις παρατηρήσεις που έγιναν κατά τη δημόσια διαβούλευση που διεξήχθη μεταξύ των </w:t>
      </w:r>
      <w:r>
        <w:rPr>
          <w:sz w:val="24"/>
          <w:highlight w:val="yellow"/>
          <w:rFonts w:ascii="Times New Roman" w:hAnsi="Times New Roman"/>
        </w:rPr>
        <w:t xml:space="preserve">xx</w:t>
      </w:r>
      <w:r>
        <w:rPr>
          <w:sz w:val="24"/>
          <w:rFonts w:ascii="Times New Roman" w:hAnsi="Times New Roman"/>
        </w:rPr>
        <w:t xml:space="preserve"> και </w:t>
      </w:r>
      <w:r>
        <w:rPr>
          <w:sz w:val="24"/>
          <w:highlight w:val="yellow"/>
          <w:rFonts w:ascii="Times New Roman" w:hAnsi="Times New Roman"/>
        </w:rPr>
        <w:t xml:space="preserve">xx</w:t>
      </w:r>
      <w:r>
        <w:rPr>
          <w:sz w:val="24"/>
          <w:rFonts w:ascii="Times New Roman" w:hAnsi="Times New Roman"/>
        </w:rPr>
        <w:t xml:space="preserve">, σύμφωνα με το άρθρο L123-19-1 του περιβαλλοντικού κώδικα·</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b/>
          <w:sz w:val="24"/>
          <w:szCs w:val="24"/>
          <w:rFonts w:ascii="Times New Roman" w:hAnsi="Times New Roman" w:cs="Times New Roman"/>
        </w:rPr>
      </w:pPr>
      <w:r>
        <w:rPr>
          <w:b/>
          <w:sz w:val="24"/>
          <w:rFonts w:ascii="Times New Roman" w:hAnsi="Times New Roman"/>
        </w:rPr>
        <w:t xml:space="preserve">Διατάσσει:</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b/>
          <w:sz w:val="24"/>
          <w:szCs w:val="24"/>
          <w:rFonts w:ascii="Times New Roman" w:hAnsi="Times New Roman" w:cs="Times New Roman"/>
        </w:rPr>
      </w:pPr>
      <w:r>
        <w:rPr>
          <w:b/>
          <w:sz w:val="24"/>
          <w:rFonts w:ascii="Times New Roman" w:hAnsi="Times New Roman"/>
        </w:rPr>
        <w:t xml:space="preserve">Άρθρο 1</w:t>
      </w:r>
    </w:p>
    <w:p w14:paraId="18A02092" w14:textId="415925EE" w:rsidR="00D1255D" w:rsidRDefault="002B1AAC" w:rsidP="00AE4D15">
      <w:pPr>
        <w:spacing w:line="240" w:lineRule="auto"/>
        <w:jc w:val="both"/>
        <w:rPr>
          <w:sz w:val="24"/>
          <w:szCs w:val="24"/>
          <w:rFonts w:ascii="Times New Roman" w:hAnsi="Times New Roman" w:cs="Times New Roman"/>
        </w:rPr>
      </w:pPr>
      <w:r>
        <w:rPr>
          <w:sz w:val="24"/>
          <w:rFonts w:ascii="Times New Roman" w:hAnsi="Times New Roman"/>
        </w:rPr>
        <w:t xml:space="preserve">Για τους σκοπούς της εφαρμογής του άρθρου D. 541-330 του περιβαλλοντικού κώδικα 7°, ως «μέγιστη περιεκτικότητα σε πλαστικό» νοείται το μέγιστο ποσοστό μάζας των πλαστικών.</w:t>
      </w:r>
      <w:r>
        <w:rPr>
          <w:sz w:val="24"/>
          <w:rFonts w:ascii="Times New Roman" w:hAnsi="Times New Roman"/>
        </w:rPr>
        <w:t xml:space="preserve">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Άρθρο 2</w:t>
      </w:r>
    </w:p>
    <w:p w14:paraId="42BB73FD" w14:textId="3BBAD050" w:rsidR="00D61223" w:rsidRDefault="00D70EFE" w:rsidP="00AE4D15">
      <w:pPr>
        <w:spacing w:line="240" w:lineRule="auto"/>
        <w:jc w:val="both"/>
        <w:rPr>
          <w:sz w:val="24"/>
          <w:szCs w:val="24"/>
          <w:rFonts w:ascii="Times New Roman" w:hAnsi="Times New Roman" w:cs="Times New Roman"/>
        </w:rPr>
      </w:pPr>
      <w:r>
        <w:rPr>
          <w:sz w:val="24"/>
          <w:rFonts w:ascii="Times New Roman" w:hAnsi="Times New Roman"/>
        </w:rPr>
        <w:t xml:space="preserve">I. — Η μέγιστη επιτρεπόμενη περιεκτικότητα σε πλαστικό στα κύπελλα που αναφέρονται στο στοιχείο β) του 7° του D. 541-330 θα είναι:</w:t>
      </w:r>
    </w:p>
    <w:p w14:paraId="3E115AD9" w14:textId="35646C56" w:rsidR="007E2794" w:rsidRDefault="007E2794"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15 % από την 3η Ιουλίου 2021·</w:t>
      </w:r>
    </w:p>
    <w:p w14:paraId="23F6E32F" w14:textId="0D6E8369" w:rsidR="005260E4" w:rsidRDefault="00BD68E9"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8 % από την 1η Ιανουαρίου 2024·</w:t>
      </w:r>
    </w:p>
    <w:p w14:paraId="0C81AF8F" w14:textId="35CB6EF0" w:rsidR="006B27B9" w:rsidRDefault="00AE012F" w:rsidP="00206988">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Με την επιφύλαξη των συμπερασμάτων της έκθεσης προόδου που αναφέρεται στο σημείο II, από την 1η Ιανουαρίου 2026, τα ποτήρια που εξακολουθούν να επιτρέπονται είναι εκείνα που δεν περιέχουν πλαστικό ή ιχνοστοιχεία.</w:t>
      </w:r>
      <w:r>
        <w:rPr>
          <w:sz w:val="24"/>
          <w:rFonts w:ascii="Times New Roman" w:hAnsi="Times New Roman"/>
        </w:rPr>
        <w:t xml:space="preserve"> </w:t>
      </w:r>
      <w:r>
        <w:rPr>
          <w:sz w:val="24"/>
          <w:rFonts w:ascii="Times New Roman" w:hAnsi="Times New Roman"/>
        </w:rPr>
        <w:t xml:space="preserve">Η προθεσμία αυτή μπορεί να αναθεωρηθεί σύμφωνα με τα συμπεράσματα της έκθεσης προόδου.</w:t>
      </w:r>
    </w:p>
    <w:p w14:paraId="73A2C6A4" w14:textId="71C39E8F" w:rsidR="00DD2217" w:rsidRDefault="00D70EFE" w:rsidP="002B5FC6">
      <w:pPr>
        <w:spacing w:line="240" w:lineRule="auto"/>
        <w:jc w:val="both"/>
        <w:rPr>
          <w:sz w:val="24"/>
          <w:szCs w:val="24"/>
          <w:rFonts w:ascii="Times New Roman" w:hAnsi="Times New Roman" w:cs="Times New Roman"/>
        </w:rPr>
      </w:pPr>
      <w:r>
        <w:rPr>
          <w:sz w:val="24"/>
          <w:rFonts w:ascii="Times New Roman" w:hAnsi="Times New Roman"/>
        </w:rPr>
        <w:t xml:space="preserve">II. — Μια έκθεση προόδου πρόκειται να καταρτιστεί το 2024 σε διαβούλευση με τους ενδιαφερόμενους φορείς, σχετικά με την πρόοδο που έχει σημειωθεί αναφορικά τις εναλλακτικές λύσεις για τα πλαστικά κύπελλα μίας χρήσης, προκειμένου να αξιολογηθεί η τεχνική σκοπιμότητα της απουσίας πλαστικού στα κύπελλα που παραμένουν εγκεκριμένα από την 1η Ιανουαρίου 2026.</w:t>
      </w:r>
      <w:r>
        <w:rPr>
          <w:sz w:val="24"/>
          <w:rFonts w:ascii="Times New Roman" w:hAnsi="Times New Roman"/>
        </w:rPr>
        <w:t xml:space="preserve"> </w:t>
      </w:r>
    </w:p>
    <w:p w14:paraId="6F380BA2" w14:textId="417EA6CD" w:rsidR="00F311C2" w:rsidRPr="00F311C2" w:rsidRDefault="00FB6B46" w:rsidP="00F311C2">
      <w:pPr>
        <w:spacing w:line="240" w:lineRule="auto"/>
        <w:jc w:val="both"/>
        <w:rPr>
          <w:sz w:val="24"/>
          <w:szCs w:val="24"/>
          <w:rFonts w:ascii="Times New Roman" w:hAnsi="Times New Roman" w:cs="Times New Roman"/>
        </w:rPr>
      </w:pPr>
      <w:r>
        <w:rPr>
          <w:sz w:val="24"/>
          <w:rFonts w:ascii="Times New Roman" w:hAnsi="Times New Roman"/>
        </w:rPr>
        <w:t xml:space="preserve">III. — Τα κύπελλα που κατασκευάζονται ή εισάγονται πριν από τις προθεσμίες που αναφέρονται στο σημείο Ι, και τα οποία συμμορφώνονται με τη μέγιστη επιτρεπόμενη περιεκτικότητα σε πλαστικό πριν από τις προθεσμίες αυτές, χορηγείται προθεσμία 6 μηνών για τη διάθεση των αποθεμάτων από αυτές τις προθεσμίες.</w:t>
      </w:r>
    </w:p>
    <w:p w14:paraId="6638B9F8" w14:textId="48B576AE" w:rsidR="006B27B9" w:rsidRPr="00733AFF"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Άρθρο 3.</w:t>
      </w:r>
    </w:p>
    <w:p w14:paraId="294341B3" w14:textId="39CAC495"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Ο Γενικός Διευθυντής Πρόληψης Κινδύνων και ο Γενικός Διευθυντής Επιχειρήσεων είναι υπεύθυνοι για την εκτέλεση του παρόντος Διατάγματος, το οποίο δημοσιεύεται στην Επίσημη Εφημερίδα της Γαλλικής Δημοκρατίας.</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Ημερομηνία</w:t>
      </w:r>
      <w:r>
        <w:rPr>
          <w:sz w:val="24"/>
          <w:rFonts w:ascii="Times New Roman" w:hAnsi="Times New Roman"/>
        </w:rPr>
        <w:t xml:space="preserve"> </w:t>
      </w:r>
    </w:p>
    <w:p w14:paraId="4BD5B7FE"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Ο Υπουργός Οικολογικής Μετάβασης,</w:t>
      </w:r>
    </w:p>
    <w:p w14:paraId="610060FD" w14:textId="77777777" w:rsidR="005F2B32" w:rsidRP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Για λογαριασμό και εξ ονόματος του Υπουργού:</w:t>
      </w:r>
    </w:p>
    <w:p w14:paraId="6695C251"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Ο Γενικός Διευθυντής Πρόληψης Κινδύνων</w:t>
      </w:r>
      <w:r>
        <w:rPr>
          <w:sz w:val="24"/>
          <w:rFonts w:ascii="Times New Roman" w:hAnsi="Times New Roman"/>
        </w:rPr>
        <w:t xml:space="preserve">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sz w:val="24"/>
          <w:szCs w:val="24"/>
          <w:rFonts w:ascii="Times New Roman" w:hAnsi="Times New Roman" w:cs="Times New Roman"/>
        </w:rPr>
      </w:pPr>
      <w:r>
        <w:rPr>
          <w:sz w:val="24"/>
          <w:rFonts w:ascii="Times New Roman" w:hAnsi="Times New Roman"/>
        </w:rPr>
        <w:t xml:space="preserve">Ο Υπουργός Οικονομίας, Οικονομικών και Ανάκαμψης</w:t>
      </w:r>
    </w:p>
    <w:p w14:paraId="0ACC9840" w14:textId="77777777" w:rsidR="007B4BDD" w:rsidRPr="007B4BDD"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Για λογαριασμό και εξ ονόματος του Υπουργού:</w:t>
      </w:r>
    </w:p>
    <w:p w14:paraId="77E74113" w14:textId="65F984BF" w:rsidR="00F6699E"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Ο Γενικός Διευθυντής Επιχειρήσεων</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8E73A1"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Dimitris Dimitriadis</cp:lastModifiedBy>
  <cp:revision>4</cp:revision>
  <cp:lastPrinted>2020-07-07T16:39:00Z</cp:lastPrinted>
  <dcterms:created xsi:type="dcterms:W3CDTF">2021-04-28T09:13:00Z</dcterms:created>
  <dcterms:modified xsi:type="dcterms:W3CDTF">2021-04-30T09:23:00Z</dcterms:modified>
</cp:coreProperties>
</file>