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 xml:space="preserve">FRANCUSKA REPUBLIKA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Ministarstvo ekološke tranzicije</w:t>
            </w:r>
            <w:r>
              <w:t xml:space="preserve">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Nalog o</w:t>
      </w:r>
      <w:r>
        <w:t xml:space="preserve">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</w:t>
      </w:r>
      <w:r>
        <w:rPr>
          <w:rStyle w:val="StrongEmphasis"/>
          <w:rFonts w:ascii="Times New Roman" w:hAnsi="Times New Roman"/>
        </w:rPr>
        <w:t xml:space="preserve">najvećem dopuštenom udjelu plastike u plastičnim čašama za jednokratnu upotrebu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 xml:space="preserve">Oznaka NOR:</w:t>
      </w:r>
      <w:r>
        <w:t xml:space="preserve"> </w:t>
      </w:r>
      <w:r>
        <w:t xml:space="preserve">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Predmetne skupine</w:t>
      </w:r>
      <w:r>
        <w:rPr>
          <w:i/>
          <w:sz w:val="24"/>
          <w:rFonts w:ascii="Times New Roman" w:hAnsi="Times New Roman"/>
        </w:rPr>
        <w:t xml:space="preserve">:</w:t>
      </w:r>
      <w:r>
        <w:t xml:space="preserve"> </w:t>
      </w:r>
      <w:r>
        <w:rPr>
          <w:i/>
          <w:sz w:val="24"/>
          <w:rFonts w:ascii="Times New Roman" w:hAnsi="Times New Roman"/>
        </w:rPr>
        <w:t xml:space="preserve">fizičke ili pravne osobe koje isporučuju, upotrebljavaju ili stavljaju na raspolaganje, u zamjenu za plaćanje ili besplatno, za potrebe svoje gospodarske djelatnosti, čaše za jednokratnu uporabu koje se u cijelosti ili djelomično sastoje od plastike.</w:t>
      </w:r>
      <w:r>
        <w:rPr>
          <w:i/>
          <w:sz w:val="24"/>
          <w:rFonts w:ascii="Times New Roman" w:hAnsi="Times New Roman"/>
        </w:rPr>
        <w:t xml:space="preserve"> </w:t>
      </w:r>
    </w:p>
    <w:p w14:paraId="239F44E6" w14:textId="17F5440F" w:rsidR="009D19F3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Predmet</w:t>
      </w:r>
      <w:r>
        <w:rPr>
          <w:i/>
          <w:sz w:val="24"/>
          <w:rFonts w:ascii="Times New Roman" w:hAnsi="Times New Roman"/>
        </w:rPr>
        <w:t xml:space="preserve">: postupno smanjenje najveće dopuštene količine plastike u plastičnim čašama za jednokratnu uporabu.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Stupanje na snagu</w:t>
      </w:r>
      <w:r>
        <w:rPr>
          <w:i/>
          <w:sz w:val="24"/>
          <w:rFonts w:ascii="Times New Roman" w:hAnsi="Times New Roman"/>
        </w:rPr>
        <w:t xml:space="preserve">: dan nakon datuma objave naloga u Službenom listu.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Obavijest: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Ovim se nalogom utvrđuje najveći dopušteni udio plastike u plastičnim čašama za jednokratnu upotrebu od 3. srpnja 2021.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Najveća dopuštena razina postupno se smanjuje na nulu od 1.</w:t>
      </w:r>
      <w:r>
        <w:rPr>
          <w:i/>
          <w:sz w:val="24"/>
          <w:vertAlign w:val="superscript"/>
          <w:rFonts w:ascii="Times New Roman" w:hAnsi="Times New Roman"/>
        </w:rPr>
        <w:t xml:space="preserve"> </w:t>
      </w:r>
      <w:r>
        <w:rPr>
          <w:i/>
          <w:sz w:val="24"/>
          <w:rFonts w:ascii="Times New Roman" w:hAnsi="Times New Roman"/>
        </w:rPr>
        <w:t xml:space="preserve">siječnja 2026.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U 2024. treba sastaviti izvješće o napretku kako bi se pratio napredak u pogledu alternativnih rješenja za čaše za jednokratnu uporabu.</w:t>
      </w:r>
      <w:r>
        <w:rPr>
          <w:i/>
          <w:sz w:val="24"/>
          <w:rFonts w:ascii="Times New Roman" w:hAnsi="Times New Roman"/>
        </w:rPr>
        <w:t xml:space="preserve">  </w:t>
      </w:r>
      <w:r>
        <w:rPr>
          <w:i/>
          <w:sz w:val="24"/>
          <w:rFonts w:ascii="Times New Roman" w:hAnsi="Times New Roman"/>
        </w:rPr>
        <w:t xml:space="preserve">Utvrđuje se vremenski rok za odlaganje zaliha čaša proizvedenih ili uvezenih nakon utvrđenih rokova.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b/>
        </w:rPr>
        <w:t xml:space="preserve">Upućivanja:</w:t>
      </w:r>
      <w:r>
        <w:rPr>
          <w:i/>
        </w:rPr>
        <w:t xml:space="preserve"> Nalog je donesen u skladu s člankom D. 541-330., kako je izmijenjen Uredbom br. 2020-1828 od 31. prosinca 2020. o zabrani određenih plastičnih proizvoda za jednokratnu uporabu.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</w:rPr>
        <w:t xml:space="preserve">Ova je odluka dostupna na mrežnoj stranici Légifrance</w:t>
      </w:r>
      <w:r>
        <w:t xml:space="preserve"> (</w:t>
      </w:r>
      <w:hyperlink r:id="rId5" w:history="1">
        <w:r>
          <w:rPr>
            <w:i/>
          </w:rPr>
          <w:t xml:space="preserve">https://www.legifrance.gouv.fr</w:t>
        </w:r>
      </w:hyperlink>
      <w:r>
        <w:t xml:space="preserve"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Ministar ekološke tranzicije i ministar gospodarstva, financija i oporavka;</w:t>
      </w:r>
    </w:p>
    <w:p w14:paraId="723E0A3D" w14:textId="6366A89B" w:rsidR="007B4BDD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uzimajući u obzir Direktivu (EU) 2015/1535 Europskog parlamenta i Vijeća od 9. rujna 2015. o utvrđivanju postupka pružanja informacija u području tehničkih propisa i pravila o uslugama informacijskog društva te o obavijesti br. xx Europske komisije xx,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uzimajući u obzir Direktivu (EU) 2019/904 Europskog parlamenta i Vijeća od 5. lipnja 2019. o smanjenju učinka određenih plastičnih proizvoda na okoliš, a posebno njezin članak 4.,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uzimajući u obzir Zakonik okolišu, a posebno njegov članak L. 41-15-10. i članak D. 541-330. točku 7.,</w:t>
      </w:r>
      <w:r>
        <w:rPr>
          <w:sz w:val="24"/>
          <w:rFonts w:ascii="Times New Roman" w:hAnsi="Times New Roman"/>
        </w:rPr>
        <w:t xml:space="preserve">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sz w:val="24"/>
          <w:rFonts w:ascii="Times New Roman" w:hAnsi="Times New Roman"/>
        </w:rPr>
        <w:t xml:space="preserve">uzimajući u obzir Odluku br. 2020-1828 od 31. prosinca 2020. o zabrani određenih plastičnih proizvoda za jednokratnu upotrebu, a posebno njezin članak 3.,</w:t>
      </w:r>
      <w:r>
        <w:rPr>
          <w:sz w:val="24"/>
          <w:rFonts w:ascii="Times New Roman" w:hAnsi="Times New Roman"/>
        </w:rPr>
        <w:t xml:space="preserve">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sz w:val="24"/>
          <w:szCs w:val="24"/>
          <w:highlight w:val="yellow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uzimajući u obzir primjedbe iznesene tijekom javnog savjetovanja provedenog u razdoblju od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i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, u skladu s člankom L123-19-1. Zakonika o okolišu,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Ovime utvrđuje sljedeće: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Članak 1.</w:t>
      </w:r>
    </w:p>
    <w:p w14:paraId="18A02092" w14:textId="415925EE" w:rsidR="00D1255D" w:rsidRDefault="002B1AAC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potrebe primjene članka D. 541-330. Zakonika o okolišu za, točku 7. „najveći udio plastike”, znači najveći maseni postotak plastike.</w:t>
      </w:r>
      <w:r>
        <w:rPr>
          <w:sz w:val="24"/>
          <w:rFonts w:ascii="Times New Roman" w:hAnsi="Times New Roman"/>
        </w:rPr>
        <w:t xml:space="preserve">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Članak 2.</w:t>
      </w:r>
    </w:p>
    <w:p w14:paraId="42BB73FD" w14:textId="3BBAD050" w:rsidR="00D61223" w:rsidRDefault="00D70EFE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I. – Najveći dopušteni udio plastike u čašama navedenima pod podtočkom (b) točke 7. članka D. 541-330. iznosi: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15 % od 3. srpnja 2021.,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8 % od 1. siječnja 2024.,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Podložno zaključcima izvješća o napretku navedenog u stavku II., od 1. siječnja 2026. ostaju dopuštene čaše koje ne sadrže plastiku niti komponente u tragovima.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Taj se rok može izmijeniti u skladu sa zaključcima izvješća o napretku.</w:t>
      </w:r>
    </w:p>
    <w:p w14:paraId="73A2C6A4" w14:textId="71C39E8F" w:rsidR="00DD2217" w:rsidRDefault="00D70EFE" w:rsidP="002B5FC6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II. – Izvješće o napretku treba se sastaviti 2024. kroz savjetovanje s dionicima o napretku ostvarenom u alternativnim rješenjima za plastične čaše za jednokratnu upotrebu kako bi se procijenila tehnička izvedivost izostavljanja plastike u čašama koje ostaju dopuštene od 1. siječnja 2026.</w:t>
      </w:r>
      <w:r>
        <w:rPr>
          <w:sz w:val="24"/>
          <w:rFonts w:ascii="Times New Roman" w:hAnsi="Times New Roman"/>
        </w:rPr>
        <w:t xml:space="preserve">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III. – Čašama proizvedenima ili uvezenima prije svakog od navedenih rokova iz stavka I. i koje su u skladu s najvećim dopuštenim sadržajem plastike prije tih rokova, dodijelit će se rok od šest mjeseci za odlaganje zaliha nakon tih rokova.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Članak 3.</w:t>
      </w:r>
    </w:p>
    <w:p w14:paraId="294341B3" w14:textId="39CAC495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provedbu ovog naloga, koji se objavljuje u Službenom listu Francuske Republike, odgovorni su glavni ravnatelj Uprave za sprečavanje rizika i glavni ravnatelj Uprave za poduzetništvo.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Datum</w:t>
      </w:r>
      <w:r>
        <w:rPr>
          <w:sz w:val="24"/>
          <w:rFonts w:ascii="Times New Roman" w:hAnsi="Times New Roman"/>
        </w:rPr>
        <w:t xml:space="preserve"> </w:t>
      </w:r>
    </w:p>
    <w:p w14:paraId="4BD5B7FE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Ministar ekološke tranzicije</w:t>
      </w:r>
    </w:p>
    <w:p w14:paraId="610060FD" w14:textId="77777777" w:rsidR="005F2B32" w:rsidRP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i u ime ministra:</w:t>
      </w:r>
    </w:p>
    <w:p w14:paraId="6695C251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Glavni ravnatelj Uprave za sprečavanje rizika</w:t>
      </w:r>
      <w:r>
        <w:rPr>
          <w:sz w:val="24"/>
          <w:rFonts w:ascii="Times New Roman" w:hAnsi="Times New Roman"/>
        </w:rPr>
        <w:t xml:space="preserve">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Ministar gospodarstva, financija i oporavka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i u ime ministra: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Glavni ravnatelj Uprave za poduzetništvo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E73A1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Dimitris Dimitriadis</cp:lastModifiedBy>
  <cp:revision>4</cp:revision>
  <cp:lastPrinted>2020-07-07T16:39:00Z</cp:lastPrinted>
  <dcterms:created xsi:type="dcterms:W3CDTF">2021-04-28T09:13:00Z</dcterms:created>
  <dcterms:modified xsi:type="dcterms:W3CDTF">2021-04-30T09:23:00Z</dcterms:modified>
</cp:coreProperties>
</file>